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FE629B" w14:textId="77777777" w:rsidR="005B43B3" w:rsidRPr="004718E9" w:rsidRDefault="005B43B3" w:rsidP="005B43B3">
      <w:pPr>
        <w:widowControl/>
        <w:wordWrap/>
        <w:autoSpaceDE/>
        <w:autoSpaceDN/>
        <w:spacing w:before="240" w:after="0" w:line="240" w:lineRule="auto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Extended Data Fig. 1 Dosing analysis for the repeatability of weak stress that produces anti-depressive effects.</w:t>
      </w:r>
    </w:p>
    <w:p w14:paraId="7C19932C" w14:textId="77777777" w:rsidR="005B43B3" w:rsidRPr="004718E9" w:rsidRDefault="005B43B3" w:rsidP="005B43B3">
      <w:pPr>
        <w:widowControl/>
        <w:wordWrap/>
        <w:autoSpaceDE/>
        <w:autoSpaceDN/>
        <w:spacing w:before="240"/>
        <w:rPr>
          <w:rFonts w:ascii="Arial" w:hAnsi="Arial" w:cs="Arial"/>
          <w:bCs/>
          <w:kern w:val="0"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a</w:t>
      </w:r>
      <w:r w:rsidRPr="004718E9">
        <w:rPr>
          <w:rFonts w:ascii="Arial" w:hAnsi="Arial" w:cs="Arial"/>
          <w:bCs/>
          <w:sz w:val="24"/>
          <w:szCs w:val="24"/>
        </w:rPr>
        <w:t xml:space="preserve">, Experimental design. 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CRST mice </w:t>
      </w:r>
      <w:r w:rsidRPr="004718E9">
        <w:rPr>
          <w:rFonts w:ascii="Arial" w:hAnsi="Arial" w:cs="Arial"/>
          <w:bCs/>
          <w:sz w:val="24"/>
          <w:szCs w:val="24"/>
        </w:rPr>
        <w:t xml:space="preserve">were treated with daily 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5-min restraint for 3, 5, 7, or 14 days (S5x3d, S5x5d, S5x7d, and S5x14d, respectively) followed by behavioral tests. </w:t>
      </w:r>
    </w:p>
    <w:p w14:paraId="7C2FE808" w14:textId="77777777" w:rsidR="005B43B3" w:rsidRPr="004718E9" w:rsidRDefault="005B43B3" w:rsidP="005B43B3">
      <w:pPr>
        <w:widowControl/>
        <w:wordWrap/>
        <w:autoSpaceDE/>
        <w:autoSpaceDN/>
        <w:spacing w:before="240"/>
        <w:rPr>
          <w:rFonts w:ascii="Arial" w:hAnsi="Arial" w:cs="Arial"/>
          <w:bCs/>
          <w:kern w:val="0"/>
          <w:sz w:val="24"/>
          <w:szCs w:val="24"/>
        </w:rPr>
      </w:pPr>
      <w:r w:rsidRPr="004718E9">
        <w:rPr>
          <w:rFonts w:ascii="Arial" w:hAnsi="Arial" w:cs="Arial"/>
          <w:b/>
          <w:kern w:val="0"/>
          <w:sz w:val="24"/>
          <w:szCs w:val="24"/>
        </w:rPr>
        <w:t>b</w:t>
      </w:r>
      <w:r w:rsidRPr="004718E9">
        <w:rPr>
          <w:rFonts w:ascii="Arial" w:hAnsi="Arial" w:cs="Arial"/>
          <w:bCs/>
          <w:sz w:val="24"/>
          <w:szCs w:val="24"/>
        </w:rPr>
        <w:t>–</w:t>
      </w:r>
      <w:r w:rsidRPr="004718E9">
        <w:rPr>
          <w:rFonts w:ascii="Arial" w:hAnsi="Arial" w:cs="Arial"/>
          <w:b/>
          <w:kern w:val="0"/>
          <w:sz w:val="24"/>
          <w:szCs w:val="24"/>
        </w:rPr>
        <w:t>f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, </w:t>
      </w:r>
      <w:r w:rsidRPr="004718E9">
        <w:rPr>
          <w:rFonts w:ascii="Arial" w:hAnsi="Arial" w:cs="Arial"/>
          <w:bCs/>
          <w:sz w:val="24"/>
          <w:szCs w:val="24"/>
        </w:rPr>
        <w:t>Time spent in the target chamber in the SIT (</w:t>
      </w:r>
      <w:r w:rsidRPr="004718E9">
        <w:rPr>
          <w:rFonts w:ascii="Arial" w:hAnsi="Arial" w:cs="Arial"/>
          <w:b/>
          <w:sz w:val="24"/>
          <w:szCs w:val="24"/>
        </w:rPr>
        <w:t>b</w:t>
      </w:r>
      <w:r w:rsidRPr="004718E9">
        <w:rPr>
          <w:rFonts w:ascii="Arial" w:hAnsi="Arial" w:cs="Arial"/>
          <w:bCs/>
          <w:sz w:val="24"/>
          <w:szCs w:val="24"/>
        </w:rPr>
        <w:t>), and immobility time in the TST (</w:t>
      </w:r>
      <w:r w:rsidRPr="004718E9">
        <w:rPr>
          <w:rFonts w:ascii="Arial" w:hAnsi="Arial" w:cs="Arial"/>
          <w:b/>
          <w:sz w:val="24"/>
          <w:szCs w:val="24"/>
        </w:rPr>
        <w:t>c</w:t>
      </w:r>
      <w:r w:rsidRPr="004718E9">
        <w:rPr>
          <w:rFonts w:ascii="Arial" w:hAnsi="Arial" w:cs="Arial"/>
          <w:bCs/>
          <w:sz w:val="24"/>
          <w:szCs w:val="24"/>
        </w:rPr>
        <w:t>) and FST (</w:t>
      </w:r>
      <w:r w:rsidRPr="004718E9">
        <w:rPr>
          <w:rFonts w:ascii="Arial" w:hAnsi="Arial" w:cs="Arial"/>
          <w:b/>
          <w:sz w:val="24"/>
          <w:szCs w:val="24"/>
        </w:rPr>
        <w:t>d</w:t>
      </w:r>
      <w:r w:rsidRPr="004718E9">
        <w:rPr>
          <w:rFonts w:ascii="Arial" w:hAnsi="Arial" w:cs="Arial"/>
          <w:bCs/>
          <w:sz w:val="24"/>
          <w:szCs w:val="24"/>
        </w:rPr>
        <w:t xml:space="preserve">) for the indicated groups. </w:t>
      </w:r>
      <w:r w:rsidRPr="004718E9">
        <w:rPr>
          <w:rFonts w:ascii="Arial" w:hAnsi="Arial" w:cs="Arial"/>
          <w:bCs/>
          <w:i/>
          <w:sz w:val="24"/>
          <w:szCs w:val="24"/>
        </w:rPr>
        <w:t>K</w:t>
      </w:r>
      <w:r w:rsidRPr="004718E9">
        <w:rPr>
          <w:rFonts w:ascii="Arial" w:hAnsi="Arial" w:cs="Arial"/>
          <w:bCs/>
          <w:sz w:val="24"/>
          <w:szCs w:val="24"/>
        </w:rPr>
        <w:t>-Means clustering (</w:t>
      </w:r>
      <w:r w:rsidRPr="004718E9">
        <w:rPr>
          <w:rFonts w:ascii="Arial" w:hAnsi="Arial" w:cs="Arial"/>
          <w:bCs/>
          <w:i/>
          <w:sz w:val="24"/>
          <w:szCs w:val="24"/>
        </w:rPr>
        <w:t xml:space="preserve">k </w:t>
      </w:r>
      <w:r w:rsidRPr="004718E9">
        <w:rPr>
          <w:rFonts w:ascii="Arial" w:hAnsi="Arial" w:cs="Arial"/>
          <w:bCs/>
          <w:sz w:val="24"/>
          <w:szCs w:val="24"/>
        </w:rPr>
        <w:t>= 2) of individuals in the SIT x TST x FST matrix (</w:t>
      </w:r>
      <w:r w:rsidRPr="004718E9">
        <w:rPr>
          <w:rFonts w:ascii="Arial" w:hAnsi="Arial" w:cs="Arial"/>
          <w:b/>
          <w:sz w:val="24"/>
          <w:szCs w:val="24"/>
        </w:rPr>
        <w:t>e</w:t>
      </w:r>
      <w:r w:rsidRPr="004718E9">
        <w:rPr>
          <w:rFonts w:ascii="Arial" w:hAnsi="Arial" w:cs="Arial"/>
          <w:bCs/>
          <w:sz w:val="24"/>
          <w:szCs w:val="24"/>
        </w:rPr>
        <w:t>) and % composition of each group in the clusters (</w:t>
      </w:r>
      <w:r w:rsidRPr="004718E9">
        <w:rPr>
          <w:rFonts w:ascii="Arial" w:hAnsi="Arial" w:cs="Arial"/>
          <w:b/>
          <w:sz w:val="24"/>
          <w:szCs w:val="24"/>
        </w:rPr>
        <w:t>f</w:t>
      </w:r>
      <w:r w:rsidRPr="004718E9">
        <w:rPr>
          <w:rFonts w:ascii="Arial" w:hAnsi="Arial" w:cs="Arial"/>
          <w:bCs/>
          <w:sz w:val="24"/>
          <w:szCs w:val="24"/>
        </w:rPr>
        <w:t xml:space="preserve">) </w:t>
      </w:r>
      <w:r w:rsidRPr="004718E9">
        <w:rPr>
          <w:rFonts w:ascii="Arial" w:hAnsi="Arial" w:cs="Arial"/>
          <w:bCs/>
          <w:kern w:val="0"/>
          <w:sz w:val="24"/>
          <w:szCs w:val="24"/>
        </w:rPr>
        <w:t>(</w:t>
      </w:r>
      <w:r w:rsidRPr="004718E9">
        <w:rPr>
          <w:rFonts w:ascii="Arial" w:hAnsi="Arial" w:cs="Arial"/>
          <w:bCs/>
          <w:i/>
          <w:kern w:val="0"/>
          <w:sz w:val="24"/>
          <w:szCs w:val="24"/>
        </w:rPr>
        <w:t xml:space="preserve">n 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= 8-10 per group). </w:t>
      </w:r>
    </w:p>
    <w:p w14:paraId="54E56E38" w14:textId="77777777" w:rsidR="005B43B3" w:rsidRPr="004718E9" w:rsidRDefault="005B43B3" w:rsidP="005B43B3">
      <w:pPr>
        <w:widowControl/>
        <w:wordWrap/>
        <w:autoSpaceDE/>
        <w:autoSpaceDN/>
        <w:spacing w:before="240"/>
        <w:rPr>
          <w:rFonts w:ascii="Arial" w:hAnsi="Arial" w:cs="Arial"/>
          <w:kern w:val="0"/>
          <w:sz w:val="24"/>
          <w:szCs w:val="24"/>
          <w:lang w:eastAsia="en-US"/>
        </w:rPr>
      </w:pPr>
      <w:r w:rsidRPr="004718E9">
        <w:rPr>
          <w:rFonts w:ascii="Arial" w:hAnsi="Arial" w:cs="Arial"/>
          <w:bCs/>
          <w:sz w:val="24"/>
          <w:szCs w:val="24"/>
        </w:rPr>
        <w:t xml:space="preserve">Data are mean ± SEM. *, difference compared to control; #, difference compared to CRST. *, #, </w:t>
      </w:r>
      <w:r w:rsidRPr="004718E9">
        <w:rPr>
          <w:rFonts w:ascii="Arial" w:hAnsi="Arial" w:cs="Arial"/>
          <w:bCs/>
          <w:i/>
          <w:sz w:val="24"/>
          <w:szCs w:val="24"/>
        </w:rPr>
        <w:t>p</w:t>
      </w:r>
      <w:r w:rsidRPr="004718E9">
        <w:rPr>
          <w:rFonts w:ascii="Arial" w:hAnsi="Arial" w:cs="Arial"/>
          <w:bCs/>
          <w:sz w:val="24"/>
          <w:szCs w:val="24"/>
        </w:rPr>
        <w:t xml:space="preserve"> &lt; 0.05; **, ##, </w:t>
      </w:r>
      <w:r w:rsidRPr="004718E9">
        <w:rPr>
          <w:rFonts w:ascii="Arial" w:hAnsi="Arial" w:cs="Arial"/>
          <w:bCs/>
          <w:i/>
          <w:sz w:val="24"/>
          <w:szCs w:val="24"/>
        </w:rPr>
        <w:t>p</w:t>
      </w:r>
      <w:r w:rsidRPr="004718E9">
        <w:rPr>
          <w:rFonts w:ascii="Arial" w:hAnsi="Arial" w:cs="Arial"/>
          <w:bCs/>
          <w:sz w:val="24"/>
          <w:szCs w:val="24"/>
        </w:rPr>
        <w:t xml:space="preserve"> &lt; 0.01 (One-way ANOVA followed by Newman-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Keuls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post-hoc test). </w:t>
      </w:r>
      <w:r w:rsidRPr="004718E9">
        <w:rPr>
          <w:rFonts w:ascii="Arial" w:hAnsi="Arial" w:cs="Arial"/>
          <w:kern w:val="0"/>
          <w:sz w:val="24"/>
          <w:szCs w:val="24"/>
          <w:lang w:eastAsia="en-US"/>
        </w:rPr>
        <w:t>See Supplementary Table 4 for statistical details.</w:t>
      </w:r>
      <w:r w:rsidRPr="004718E9">
        <w:rPr>
          <w:rFonts w:ascii="Arial" w:hAnsi="Arial" w:cs="Arial"/>
          <w:kern w:val="0"/>
          <w:sz w:val="24"/>
          <w:szCs w:val="24"/>
          <w:lang w:eastAsia="en-US"/>
        </w:rPr>
        <w:br w:type="page"/>
      </w:r>
    </w:p>
    <w:p w14:paraId="00C2492B" w14:textId="77777777" w:rsidR="005B43B3" w:rsidRPr="004718E9" w:rsidRDefault="005B43B3" w:rsidP="005B43B3">
      <w:pPr>
        <w:widowControl/>
        <w:wordWrap/>
        <w:autoSpaceDE/>
        <w:autoSpaceDN/>
        <w:spacing w:before="240" w:after="0" w:line="240" w:lineRule="auto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06AA75A7" wp14:editId="54703107">
            <wp:simplePos x="0" y="0"/>
            <wp:positionH relativeFrom="column">
              <wp:posOffset>-43891</wp:posOffset>
            </wp:positionH>
            <wp:positionV relativeFrom="paragraph">
              <wp:posOffset>265582</wp:posOffset>
            </wp:positionV>
            <wp:extent cx="5720715" cy="5764530"/>
            <wp:effectExtent l="0" t="0" r="0" b="7620"/>
            <wp:wrapTopAndBottom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576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8E9">
        <w:rPr>
          <w:rFonts w:ascii="Arial" w:hAnsi="Arial" w:cs="Arial" w:hint="eastAsia"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xtended Data Fig. 2</w:t>
      </w:r>
      <w:r w:rsidRPr="004718E9">
        <w:rPr>
          <w:rFonts w:ascii="Arial" w:hAnsi="Arial" w:cs="Arial"/>
          <w:b/>
          <w:sz w:val="24"/>
          <w:szCs w:val="24"/>
        </w:rPr>
        <w:br w:type="page"/>
      </w:r>
    </w:p>
    <w:p w14:paraId="387D9C89" w14:textId="77777777" w:rsidR="005B43B3" w:rsidRPr="004718E9" w:rsidRDefault="005B43B3" w:rsidP="005B43B3">
      <w:pPr>
        <w:widowControl/>
        <w:wordWrap/>
        <w:autoSpaceDE/>
        <w:autoSpaceDN/>
        <w:spacing w:after="160" w:line="259" w:lineRule="auto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lastRenderedPageBreak/>
        <w:t xml:space="preserve">Extended Data Fig. 2 </w:t>
      </w:r>
      <w:r w:rsidRPr="004B2CF3">
        <w:rPr>
          <w:rFonts w:ascii="Arial" w:hAnsi="Arial" w:cs="Arial"/>
          <w:b/>
          <w:sz w:val="24"/>
          <w:szCs w:val="24"/>
        </w:rPr>
        <w:t>Repeated treatment with a short sequence of behavioral stress</w:t>
      </w:r>
      <w:r w:rsidRPr="004718E9">
        <w:rPr>
          <w:rFonts w:ascii="Arial" w:hAnsi="Arial" w:cs="Arial"/>
          <w:b/>
          <w:sz w:val="24"/>
          <w:szCs w:val="24"/>
        </w:rPr>
        <w:t xml:space="preserve"> produces anti-depressive effects in ICR mice.</w:t>
      </w:r>
    </w:p>
    <w:p w14:paraId="45EB0A2A" w14:textId="77777777" w:rsidR="005B43B3" w:rsidRPr="004718E9" w:rsidRDefault="005B43B3" w:rsidP="005B43B3">
      <w:pPr>
        <w:widowControl/>
        <w:wordWrap/>
        <w:autoSpaceDE/>
        <w:autoSpaceDN/>
        <w:spacing w:before="240"/>
        <w:rPr>
          <w:rFonts w:ascii="Arial" w:hAnsi="Arial" w:cs="Arial"/>
          <w:bCs/>
          <w:sz w:val="24"/>
          <w:szCs w:val="24"/>
        </w:rPr>
      </w:pPr>
      <w:proofErr w:type="spellStart"/>
      <w:r w:rsidRPr="004718E9">
        <w:rPr>
          <w:rFonts w:ascii="Arial" w:hAnsi="Arial" w:cs="Arial"/>
          <w:b/>
          <w:sz w:val="24"/>
          <w:szCs w:val="24"/>
        </w:rPr>
        <w:t>a</w:t>
      </w:r>
      <w:r w:rsidRPr="004718E9">
        <w:rPr>
          <w:rFonts w:ascii="Arial" w:hAnsi="Arial" w:cs="Arial"/>
          <w:bCs/>
          <w:sz w:val="24"/>
          <w:szCs w:val="24"/>
        </w:rPr>
        <w:t>,</w:t>
      </w:r>
      <w:r w:rsidRPr="004718E9">
        <w:rPr>
          <w:rFonts w:ascii="Arial" w:hAnsi="Arial" w:cs="Arial"/>
          <w:b/>
          <w:sz w:val="24"/>
          <w:szCs w:val="24"/>
        </w:rPr>
        <w:t>b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>, Experimental design (</w:t>
      </w:r>
      <w:r w:rsidRPr="004718E9">
        <w:rPr>
          <w:rFonts w:ascii="Arial" w:hAnsi="Arial" w:cs="Arial"/>
          <w:b/>
          <w:sz w:val="24"/>
          <w:szCs w:val="24"/>
        </w:rPr>
        <w:t>a</w:t>
      </w:r>
      <w:r w:rsidRPr="004718E9">
        <w:rPr>
          <w:rFonts w:ascii="Arial" w:hAnsi="Arial" w:cs="Arial"/>
          <w:bCs/>
          <w:sz w:val="24"/>
          <w:szCs w:val="24"/>
        </w:rPr>
        <w:t xml:space="preserve">). Pregnant ICR females were exposed to daily 2-h restraint from E8.5 until delivery (maternal stress or MS group), and their pups (MS pups) were grown to adulthood. Pregnant normal ICR females with no stress (normal or N group) and their pups (N pups) were prepared as controls. Beginning at 7 weeks of age, the MS pups and N pups were </w:t>
      </w:r>
      <w:r w:rsidRPr="004718E9">
        <w:rPr>
          <w:rFonts w:ascii="Arial" w:hAnsi="Arial" w:cs="Arial"/>
          <w:bCs/>
          <w:sz w:val="24"/>
          <w:szCs w:val="24"/>
          <w:lang w:val="en"/>
        </w:rPr>
        <w:t xml:space="preserve">randomly allocated to receive </w:t>
      </w:r>
      <w:r w:rsidRPr="004718E9">
        <w:rPr>
          <w:rFonts w:ascii="Arial" w:hAnsi="Arial" w:cs="Arial"/>
          <w:bCs/>
          <w:sz w:val="24"/>
          <w:szCs w:val="24"/>
        </w:rPr>
        <w:t>CRST or CRST+RS5 for 14 days (</w:t>
      </w:r>
      <w:r w:rsidRPr="004718E9">
        <w:rPr>
          <w:rFonts w:ascii="Arial" w:hAnsi="Arial" w:cs="Arial"/>
          <w:b/>
          <w:sz w:val="24"/>
          <w:szCs w:val="24"/>
        </w:rPr>
        <w:t>b</w:t>
      </w:r>
      <w:r w:rsidRPr="004718E9">
        <w:rPr>
          <w:rFonts w:ascii="Arial" w:hAnsi="Arial" w:cs="Arial"/>
          <w:bCs/>
          <w:sz w:val="24"/>
          <w:szCs w:val="24"/>
        </w:rPr>
        <w:t xml:space="preserve">). </w:t>
      </w:r>
    </w:p>
    <w:p w14:paraId="64F1BCC1" w14:textId="77777777" w:rsidR="005B43B3" w:rsidRPr="004718E9" w:rsidRDefault="005B43B3" w:rsidP="005B43B3">
      <w:pPr>
        <w:widowControl/>
        <w:wordWrap/>
        <w:autoSpaceDE/>
        <w:autoSpaceDN/>
        <w:spacing w:before="240"/>
        <w:rPr>
          <w:rFonts w:ascii="Arial" w:hAnsi="Arial" w:cs="Arial"/>
          <w:bCs/>
          <w:kern w:val="0"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c</w:t>
      </w:r>
      <w:r w:rsidRPr="004718E9">
        <w:rPr>
          <w:rFonts w:ascii="Arial" w:hAnsi="Arial" w:cs="Arial"/>
          <w:bCs/>
          <w:sz w:val="24"/>
          <w:szCs w:val="24"/>
        </w:rPr>
        <w:t>–</w:t>
      </w:r>
      <w:r w:rsidRPr="004718E9">
        <w:rPr>
          <w:rFonts w:ascii="Arial" w:hAnsi="Arial" w:cs="Arial"/>
          <w:b/>
          <w:sz w:val="24"/>
          <w:szCs w:val="24"/>
        </w:rPr>
        <w:t>h</w:t>
      </w:r>
      <w:r w:rsidRPr="004718E9">
        <w:rPr>
          <w:rFonts w:ascii="Arial" w:hAnsi="Arial" w:cs="Arial"/>
          <w:bCs/>
          <w:sz w:val="24"/>
          <w:szCs w:val="24"/>
        </w:rPr>
        <w:t>, Time spent in the target chamber in the SIT (</w:t>
      </w:r>
      <w:r w:rsidRPr="004718E9">
        <w:rPr>
          <w:rFonts w:ascii="Arial" w:hAnsi="Arial" w:cs="Arial"/>
          <w:b/>
          <w:sz w:val="24"/>
          <w:szCs w:val="24"/>
        </w:rPr>
        <w:t>c</w:t>
      </w:r>
      <w:r w:rsidRPr="004718E9">
        <w:rPr>
          <w:rFonts w:ascii="Arial" w:hAnsi="Arial" w:cs="Arial"/>
          <w:bCs/>
          <w:sz w:val="24"/>
          <w:szCs w:val="24"/>
        </w:rPr>
        <w:t>), sucrose preference in the SPT (</w:t>
      </w:r>
      <w:r w:rsidRPr="004718E9">
        <w:rPr>
          <w:rFonts w:ascii="Arial" w:hAnsi="Arial" w:cs="Arial"/>
          <w:b/>
          <w:sz w:val="24"/>
          <w:szCs w:val="24"/>
        </w:rPr>
        <w:t>d</w:t>
      </w:r>
      <w:r w:rsidRPr="004718E9">
        <w:rPr>
          <w:rFonts w:ascii="Arial" w:hAnsi="Arial" w:cs="Arial"/>
          <w:bCs/>
          <w:sz w:val="24"/>
          <w:szCs w:val="24"/>
        </w:rPr>
        <w:t>), and immobility time in the TST (</w:t>
      </w:r>
      <w:r w:rsidRPr="004718E9">
        <w:rPr>
          <w:rFonts w:ascii="Arial" w:hAnsi="Arial" w:cs="Arial"/>
          <w:b/>
          <w:sz w:val="24"/>
          <w:szCs w:val="24"/>
        </w:rPr>
        <w:t>e</w:t>
      </w:r>
      <w:r w:rsidRPr="004718E9">
        <w:rPr>
          <w:rFonts w:ascii="Arial" w:hAnsi="Arial" w:cs="Arial"/>
          <w:bCs/>
          <w:sz w:val="24"/>
          <w:szCs w:val="24"/>
        </w:rPr>
        <w:t>) and FST (</w:t>
      </w:r>
      <w:r w:rsidRPr="004718E9">
        <w:rPr>
          <w:rFonts w:ascii="Arial" w:hAnsi="Arial" w:cs="Arial"/>
          <w:b/>
          <w:sz w:val="24"/>
          <w:szCs w:val="24"/>
        </w:rPr>
        <w:t>f</w:t>
      </w:r>
      <w:r w:rsidRPr="004718E9">
        <w:rPr>
          <w:rFonts w:ascii="Arial" w:hAnsi="Arial" w:cs="Arial"/>
          <w:bCs/>
          <w:sz w:val="24"/>
          <w:szCs w:val="24"/>
        </w:rPr>
        <w:t xml:space="preserve">) for the indicated groups, and their controls. PCA and </w:t>
      </w:r>
      <w:r w:rsidRPr="004718E9">
        <w:rPr>
          <w:rFonts w:ascii="Arial" w:hAnsi="Arial" w:cs="Arial"/>
          <w:bCs/>
          <w:i/>
          <w:iCs/>
          <w:sz w:val="24"/>
          <w:szCs w:val="24"/>
        </w:rPr>
        <w:t>K</w:t>
      </w:r>
      <w:r w:rsidRPr="004718E9">
        <w:rPr>
          <w:rFonts w:ascii="Arial" w:hAnsi="Arial" w:cs="Arial"/>
          <w:bCs/>
          <w:sz w:val="24"/>
          <w:szCs w:val="24"/>
        </w:rPr>
        <w:t>-Means cluster analysis of individual animals in the SIT x SPT x [TST x FST] matrix (</w:t>
      </w:r>
      <w:r w:rsidRPr="004718E9">
        <w:rPr>
          <w:rFonts w:ascii="Arial" w:hAnsi="Arial" w:cs="Arial"/>
          <w:b/>
          <w:sz w:val="24"/>
          <w:szCs w:val="24"/>
        </w:rPr>
        <w:t>g</w:t>
      </w:r>
      <w:r w:rsidRPr="004718E9">
        <w:rPr>
          <w:rFonts w:ascii="Arial" w:hAnsi="Arial" w:cs="Arial"/>
          <w:bCs/>
          <w:sz w:val="24"/>
          <w:szCs w:val="24"/>
        </w:rPr>
        <w:t>) and % composition in each cluster (</w:t>
      </w:r>
      <w:r w:rsidRPr="004718E9">
        <w:rPr>
          <w:rFonts w:ascii="Arial" w:hAnsi="Arial" w:cs="Arial"/>
          <w:b/>
          <w:sz w:val="24"/>
          <w:szCs w:val="24"/>
        </w:rPr>
        <w:t>h</w:t>
      </w:r>
      <w:r w:rsidRPr="004718E9">
        <w:rPr>
          <w:rFonts w:ascii="Arial" w:hAnsi="Arial" w:cs="Arial"/>
          <w:bCs/>
          <w:sz w:val="24"/>
          <w:szCs w:val="24"/>
        </w:rPr>
        <w:t xml:space="preserve">). CRST-treated N and MS groups were shifted from the cluster containing CRST mice to the cluster containing the control. The </w:t>
      </w:r>
      <w:r w:rsidRPr="004718E9">
        <w:rPr>
          <w:rStyle w:val="st1"/>
          <w:rFonts w:ascii="Arial" w:hAnsi="Arial" w:cs="Arial"/>
          <w:bCs/>
          <w:sz w:val="24"/>
          <w:szCs w:val="24"/>
        </w:rPr>
        <w:t>TST and FST components were transformed in a linear dimension by PCA (</w:t>
      </w:r>
      <w:r w:rsidRPr="004718E9">
        <w:rPr>
          <w:rFonts w:ascii="Arial" w:hAnsi="Arial" w:cs="Arial"/>
          <w:bCs/>
          <w:sz w:val="24"/>
          <w:szCs w:val="24"/>
        </w:rPr>
        <w:t xml:space="preserve">PVE; </w:t>
      </w:r>
      <w:r w:rsidRPr="004718E9">
        <w:rPr>
          <w:rStyle w:val="st1"/>
          <w:rFonts w:ascii="Arial" w:hAnsi="Arial" w:cs="Arial"/>
          <w:bCs/>
          <w:sz w:val="24"/>
          <w:szCs w:val="24"/>
        </w:rPr>
        <w:t xml:space="preserve">75.6%) </w:t>
      </w:r>
      <w:r w:rsidRPr="004718E9">
        <w:rPr>
          <w:rFonts w:ascii="Arial" w:hAnsi="Arial" w:cs="Arial"/>
          <w:bCs/>
          <w:kern w:val="0"/>
          <w:sz w:val="24"/>
          <w:szCs w:val="24"/>
        </w:rPr>
        <w:t>(</w:t>
      </w:r>
      <w:r w:rsidRPr="004718E9">
        <w:rPr>
          <w:rFonts w:ascii="Arial" w:hAnsi="Arial" w:cs="Arial"/>
          <w:bCs/>
          <w:i/>
          <w:kern w:val="0"/>
          <w:sz w:val="24"/>
          <w:szCs w:val="24"/>
        </w:rPr>
        <w:t xml:space="preserve">n 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= 9-10 per group). </w:t>
      </w:r>
    </w:p>
    <w:p w14:paraId="28E32D9A" w14:textId="77777777" w:rsidR="005B43B3" w:rsidRPr="004718E9" w:rsidRDefault="005B43B3" w:rsidP="005B43B3">
      <w:pPr>
        <w:widowControl/>
        <w:wordWrap/>
        <w:autoSpaceDE/>
        <w:autoSpaceDN/>
        <w:spacing w:before="240"/>
        <w:rPr>
          <w:rFonts w:ascii="Arial" w:hAnsi="Arial" w:cs="Arial"/>
          <w:sz w:val="24"/>
          <w:szCs w:val="24"/>
        </w:rPr>
      </w:pPr>
      <w:r w:rsidRPr="004718E9">
        <w:rPr>
          <w:rFonts w:ascii="Arial" w:hAnsi="Arial" w:cs="Arial"/>
          <w:sz w:val="24"/>
          <w:szCs w:val="24"/>
        </w:rPr>
        <w:t xml:space="preserve">Data are mean ± SEM. *, difference compared to control; #, difference compared to CRST. *, #, </w:t>
      </w:r>
      <w:r w:rsidRPr="004718E9">
        <w:rPr>
          <w:rFonts w:ascii="Arial" w:hAnsi="Arial" w:cs="Arial"/>
          <w:i/>
          <w:sz w:val="24"/>
          <w:szCs w:val="24"/>
        </w:rPr>
        <w:t>p</w:t>
      </w:r>
      <w:r w:rsidRPr="004718E9">
        <w:rPr>
          <w:rFonts w:ascii="Arial" w:hAnsi="Arial" w:cs="Arial"/>
          <w:sz w:val="24"/>
          <w:szCs w:val="24"/>
        </w:rPr>
        <w:t xml:space="preserve"> &lt; 0.05; **, ##, </w:t>
      </w:r>
      <w:r w:rsidRPr="004718E9">
        <w:rPr>
          <w:rFonts w:ascii="Arial" w:hAnsi="Arial" w:cs="Arial"/>
          <w:i/>
          <w:sz w:val="24"/>
          <w:szCs w:val="24"/>
        </w:rPr>
        <w:t>p</w:t>
      </w:r>
      <w:r w:rsidRPr="004718E9">
        <w:rPr>
          <w:rFonts w:ascii="Arial" w:hAnsi="Arial" w:cs="Arial"/>
          <w:sz w:val="24"/>
          <w:szCs w:val="24"/>
        </w:rPr>
        <w:t xml:space="preserve"> &lt; 0.01 (One-way ANOVA followed by Newman-</w:t>
      </w:r>
      <w:proofErr w:type="spellStart"/>
      <w:r w:rsidRPr="004718E9">
        <w:rPr>
          <w:rFonts w:ascii="Arial" w:hAnsi="Arial" w:cs="Arial"/>
          <w:sz w:val="24"/>
          <w:szCs w:val="24"/>
        </w:rPr>
        <w:t>Keuls</w:t>
      </w:r>
      <w:proofErr w:type="spellEnd"/>
      <w:r w:rsidRPr="004718E9">
        <w:rPr>
          <w:rFonts w:ascii="Arial" w:hAnsi="Arial" w:cs="Arial"/>
          <w:sz w:val="24"/>
          <w:szCs w:val="24"/>
        </w:rPr>
        <w:t xml:space="preserve"> post-hoc test). </w:t>
      </w:r>
      <w:r w:rsidRPr="004718E9">
        <w:rPr>
          <w:rFonts w:ascii="Arial" w:hAnsi="Arial" w:cs="Arial"/>
          <w:kern w:val="0"/>
          <w:sz w:val="24"/>
          <w:szCs w:val="24"/>
          <w:lang w:eastAsia="en-US"/>
        </w:rPr>
        <w:t>See Supplementary Table 4 for statistical details.</w:t>
      </w:r>
      <w:r w:rsidRPr="004718E9">
        <w:rPr>
          <w:rFonts w:ascii="Arial" w:hAnsi="Arial" w:cs="Arial"/>
          <w:sz w:val="24"/>
          <w:szCs w:val="24"/>
        </w:rPr>
        <w:br w:type="page"/>
      </w:r>
    </w:p>
    <w:p w14:paraId="2E593F98" w14:textId="77777777" w:rsidR="005B43B3" w:rsidRPr="004718E9" w:rsidRDefault="005B43B3" w:rsidP="005B43B3">
      <w:pPr>
        <w:widowControl/>
        <w:wordWrap/>
        <w:autoSpaceDE/>
        <w:autoSpaceDN/>
        <w:spacing w:before="240" w:after="160" w:line="259" w:lineRule="auto"/>
        <w:rPr>
          <w:rFonts w:ascii="Arial" w:eastAsiaTheme="minorEastAsia" w:hAnsi="Arial" w:cs="Arial"/>
          <w:b/>
          <w:sz w:val="24"/>
          <w:szCs w:val="24"/>
        </w:rPr>
      </w:pPr>
      <w:r w:rsidRPr="004718E9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6F15BD92" wp14:editId="301676B0">
            <wp:simplePos x="0" y="0"/>
            <wp:positionH relativeFrom="column">
              <wp:posOffset>0</wp:posOffset>
            </wp:positionH>
            <wp:positionV relativeFrom="paragraph">
              <wp:posOffset>339496</wp:posOffset>
            </wp:positionV>
            <wp:extent cx="5727700" cy="2911475"/>
            <wp:effectExtent l="0" t="0" r="6350" b="3175"/>
            <wp:wrapTopAndBottom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8E9">
        <w:rPr>
          <w:rFonts w:ascii="Arial" w:hAnsi="Arial" w:cs="Arial" w:hint="eastAsia"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xtended Data Fig. 3</w:t>
      </w:r>
      <w:r w:rsidRPr="004718E9">
        <w:rPr>
          <w:rFonts w:ascii="Arial" w:hAnsi="Arial" w:cs="Arial"/>
          <w:b/>
          <w:sz w:val="24"/>
          <w:szCs w:val="24"/>
        </w:rPr>
        <w:br w:type="page"/>
      </w:r>
    </w:p>
    <w:p w14:paraId="30E96B1C" w14:textId="77777777" w:rsidR="005B43B3" w:rsidRPr="004718E9" w:rsidRDefault="005B43B3" w:rsidP="005B43B3">
      <w:pPr>
        <w:pStyle w:val="NoSpacing"/>
        <w:spacing w:before="240" w:line="276" w:lineRule="auto"/>
        <w:rPr>
          <w:rFonts w:ascii="Arial" w:hAnsi="Arial" w:cs="Arial"/>
          <w:b/>
          <w:kern w:val="0"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lastRenderedPageBreak/>
        <w:t xml:space="preserve">Extended Data Fig. 3 </w:t>
      </w:r>
      <w:r w:rsidRPr="004718E9">
        <w:rPr>
          <w:rFonts w:ascii="Arial" w:hAnsi="Arial" w:cs="Arial"/>
          <w:b/>
          <w:kern w:val="0"/>
          <w:sz w:val="24"/>
          <w:szCs w:val="24"/>
        </w:rPr>
        <w:t xml:space="preserve">Pharmacological suppression of HPA axis activation blocks the </w:t>
      </w:r>
      <w:proofErr w:type="spellStart"/>
      <w:r w:rsidRPr="004718E9">
        <w:rPr>
          <w:rFonts w:ascii="Arial" w:hAnsi="Arial" w:cs="Arial"/>
          <w:b/>
          <w:kern w:val="0"/>
          <w:sz w:val="24"/>
          <w:szCs w:val="24"/>
        </w:rPr>
        <w:t>antidepressive</w:t>
      </w:r>
      <w:proofErr w:type="spellEnd"/>
      <w:r w:rsidRPr="004718E9">
        <w:rPr>
          <w:rFonts w:ascii="Arial" w:hAnsi="Arial" w:cs="Arial"/>
          <w:b/>
          <w:kern w:val="0"/>
          <w:sz w:val="24"/>
          <w:szCs w:val="24"/>
        </w:rPr>
        <w:t xml:space="preserve"> effects of RS5. </w:t>
      </w:r>
    </w:p>
    <w:p w14:paraId="05BED031" w14:textId="77777777" w:rsidR="005B43B3" w:rsidRPr="004718E9" w:rsidRDefault="005B43B3" w:rsidP="005B43B3">
      <w:pPr>
        <w:pStyle w:val="NoSpacing"/>
        <w:spacing w:before="240" w:line="276" w:lineRule="auto"/>
        <w:rPr>
          <w:rFonts w:ascii="Arial" w:hAnsi="Arial" w:cs="Arial"/>
          <w:sz w:val="24"/>
          <w:szCs w:val="24"/>
        </w:rPr>
      </w:pPr>
      <w:r w:rsidRPr="004718E9">
        <w:rPr>
          <w:rFonts w:ascii="Arial" w:hAnsi="Arial" w:cs="Arial"/>
          <w:b/>
          <w:kern w:val="0"/>
          <w:sz w:val="24"/>
          <w:szCs w:val="24"/>
        </w:rPr>
        <w:t>a</w:t>
      </w:r>
      <w:r w:rsidRPr="004718E9">
        <w:rPr>
          <w:rFonts w:ascii="Arial" w:hAnsi="Arial" w:cs="Arial"/>
          <w:kern w:val="0"/>
          <w:sz w:val="24"/>
          <w:szCs w:val="24"/>
        </w:rPr>
        <w:t xml:space="preserve">, </w:t>
      </w:r>
      <w:r w:rsidRPr="004718E9">
        <w:rPr>
          <w:rFonts w:ascii="Arial" w:hAnsi="Arial" w:cs="Arial"/>
          <w:sz w:val="24"/>
          <w:szCs w:val="24"/>
        </w:rPr>
        <w:t xml:space="preserve">Experimental design. Mice were treated with CRST, followed by daily 5-min restraint 30 min after NBI27914 or RU486 injection for indicated days, and subsequent behavioral tests. </w:t>
      </w:r>
    </w:p>
    <w:p w14:paraId="04459210" w14:textId="77777777" w:rsidR="005B43B3" w:rsidRPr="004718E9" w:rsidRDefault="005B43B3" w:rsidP="005B43B3">
      <w:pPr>
        <w:pStyle w:val="NoSpacing"/>
        <w:spacing w:before="240" w:line="276" w:lineRule="auto"/>
        <w:rPr>
          <w:rFonts w:ascii="Arial" w:hAnsi="Arial" w:cs="Arial"/>
          <w:kern w:val="0"/>
          <w:sz w:val="24"/>
          <w:szCs w:val="24"/>
        </w:rPr>
      </w:pPr>
      <w:r w:rsidRPr="004718E9">
        <w:rPr>
          <w:rFonts w:ascii="Arial" w:hAnsi="Arial" w:cs="Arial"/>
          <w:b/>
          <w:kern w:val="0"/>
          <w:sz w:val="24"/>
          <w:szCs w:val="24"/>
        </w:rPr>
        <w:t>b</w:t>
      </w:r>
      <w:r w:rsidRPr="004718E9">
        <w:rPr>
          <w:rFonts w:ascii="Arial" w:hAnsi="Arial" w:cs="Arial"/>
          <w:sz w:val="24"/>
          <w:szCs w:val="24"/>
        </w:rPr>
        <w:t>–</w:t>
      </w:r>
      <w:r w:rsidRPr="004718E9">
        <w:rPr>
          <w:rFonts w:ascii="Arial" w:hAnsi="Arial" w:cs="Arial"/>
          <w:b/>
          <w:bCs/>
          <w:sz w:val="24"/>
          <w:szCs w:val="24"/>
        </w:rPr>
        <w:t>h</w:t>
      </w:r>
      <w:r w:rsidRPr="004718E9">
        <w:rPr>
          <w:rFonts w:ascii="Arial" w:hAnsi="Arial" w:cs="Arial"/>
          <w:kern w:val="0"/>
          <w:sz w:val="24"/>
          <w:szCs w:val="24"/>
        </w:rPr>
        <w:t xml:space="preserve">, </w:t>
      </w:r>
      <w:r w:rsidRPr="004718E9">
        <w:rPr>
          <w:rFonts w:ascii="Arial" w:hAnsi="Arial" w:cs="Arial"/>
          <w:sz w:val="24"/>
          <w:szCs w:val="24"/>
        </w:rPr>
        <w:t>Basal serum CORT levels in the indicated groups (</w:t>
      </w:r>
      <w:r w:rsidRPr="004718E9">
        <w:rPr>
          <w:rFonts w:ascii="Arial" w:hAnsi="Arial" w:cs="Arial"/>
          <w:b/>
          <w:bCs/>
          <w:sz w:val="24"/>
          <w:szCs w:val="24"/>
        </w:rPr>
        <w:t>b</w:t>
      </w:r>
      <w:r w:rsidRPr="004718E9">
        <w:rPr>
          <w:rFonts w:ascii="Arial" w:hAnsi="Arial" w:cs="Arial"/>
          <w:sz w:val="24"/>
          <w:szCs w:val="24"/>
        </w:rPr>
        <w:t>) (</w:t>
      </w:r>
      <w:r w:rsidRPr="004718E9">
        <w:rPr>
          <w:rFonts w:ascii="Arial" w:hAnsi="Arial" w:cs="Arial"/>
          <w:i/>
          <w:sz w:val="24"/>
          <w:szCs w:val="24"/>
        </w:rPr>
        <w:t xml:space="preserve">n </w:t>
      </w:r>
      <w:r w:rsidRPr="004718E9">
        <w:rPr>
          <w:rFonts w:ascii="Arial" w:hAnsi="Arial" w:cs="Arial"/>
          <w:sz w:val="24"/>
          <w:szCs w:val="24"/>
        </w:rPr>
        <w:t>= 7-8 per group). Behavioral performance in the SIT (</w:t>
      </w:r>
      <w:r w:rsidRPr="004718E9">
        <w:rPr>
          <w:rFonts w:ascii="Arial" w:hAnsi="Arial" w:cs="Arial"/>
          <w:b/>
          <w:bCs/>
          <w:sz w:val="24"/>
          <w:szCs w:val="24"/>
        </w:rPr>
        <w:t>c</w:t>
      </w:r>
      <w:r w:rsidRPr="004718E9">
        <w:rPr>
          <w:rFonts w:ascii="Arial" w:hAnsi="Arial" w:cs="Arial"/>
          <w:sz w:val="24"/>
          <w:szCs w:val="24"/>
        </w:rPr>
        <w:t>), SPT (</w:t>
      </w:r>
      <w:r w:rsidRPr="004718E9">
        <w:rPr>
          <w:rFonts w:ascii="Arial" w:hAnsi="Arial" w:cs="Arial"/>
          <w:b/>
          <w:bCs/>
          <w:sz w:val="24"/>
          <w:szCs w:val="24"/>
        </w:rPr>
        <w:t>d</w:t>
      </w:r>
      <w:r w:rsidRPr="004718E9">
        <w:rPr>
          <w:rFonts w:ascii="Arial" w:hAnsi="Arial" w:cs="Arial"/>
          <w:sz w:val="24"/>
          <w:szCs w:val="24"/>
        </w:rPr>
        <w:t>), TST (</w:t>
      </w:r>
      <w:r w:rsidRPr="004718E9">
        <w:rPr>
          <w:rFonts w:ascii="Arial" w:hAnsi="Arial" w:cs="Arial"/>
          <w:b/>
          <w:bCs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), and FST (</w:t>
      </w:r>
      <w:r w:rsidRPr="004718E9">
        <w:rPr>
          <w:rFonts w:ascii="Arial" w:hAnsi="Arial" w:cs="Arial"/>
          <w:b/>
          <w:bCs/>
          <w:sz w:val="24"/>
          <w:szCs w:val="24"/>
        </w:rPr>
        <w:t>f</w:t>
      </w:r>
      <w:r w:rsidRPr="004718E9">
        <w:rPr>
          <w:rFonts w:ascii="Arial" w:hAnsi="Arial" w:cs="Arial"/>
          <w:sz w:val="24"/>
          <w:szCs w:val="24"/>
        </w:rPr>
        <w:t xml:space="preserve">) for the indicated groups. </w:t>
      </w:r>
      <w:r w:rsidRPr="004718E9">
        <w:rPr>
          <w:rFonts w:ascii="Arial" w:hAnsi="Arial" w:cs="Arial"/>
          <w:i/>
          <w:sz w:val="24"/>
          <w:szCs w:val="24"/>
        </w:rPr>
        <w:t>K</w:t>
      </w:r>
      <w:r w:rsidRPr="004718E9">
        <w:rPr>
          <w:rFonts w:ascii="Arial" w:hAnsi="Arial" w:cs="Arial"/>
          <w:sz w:val="24"/>
          <w:szCs w:val="24"/>
        </w:rPr>
        <w:t>-Means clustering of individuals in the SIT x SPT x [TST x FST] matrix (</w:t>
      </w:r>
      <w:r w:rsidRPr="004718E9">
        <w:rPr>
          <w:rFonts w:ascii="Arial" w:hAnsi="Arial" w:cs="Arial"/>
          <w:b/>
          <w:bCs/>
          <w:sz w:val="24"/>
          <w:szCs w:val="24"/>
        </w:rPr>
        <w:t>g</w:t>
      </w:r>
      <w:r w:rsidRPr="004718E9">
        <w:rPr>
          <w:rFonts w:ascii="Arial" w:hAnsi="Arial" w:cs="Arial"/>
          <w:sz w:val="24"/>
          <w:szCs w:val="24"/>
        </w:rPr>
        <w:t>) and % composition of each group in the clusters (</w:t>
      </w:r>
      <w:r w:rsidRPr="004718E9">
        <w:rPr>
          <w:rFonts w:ascii="Arial" w:hAnsi="Arial" w:cs="Arial"/>
          <w:b/>
          <w:bCs/>
          <w:sz w:val="24"/>
          <w:szCs w:val="24"/>
        </w:rPr>
        <w:t>h</w:t>
      </w:r>
      <w:r w:rsidRPr="004718E9">
        <w:rPr>
          <w:rFonts w:ascii="Arial" w:hAnsi="Arial" w:cs="Arial"/>
          <w:sz w:val="24"/>
          <w:szCs w:val="24"/>
        </w:rPr>
        <w:t xml:space="preserve">). The </w:t>
      </w:r>
      <w:r w:rsidRPr="004718E9">
        <w:rPr>
          <w:rStyle w:val="st1"/>
          <w:rFonts w:ascii="Arial" w:hAnsi="Arial" w:cs="Arial"/>
          <w:sz w:val="24"/>
          <w:szCs w:val="24"/>
        </w:rPr>
        <w:t>TST and FST components were transformed into</w:t>
      </w:r>
      <w:r w:rsidRPr="004718E9">
        <w:rPr>
          <w:rFonts w:ascii="Arial" w:hAnsi="Arial" w:cs="Arial"/>
          <w:sz w:val="24"/>
          <w:szCs w:val="24"/>
        </w:rPr>
        <w:t xml:space="preserve"> a one-</w:t>
      </w:r>
      <w:r w:rsidRPr="004718E9">
        <w:rPr>
          <w:rStyle w:val="st1"/>
          <w:rFonts w:ascii="Arial" w:hAnsi="Arial" w:cs="Arial"/>
          <w:sz w:val="24"/>
          <w:szCs w:val="24"/>
        </w:rPr>
        <w:t>dimensional variable using PCA (</w:t>
      </w:r>
      <w:r w:rsidRPr="004718E9">
        <w:rPr>
          <w:rFonts w:ascii="Arial" w:hAnsi="Arial" w:cs="Arial"/>
          <w:sz w:val="24"/>
          <w:szCs w:val="24"/>
        </w:rPr>
        <w:t>PVE; 74.4%)</w:t>
      </w:r>
      <w:r w:rsidRPr="004718E9">
        <w:rPr>
          <w:rStyle w:val="st1"/>
          <w:rFonts w:ascii="Arial" w:hAnsi="Arial" w:cs="Arial"/>
          <w:sz w:val="24"/>
          <w:szCs w:val="24"/>
        </w:rPr>
        <w:t xml:space="preserve"> </w:t>
      </w:r>
      <w:r w:rsidRPr="004718E9">
        <w:rPr>
          <w:rFonts w:ascii="Arial" w:hAnsi="Arial" w:cs="Arial"/>
          <w:sz w:val="24"/>
          <w:szCs w:val="24"/>
        </w:rPr>
        <w:t>(</w:t>
      </w:r>
      <w:r w:rsidRPr="004718E9">
        <w:rPr>
          <w:rFonts w:ascii="Arial" w:hAnsi="Arial" w:cs="Arial"/>
          <w:i/>
          <w:sz w:val="24"/>
          <w:szCs w:val="24"/>
        </w:rPr>
        <w:t xml:space="preserve">n </w:t>
      </w:r>
      <w:r w:rsidRPr="004718E9">
        <w:rPr>
          <w:rFonts w:ascii="Arial" w:hAnsi="Arial" w:cs="Arial"/>
          <w:sz w:val="24"/>
          <w:szCs w:val="24"/>
        </w:rPr>
        <w:t>= 7-10 per group).</w:t>
      </w:r>
      <w:r w:rsidRPr="004718E9">
        <w:rPr>
          <w:rFonts w:ascii="Arial" w:hAnsi="Arial" w:cs="Arial"/>
          <w:kern w:val="0"/>
          <w:sz w:val="24"/>
          <w:szCs w:val="24"/>
        </w:rPr>
        <w:t xml:space="preserve"> </w:t>
      </w:r>
    </w:p>
    <w:p w14:paraId="7C01345E" w14:textId="77777777" w:rsidR="005B43B3" w:rsidRPr="004718E9" w:rsidRDefault="005B43B3" w:rsidP="005B43B3">
      <w:pPr>
        <w:pStyle w:val="NoSpacing"/>
        <w:spacing w:before="240" w:line="276" w:lineRule="auto"/>
        <w:rPr>
          <w:rFonts w:ascii="Arial" w:hAnsi="Arial" w:cs="Arial"/>
          <w:kern w:val="0"/>
          <w:sz w:val="24"/>
          <w:szCs w:val="24"/>
          <w:lang w:eastAsia="en-US"/>
        </w:rPr>
      </w:pPr>
      <w:r w:rsidRPr="004718E9">
        <w:rPr>
          <w:rFonts w:ascii="Arial" w:hAnsi="Arial" w:cs="Arial"/>
          <w:kern w:val="0"/>
          <w:sz w:val="24"/>
          <w:szCs w:val="24"/>
        </w:rPr>
        <w:t xml:space="preserve">Data are mean ± SEM. *, difference compared to control; #, difference compared to CRST; +, difference compared to CRST+RS5; @, difference compared to the indicated group. *, #, +, @, </w:t>
      </w:r>
      <w:r w:rsidRPr="004718E9">
        <w:rPr>
          <w:rFonts w:ascii="Arial" w:hAnsi="Arial" w:cs="Arial"/>
          <w:i/>
          <w:kern w:val="0"/>
          <w:sz w:val="24"/>
          <w:szCs w:val="24"/>
        </w:rPr>
        <w:t>p</w:t>
      </w:r>
      <w:r w:rsidRPr="004718E9">
        <w:rPr>
          <w:rFonts w:ascii="Arial" w:hAnsi="Arial" w:cs="Arial"/>
          <w:kern w:val="0"/>
          <w:sz w:val="24"/>
          <w:szCs w:val="24"/>
        </w:rPr>
        <w:t xml:space="preserve"> &lt; 0.05; **, ##, ++, @@, </w:t>
      </w:r>
      <w:r w:rsidRPr="004718E9">
        <w:rPr>
          <w:rFonts w:ascii="Arial" w:hAnsi="Arial" w:cs="Arial"/>
          <w:i/>
          <w:kern w:val="0"/>
          <w:sz w:val="24"/>
          <w:szCs w:val="24"/>
        </w:rPr>
        <w:t>p</w:t>
      </w:r>
      <w:r w:rsidRPr="004718E9">
        <w:rPr>
          <w:rFonts w:ascii="Arial" w:hAnsi="Arial" w:cs="Arial"/>
          <w:kern w:val="0"/>
          <w:sz w:val="24"/>
          <w:szCs w:val="24"/>
        </w:rPr>
        <w:t xml:space="preserve"> &lt; 0.01; </w:t>
      </w:r>
      <w:proofErr w:type="spellStart"/>
      <w:r w:rsidRPr="004718E9">
        <w:rPr>
          <w:rFonts w:ascii="Arial" w:hAnsi="Arial" w:cs="Arial"/>
          <w:kern w:val="0"/>
          <w:sz w:val="24"/>
          <w:szCs w:val="24"/>
        </w:rPr>
        <w:t>n.s</w:t>
      </w:r>
      <w:proofErr w:type="spellEnd"/>
      <w:r w:rsidRPr="004718E9">
        <w:rPr>
          <w:rFonts w:ascii="Arial" w:hAnsi="Arial" w:cs="Arial"/>
          <w:kern w:val="0"/>
          <w:sz w:val="24"/>
          <w:szCs w:val="24"/>
        </w:rPr>
        <w:t>., not significant (One-way ANOVA followed by Newman-</w:t>
      </w:r>
      <w:proofErr w:type="spellStart"/>
      <w:r w:rsidRPr="004718E9">
        <w:rPr>
          <w:rFonts w:ascii="Arial" w:hAnsi="Arial" w:cs="Arial"/>
          <w:kern w:val="0"/>
          <w:sz w:val="24"/>
          <w:szCs w:val="24"/>
        </w:rPr>
        <w:t>Keuls</w:t>
      </w:r>
      <w:proofErr w:type="spellEnd"/>
      <w:r w:rsidRPr="004718E9">
        <w:rPr>
          <w:rFonts w:ascii="Arial" w:hAnsi="Arial" w:cs="Arial"/>
          <w:kern w:val="0"/>
          <w:sz w:val="24"/>
          <w:szCs w:val="24"/>
        </w:rPr>
        <w:t xml:space="preserve"> post-hoc test). </w:t>
      </w:r>
      <w:r w:rsidRPr="004718E9">
        <w:rPr>
          <w:rFonts w:ascii="Arial" w:hAnsi="Arial" w:cs="Arial"/>
          <w:kern w:val="0"/>
          <w:sz w:val="24"/>
          <w:szCs w:val="24"/>
          <w:lang w:eastAsia="en-US"/>
        </w:rPr>
        <w:t>See Supplementary Table 4 for statistical details.</w:t>
      </w:r>
      <w:r w:rsidRPr="004718E9">
        <w:rPr>
          <w:rFonts w:ascii="Arial" w:hAnsi="Arial" w:cs="Arial"/>
          <w:kern w:val="0"/>
          <w:sz w:val="24"/>
          <w:szCs w:val="24"/>
          <w:lang w:eastAsia="en-US"/>
        </w:rPr>
        <w:br w:type="page"/>
      </w:r>
    </w:p>
    <w:p w14:paraId="55430211" w14:textId="77777777" w:rsidR="005B43B3" w:rsidRPr="004718E9" w:rsidRDefault="005B43B3" w:rsidP="005B43B3">
      <w:pPr>
        <w:widowControl/>
        <w:wordWrap/>
        <w:autoSpaceDE/>
        <w:autoSpaceDN/>
        <w:spacing w:before="240" w:after="160" w:line="259" w:lineRule="auto"/>
        <w:rPr>
          <w:rFonts w:ascii="Arial" w:eastAsiaTheme="minorEastAsia" w:hAnsi="Arial" w:cs="Arial"/>
          <w:b/>
          <w:kern w:val="0"/>
          <w:sz w:val="24"/>
          <w:szCs w:val="24"/>
        </w:rPr>
      </w:pPr>
      <w:r w:rsidRPr="004718E9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68D40019" wp14:editId="2814A7D5">
            <wp:simplePos x="0" y="0"/>
            <wp:positionH relativeFrom="column">
              <wp:posOffset>0</wp:posOffset>
            </wp:positionH>
            <wp:positionV relativeFrom="paragraph">
              <wp:posOffset>361950</wp:posOffset>
            </wp:positionV>
            <wp:extent cx="5227320" cy="7344410"/>
            <wp:effectExtent l="0" t="0" r="0" b="0"/>
            <wp:wrapTopAndBottom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734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8E9">
        <w:rPr>
          <w:rFonts w:ascii="Arial" w:hAnsi="Arial" w:cs="Arial" w:hint="eastAsia"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xtended Data Fig. 4</w:t>
      </w:r>
      <w:r w:rsidRPr="004718E9">
        <w:rPr>
          <w:rFonts w:ascii="Arial" w:eastAsiaTheme="minorEastAsia" w:hAnsi="Arial" w:cs="Arial"/>
          <w:b/>
          <w:kern w:val="0"/>
          <w:sz w:val="24"/>
          <w:szCs w:val="24"/>
        </w:rPr>
        <w:br w:type="page"/>
      </w:r>
    </w:p>
    <w:p w14:paraId="06B33333" w14:textId="77777777" w:rsidR="005B43B3" w:rsidRPr="004718E9" w:rsidRDefault="005B43B3" w:rsidP="005B43B3">
      <w:pPr>
        <w:pStyle w:val="NoSpacing"/>
        <w:spacing w:before="240" w:line="276" w:lineRule="auto"/>
        <w:rPr>
          <w:rFonts w:ascii="Arial" w:eastAsia="Malgun Gothic" w:hAnsi="Arial" w:cs="Arial"/>
          <w:b/>
          <w:sz w:val="24"/>
          <w:szCs w:val="24"/>
        </w:rPr>
      </w:pPr>
      <w:r w:rsidRPr="004718E9">
        <w:rPr>
          <w:rFonts w:ascii="Arial" w:hAnsi="Arial" w:cs="Arial"/>
          <w:b/>
          <w:kern w:val="0"/>
          <w:sz w:val="24"/>
          <w:szCs w:val="24"/>
        </w:rPr>
        <w:lastRenderedPageBreak/>
        <w:t>Extended Data Fig. 4</w:t>
      </w:r>
      <w:r w:rsidRPr="004718E9">
        <w:rPr>
          <w:rFonts w:ascii="Arial" w:hAnsi="Arial" w:cs="Arial"/>
          <w:kern w:val="0"/>
          <w:sz w:val="24"/>
          <w:szCs w:val="24"/>
        </w:rPr>
        <w:t xml:space="preserve"> </w:t>
      </w:r>
      <w:r w:rsidRPr="004718E9">
        <w:rPr>
          <w:rFonts w:ascii="Arial" w:hAnsi="Arial" w:cs="Arial"/>
          <w:b/>
          <w:kern w:val="0"/>
          <w:sz w:val="24"/>
          <w:szCs w:val="24"/>
        </w:rPr>
        <w:t xml:space="preserve">Low-dose </w:t>
      </w:r>
      <w:r w:rsidRPr="004718E9">
        <w:rPr>
          <w:rFonts w:ascii="Arial" w:eastAsia="Malgun Gothic" w:hAnsi="Arial" w:cs="Arial"/>
          <w:b/>
          <w:sz w:val="24"/>
          <w:szCs w:val="24"/>
        </w:rPr>
        <w:t xml:space="preserve">CORT treatment activates the brain regions regulating stress coping in CRST mice. </w:t>
      </w:r>
    </w:p>
    <w:p w14:paraId="23BFEA05" w14:textId="77777777" w:rsidR="005B43B3" w:rsidRPr="004718E9" w:rsidRDefault="005B43B3" w:rsidP="005B43B3">
      <w:pPr>
        <w:pStyle w:val="NoSpacing"/>
        <w:wordWrap/>
        <w:spacing w:before="240" w:line="276" w:lineRule="auto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a</w:t>
      </w:r>
      <w:r w:rsidRPr="004718E9">
        <w:rPr>
          <w:rFonts w:ascii="Arial" w:hAnsi="Arial" w:cs="Arial"/>
          <w:bCs/>
          <w:sz w:val="24"/>
          <w:szCs w:val="24"/>
        </w:rPr>
        <w:t xml:space="preserve">, Experimental design. Mice were subjected to CRST, followed by CORT injection (blue arrows) at 0.1, 0.5, or 1.0 mg/kg/day for 7 days and then sacrificed 25 min after an additional CORT injection on post-stress day 8. Red arrow, time point for tissue prep. </w:t>
      </w:r>
    </w:p>
    <w:p w14:paraId="14818807" w14:textId="77777777" w:rsidR="005B43B3" w:rsidRPr="004718E9" w:rsidRDefault="005B43B3" w:rsidP="005B43B3">
      <w:pPr>
        <w:pStyle w:val="NoSpacing"/>
        <w:wordWrap/>
        <w:spacing w:before="240" w:line="276" w:lineRule="auto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b</w:t>
      </w:r>
      <w:r w:rsidRPr="004718E9">
        <w:rPr>
          <w:rFonts w:ascii="Arial" w:hAnsi="Arial" w:cs="Arial"/>
          <w:bCs/>
          <w:iCs/>
          <w:sz w:val="24"/>
          <w:szCs w:val="24"/>
        </w:rPr>
        <w:t>,</w:t>
      </w:r>
      <w:r w:rsidRPr="004718E9">
        <w:rPr>
          <w:rFonts w:ascii="Arial" w:hAnsi="Arial" w:cs="Arial"/>
          <w:bCs/>
          <w:i/>
          <w:sz w:val="24"/>
          <w:szCs w:val="24"/>
        </w:rPr>
        <w:t xml:space="preserve"> c-</w:t>
      </w:r>
      <w:proofErr w:type="spellStart"/>
      <w:r w:rsidRPr="004718E9">
        <w:rPr>
          <w:rFonts w:ascii="Arial" w:hAnsi="Arial" w:cs="Arial"/>
          <w:bCs/>
          <w:i/>
          <w:sz w:val="24"/>
          <w:szCs w:val="24"/>
        </w:rPr>
        <w:t>Fos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expression levels induced by CORT injection in the PL, BLA, 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NAcc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vSub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dBNST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vBNST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>, and PVN (</w:t>
      </w:r>
      <w:r w:rsidRPr="004718E9">
        <w:rPr>
          <w:rFonts w:ascii="Arial" w:hAnsi="Arial" w:cs="Arial"/>
          <w:bCs/>
          <w:i/>
          <w:sz w:val="24"/>
          <w:szCs w:val="24"/>
        </w:rPr>
        <w:t xml:space="preserve">n </w:t>
      </w:r>
      <w:r w:rsidRPr="004718E9">
        <w:rPr>
          <w:rFonts w:ascii="Arial" w:hAnsi="Arial" w:cs="Arial"/>
          <w:bCs/>
          <w:sz w:val="24"/>
          <w:szCs w:val="24"/>
        </w:rPr>
        <w:t xml:space="preserve">= 4-6 </w:t>
      </w:r>
      <w:r w:rsidRPr="004718E9">
        <w:rPr>
          <w:rFonts w:ascii="Arial" w:hAnsi="Arial" w:cs="Arial"/>
          <w:bCs/>
          <w:kern w:val="0"/>
          <w:sz w:val="24"/>
          <w:szCs w:val="24"/>
        </w:rPr>
        <w:t>per group</w:t>
      </w:r>
      <w:r w:rsidRPr="004718E9">
        <w:rPr>
          <w:rFonts w:ascii="Arial" w:hAnsi="Arial" w:cs="Arial"/>
          <w:bCs/>
          <w:sz w:val="24"/>
          <w:szCs w:val="24"/>
        </w:rPr>
        <w:t xml:space="preserve">). </w:t>
      </w:r>
    </w:p>
    <w:p w14:paraId="484C2F96" w14:textId="77777777" w:rsidR="005B43B3" w:rsidRPr="004718E9" w:rsidRDefault="005B43B3" w:rsidP="005B43B3">
      <w:pPr>
        <w:pStyle w:val="NoSpacing"/>
        <w:wordWrap/>
        <w:spacing w:before="240" w:line="276" w:lineRule="auto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c</w:t>
      </w:r>
      <w:r w:rsidRPr="004718E9">
        <w:rPr>
          <w:rFonts w:ascii="Arial" w:hAnsi="Arial" w:cs="Arial"/>
          <w:bCs/>
          <w:iCs/>
          <w:sz w:val="24"/>
          <w:szCs w:val="24"/>
        </w:rPr>
        <w:t>,</w:t>
      </w:r>
      <w:r w:rsidRPr="004718E9">
        <w:rPr>
          <w:rFonts w:ascii="Arial" w:hAnsi="Arial" w:cs="Arial"/>
          <w:bCs/>
          <w:sz w:val="24"/>
          <w:szCs w:val="24"/>
        </w:rPr>
        <w:t xml:space="preserve"> Photomicrographs showing </w:t>
      </w:r>
      <w:r w:rsidRPr="004718E9">
        <w:rPr>
          <w:rFonts w:ascii="Arial" w:hAnsi="Arial" w:cs="Arial"/>
          <w:bCs/>
          <w:i/>
          <w:sz w:val="24"/>
          <w:szCs w:val="24"/>
        </w:rPr>
        <w:t>c-</w:t>
      </w:r>
      <w:proofErr w:type="spellStart"/>
      <w:r w:rsidRPr="004718E9">
        <w:rPr>
          <w:rFonts w:ascii="Arial" w:hAnsi="Arial" w:cs="Arial"/>
          <w:bCs/>
          <w:i/>
          <w:sz w:val="24"/>
          <w:szCs w:val="24"/>
        </w:rPr>
        <w:t>Fos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expression </w:t>
      </w:r>
      <w:r w:rsidRPr="004718E9">
        <w:rPr>
          <w:rFonts w:ascii="Arial" w:hAnsi="Arial" w:cs="Arial"/>
          <w:kern w:val="0"/>
          <w:sz w:val="24"/>
          <w:szCs w:val="24"/>
        </w:rPr>
        <w:t xml:space="preserve">in the PL, BLA, </w:t>
      </w:r>
      <w:proofErr w:type="spellStart"/>
      <w:r w:rsidRPr="004718E9">
        <w:rPr>
          <w:rFonts w:ascii="Arial" w:hAnsi="Arial" w:cs="Arial"/>
          <w:kern w:val="0"/>
          <w:sz w:val="24"/>
          <w:szCs w:val="24"/>
        </w:rPr>
        <w:t>NAcc</w:t>
      </w:r>
      <w:proofErr w:type="spellEnd"/>
      <w:r w:rsidRPr="004718E9">
        <w:rPr>
          <w:rFonts w:ascii="Arial" w:hAnsi="Arial" w:cs="Arial"/>
          <w:kern w:val="0"/>
          <w:sz w:val="24"/>
          <w:szCs w:val="24"/>
        </w:rPr>
        <w:t xml:space="preserve">, </w:t>
      </w:r>
      <w:proofErr w:type="spellStart"/>
      <w:r w:rsidRPr="004718E9">
        <w:rPr>
          <w:rFonts w:ascii="Arial" w:hAnsi="Arial" w:cs="Arial"/>
          <w:kern w:val="0"/>
          <w:sz w:val="24"/>
          <w:szCs w:val="24"/>
        </w:rPr>
        <w:t>vSub</w:t>
      </w:r>
      <w:proofErr w:type="spellEnd"/>
      <w:r w:rsidRPr="004718E9">
        <w:rPr>
          <w:rFonts w:ascii="Arial" w:hAnsi="Arial" w:cs="Arial"/>
          <w:kern w:val="0"/>
          <w:sz w:val="24"/>
          <w:szCs w:val="24"/>
        </w:rPr>
        <w:t xml:space="preserve">, </w:t>
      </w:r>
      <w:proofErr w:type="spellStart"/>
      <w:r w:rsidRPr="004718E9">
        <w:rPr>
          <w:rFonts w:ascii="Arial" w:hAnsi="Arial" w:cs="Arial"/>
          <w:kern w:val="0"/>
          <w:sz w:val="24"/>
          <w:szCs w:val="24"/>
        </w:rPr>
        <w:t>dBNST</w:t>
      </w:r>
      <w:proofErr w:type="spellEnd"/>
      <w:r w:rsidRPr="004718E9">
        <w:rPr>
          <w:rFonts w:ascii="Arial" w:hAnsi="Arial" w:cs="Arial"/>
          <w:kern w:val="0"/>
          <w:sz w:val="24"/>
          <w:szCs w:val="24"/>
        </w:rPr>
        <w:t xml:space="preserve">, </w:t>
      </w:r>
      <w:proofErr w:type="spellStart"/>
      <w:r w:rsidRPr="004718E9">
        <w:rPr>
          <w:rFonts w:ascii="Arial" w:hAnsi="Arial" w:cs="Arial"/>
          <w:kern w:val="0"/>
          <w:sz w:val="24"/>
          <w:szCs w:val="24"/>
        </w:rPr>
        <w:t>vBNST</w:t>
      </w:r>
      <w:proofErr w:type="spellEnd"/>
      <w:r w:rsidRPr="004718E9">
        <w:rPr>
          <w:rFonts w:ascii="Arial" w:hAnsi="Arial" w:cs="Arial"/>
          <w:kern w:val="0"/>
          <w:sz w:val="24"/>
          <w:szCs w:val="24"/>
        </w:rPr>
        <w:t>, and PVN (red boxes)</w:t>
      </w:r>
      <w:r w:rsidRPr="004718E9">
        <w:rPr>
          <w:rFonts w:ascii="Arial" w:hAnsi="Arial" w:cs="Arial"/>
          <w:bCs/>
          <w:sz w:val="24"/>
          <w:szCs w:val="24"/>
        </w:rPr>
        <w:t xml:space="preserve"> of the CRST control, CRST+CORT (0.1 mg/kg), CRST+CORT (0.5 mg/kg), and CRST+CORT (1.0 mg/kg) groups. </w:t>
      </w:r>
    </w:p>
    <w:p w14:paraId="2DCA6C6E" w14:textId="77777777" w:rsidR="005B43B3" w:rsidRPr="004718E9" w:rsidRDefault="005B43B3" w:rsidP="005B43B3">
      <w:pPr>
        <w:pStyle w:val="NoSpacing"/>
        <w:wordWrap/>
        <w:spacing w:before="240" w:line="276" w:lineRule="auto"/>
        <w:rPr>
          <w:rFonts w:ascii="Arial" w:hAnsi="Arial" w:cs="Arial"/>
          <w:kern w:val="0"/>
          <w:sz w:val="24"/>
          <w:szCs w:val="24"/>
          <w:lang w:eastAsia="en-US"/>
        </w:rPr>
      </w:pPr>
      <w:r w:rsidRPr="004718E9">
        <w:rPr>
          <w:rFonts w:ascii="Arial" w:hAnsi="Arial" w:cs="Arial"/>
          <w:sz w:val="24"/>
          <w:szCs w:val="24"/>
        </w:rPr>
        <w:t xml:space="preserve">The details are shown in Supplementary Table 1. </w:t>
      </w:r>
      <w:r w:rsidRPr="004718E9">
        <w:rPr>
          <w:rFonts w:ascii="Arial" w:hAnsi="Arial" w:cs="Arial"/>
          <w:bCs/>
          <w:sz w:val="24"/>
          <w:szCs w:val="24"/>
        </w:rPr>
        <w:t xml:space="preserve">Data are mean ± SEM. *, **, difference compared to control. *, </w:t>
      </w:r>
      <w:r w:rsidRPr="004718E9">
        <w:rPr>
          <w:rFonts w:ascii="Arial" w:hAnsi="Arial" w:cs="Arial"/>
          <w:bCs/>
          <w:i/>
          <w:sz w:val="24"/>
          <w:szCs w:val="24"/>
        </w:rPr>
        <w:t>p</w:t>
      </w:r>
      <w:r w:rsidRPr="004718E9">
        <w:rPr>
          <w:rFonts w:ascii="Arial" w:hAnsi="Arial" w:cs="Arial"/>
          <w:bCs/>
          <w:sz w:val="24"/>
          <w:szCs w:val="24"/>
        </w:rPr>
        <w:t xml:space="preserve"> &lt; 0.05; **, </w:t>
      </w:r>
      <w:r w:rsidRPr="004718E9">
        <w:rPr>
          <w:rFonts w:ascii="Arial" w:hAnsi="Arial" w:cs="Arial"/>
          <w:bCs/>
          <w:i/>
          <w:sz w:val="24"/>
          <w:szCs w:val="24"/>
        </w:rPr>
        <w:t>p</w:t>
      </w:r>
      <w:r w:rsidRPr="004718E9">
        <w:rPr>
          <w:rFonts w:ascii="Arial" w:hAnsi="Arial" w:cs="Arial"/>
          <w:bCs/>
          <w:sz w:val="24"/>
          <w:szCs w:val="24"/>
        </w:rPr>
        <w:t xml:space="preserve"> &lt; 0.01 (one-way ANOVA followed by Newman-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Keuls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post-hoc test). </w:t>
      </w:r>
      <w:r w:rsidRPr="004718E9">
        <w:rPr>
          <w:rFonts w:ascii="Arial" w:hAnsi="Arial" w:cs="Arial"/>
          <w:kern w:val="0"/>
          <w:sz w:val="24"/>
          <w:szCs w:val="24"/>
          <w:lang w:eastAsia="en-US"/>
        </w:rPr>
        <w:t>See Supplementary Table 4 for statistical details.</w:t>
      </w:r>
      <w:r w:rsidRPr="004718E9">
        <w:rPr>
          <w:rFonts w:ascii="Arial" w:hAnsi="Arial" w:cs="Arial"/>
          <w:kern w:val="0"/>
          <w:sz w:val="24"/>
          <w:szCs w:val="24"/>
          <w:lang w:eastAsia="en-US"/>
        </w:rPr>
        <w:br w:type="page"/>
      </w:r>
    </w:p>
    <w:p w14:paraId="49AE70C2" w14:textId="77777777" w:rsidR="005B43B3" w:rsidRPr="004718E9" w:rsidRDefault="005B43B3" w:rsidP="005B43B3">
      <w:pPr>
        <w:widowControl/>
        <w:wordWrap/>
        <w:autoSpaceDE/>
        <w:autoSpaceDN/>
        <w:spacing w:before="240" w:after="160" w:line="259" w:lineRule="auto"/>
        <w:rPr>
          <w:rFonts w:ascii="Arial" w:hAnsi="Arial" w:cs="Arial"/>
          <w:sz w:val="24"/>
          <w:szCs w:val="24"/>
        </w:rPr>
      </w:pPr>
      <w:r w:rsidRPr="004718E9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3B776DAC" wp14:editId="6FB72A69">
            <wp:simplePos x="0" y="0"/>
            <wp:positionH relativeFrom="column">
              <wp:posOffset>-254</wp:posOffset>
            </wp:positionH>
            <wp:positionV relativeFrom="paragraph">
              <wp:posOffset>390906</wp:posOffset>
            </wp:positionV>
            <wp:extent cx="5720715" cy="4886325"/>
            <wp:effectExtent l="0" t="0" r="0" b="9525"/>
            <wp:wrapTopAndBottom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8E9">
        <w:rPr>
          <w:rFonts w:ascii="Arial" w:hAnsi="Arial" w:cs="Arial" w:hint="eastAsia"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xtended Data Fig. 5</w:t>
      </w:r>
      <w:r w:rsidRPr="004718E9">
        <w:rPr>
          <w:rFonts w:ascii="Arial" w:hAnsi="Arial" w:cs="Arial"/>
          <w:sz w:val="24"/>
          <w:szCs w:val="24"/>
        </w:rPr>
        <w:br w:type="page"/>
      </w:r>
    </w:p>
    <w:p w14:paraId="4428902D" w14:textId="77777777" w:rsidR="005B43B3" w:rsidRPr="004718E9" w:rsidRDefault="005B43B3" w:rsidP="005B43B3">
      <w:pPr>
        <w:widowControl/>
        <w:wordWrap/>
        <w:autoSpaceDE/>
        <w:autoSpaceDN/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lastRenderedPageBreak/>
        <w:t xml:space="preserve">Extended Data Fig. 5 </w:t>
      </w:r>
      <w:r w:rsidRPr="004718E9">
        <w:rPr>
          <w:rFonts w:ascii="Arial" w:hAnsi="Arial" w:cs="Arial"/>
          <w:b/>
          <w:bCs/>
          <w:sz w:val="24"/>
          <w:szCs w:val="24"/>
        </w:rPr>
        <w:t xml:space="preserve">Analysis of gene expression profiles and </w:t>
      </w:r>
      <w:r w:rsidRPr="004718E9">
        <w:rPr>
          <w:rFonts w:ascii="Arial" w:hAnsi="Arial" w:cs="Arial"/>
          <w:b/>
          <w:sz w:val="24"/>
          <w:szCs w:val="24"/>
          <w:lang w:val="en"/>
        </w:rPr>
        <w:t>protein</w:t>
      </w:r>
      <w:r w:rsidRPr="004718E9">
        <w:rPr>
          <w:rFonts w:ascii="Arial" w:hAnsi="Arial" w:cs="Arial"/>
          <w:b/>
          <w:sz w:val="24"/>
          <w:szCs w:val="24"/>
        </w:rPr>
        <w:t>–</w:t>
      </w:r>
      <w:r w:rsidRPr="004718E9">
        <w:rPr>
          <w:rFonts w:ascii="Arial" w:hAnsi="Arial" w:cs="Arial"/>
          <w:b/>
          <w:sz w:val="24"/>
          <w:szCs w:val="24"/>
          <w:lang w:val="en"/>
        </w:rPr>
        <w:t>protein interaction networks</w:t>
      </w:r>
      <w:r w:rsidRPr="004718E9">
        <w:rPr>
          <w:rFonts w:ascii="Arial" w:hAnsi="Arial" w:cs="Arial"/>
          <w:b/>
          <w:bCs/>
          <w:sz w:val="24"/>
          <w:szCs w:val="24"/>
        </w:rPr>
        <w:t xml:space="preserve"> in the PL of mice exposed to CRST and RS5 treatment.</w:t>
      </w:r>
    </w:p>
    <w:p w14:paraId="632FF60C" w14:textId="77777777" w:rsidR="005B43B3" w:rsidRPr="004718E9" w:rsidRDefault="005B43B3" w:rsidP="005B43B3">
      <w:pPr>
        <w:widowControl/>
        <w:wordWrap/>
        <w:autoSpaceDE/>
        <w:autoSpaceDN/>
        <w:spacing w:before="240" w:line="240" w:lineRule="auto"/>
        <w:rPr>
          <w:rFonts w:ascii="Arial" w:hAnsi="Arial" w:cs="Arial"/>
          <w:sz w:val="24"/>
          <w:szCs w:val="24"/>
        </w:rPr>
      </w:pPr>
      <w:r w:rsidRPr="004718E9">
        <w:rPr>
          <w:rFonts w:ascii="Arial" w:hAnsi="Arial" w:cs="Arial"/>
          <w:b/>
          <w:bCs/>
          <w:sz w:val="24"/>
          <w:szCs w:val="24"/>
        </w:rPr>
        <w:t>a</w:t>
      </w:r>
      <w:r w:rsidRPr="004718E9">
        <w:rPr>
          <w:rFonts w:ascii="Arial" w:hAnsi="Arial" w:cs="Arial"/>
          <w:sz w:val="24"/>
          <w:szCs w:val="24"/>
        </w:rPr>
        <w:t xml:space="preserve">, Serial </w:t>
      </w:r>
      <w:r w:rsidRPr="004718E9">
        <w:rPr>
          <w:rFonts w:ascii="Arial" w:hAnsi="Arial" w:cs="Arial"/>
          <w:i/>
          <w:iCs/>
          <w:sz w:val="24"/>
          <w:szCs w:val="24"/>
        </w:rPr>
        <w:t>K</w:t>
      </w:r>
      <w:r w:rsidRPr="004718E9">
        <w:rPr>
          <w:rFonts w:ascii="Arial" w:hAnsi="Arial" w:cs="Arial"/>
          <w:sz w:val="24"/>
          <w:szCs w:val="24"/>
        </w:rPr>
        <w:t xml:space="preserve">-Means clustering was used to group the 986 identified genes into featured clusters. Each increase in </w:t>
      </w:r>
      <w:r w:rsidRPr="004718E9">
        <w:rPr>
          <w:rFonts w:ascii="Arial" w:hAnsi="Arial" w:cs="Arial"/>
          <w:i/>
          <w:iCs/>
          <w:sz w:val="24"/>
          <w:szCs w:val="24"/>
        </w:rPr>
        <w:t>k</w:t>
      </w:r>
      <w:r w:rsidRPr="004718E9">
        <w:rPr>
          <w:rFonts w:ascii="Arial" w:hAnsi="Arial" w:cs="Arial"/>
          <w:sz w:val="24"/>
          <w:szCs w:val="24"/>
        </w:rPr>
        <w:t xml:space="preserve"> value added a new cluster, and its members were mostly supplied from the largest cluster. The cognate inter-clusters are</w:t>
      </w:r>
      <w:r w:rsidRPr="004718E9">
        <w:rPr>
          <w:rFonts w:ascii="Arial" w:hAnsi="Arial" w:cs="Arial"/>
          <w:kern w:val="0"/>
          <w:sz w:val="24"/>
          <w:szCs w:val="24"/>
        </w:rPr>
        <w:t xml:space="preserve"> marked with the same color code. C, cluster. </w:t>
      </w:r>
      <w:r w:rsidRPr="004718E9">
        <w:rPr>
          <w:rFonts w:ascii="Arial" w:hAnsi="Arial" w:cs="Arial"/>
          <w:sz w:val="24"/>
          <w:szCs w:val="24"/>
        </w:rPr>
        <w:t xml:space="preserve">Concerning the </w:t>
      </w:r>
      <w:r w:rsidRPr="004718E9">
        <w:rPr>
          <w:rFonts w:ascii="Arial" w:hAnsi="Arial" w:cs="Arial"/>
          <w:iCs/>
          <w:sz w:val="24"/>
          <w:szCs w:val="24"/>
        </w:rPr>
        <w:t>classification</w:t>
      </w:r>
      <w:r w:rsidRPr="004718E9">
        <w:rPr>
          <w:rFonts w:ascii="Arial" w:hAnsi="Arial" w:cs="Arial"/>
          <w:sz w:val="24"/>
          <w:szCs w:val="24"/>
        </w:rPr>
        <w:t xml:space="preserve"> with </w:t>
      </w:r>
      <w:r w:rsidRPr="004718E9">
        <w:rPr>
          <w:rFonts w:ascii="Arial" w:hAnsi="Arial" w:cs="Arial"/>
          <w:i/>
          <w:iCs/>
          <w:sz w:val="24"/>
          <w:szCs w:val="24"/>
        </w:rPr>
        <w:t>k</w:t>
      </w:r>
      <w:r w:rsidRPr="004718E9">
        <w:rPr>
          <w:rFonts w:ascii="Arial" w:hAnsi="Arial" w:cs="Arial"/>
          <w:sz w:val="24"/>
          <w:szCs w:val="24"/>
        </w:rPr>
        <w:t xml:space="preserve"> = 8, cluster 1 (gray) contained 622 genes; cluster 2 (scarlet) contained 71 genes; cluster 3 (yellow) contained 39 genes; cluster 4 (light green) contained 29 genes; cluster 5 (orange) contained 28 genes; cluster 6 (blue) contained 27 genes; cluster 7 (green) contained 24 genes; and cluster 8 (violet) contained 19 genes. </w:t>
      </w:r>
    </w:p>
    <w:p w14:paraId="41FF132F" w14:textId="77777777" w:rsidR="005B43B3" w:rsidRPr="004718E9" w:rsidRDefault="005B43B3" w:rsidP="005B43B3">
      <w:pPr>
        <w:widowControl/>
        <w:wordWrap/>
        <w:autoSpaceDE/>
        <w:autoSpaceDN/>
        <w:spacing w:before="240" w:line="240" w:lineRule="auto"/>
        <w:rPr>
          <w:rFonts w:ascii="Arial" w:hAnsi="Arial" w:cs="Arial"/>
          <w:sz w:val="24"/>
          <w:szCs w:val="24"/>
        </w:rPr>
      </w:pPr>
      <w:r w:rsidRPr="004718E9">
        <w:rPr>
          <w:rFonts w:ascii="Arial" w:hAnsi="Arial" w:cs="Arial"/>
          <w:b/>
          <w:bCs/>
          <w:sz w:val="24"/>
          <w:szCs w:val="24"/>
        </w:rPr>
        <w:t>b</w:t>
      </w:r>
      <w:r w:rsidRPr="004718E9">
        <w:rPr>
          <w:rFonts w:ascii="Arial" w:hAnsi="Arial" w:cs="Arial"/>
          <w:sz w:val="24"/>
          <w:szCs w:val="24"/>
        </w:rPr>
        <w:t xml:space="preserve">, Functional protein–protein interaction (PPI) </w:t>
      </w:r>
      <w:r w:rsidRPr="004718E9">
        <w:rPr>
          <w:rFonts w:ascii="Arial" w:hAnsi="Arial" w:cs="Arial"/>
          <w:sz w:val="24"/>
          <w:szCs w:val="24"/>
          <w:lang w:val="en"/>
        </w:rPr>
        <w:t>networks</w:t>
      </w:r>
      <w:r w:rsidRPr="004718E9">
        <w:rPr>
          <w:rFonts w:ascii="Arial" w:hAnsi="Arial" w:cs="Arial"/>
          <w:sz w:val="24"/>
          <w:szCs w:val="24"/>
        </w:rPr>
        <w:t xml:space="preserve"> constructed with the 237 genes that belonged to clusters 2 to 8. The members in each cluster are coded with the same colors as indicated above (</w:t>
      </w:r>
      <w:r w:rsidRPr="004718E9">
        <w:rPr>
          <w:rFonts w:ascii="Arial" w:hAnsi="Arial" w:cs="Arial"/>
          <w:b/>
          <w:bCs/>
          <w:sz w:val="24"/>
          <w:szCs w:val="24"/>
        </w:rPr>
        <w:t>a</w:t>
      </w:r>
      <w:r w:rsidRPr="004718E9">
        <w:rPr>
          <w:rFonts w:ascii="Arial" w:hAnsi="Arial" w:cs="Arial"/>
          <w:sz w:val="24"/>
          <w:szCs w:val="24"/>
        </w:rPr>
        <w:t>).</w:t>
      </w:r>
    </w:p>
    <w:p w14:paraId="718FD055" w14:textId="77777777" w:rsidR="005B43B3" w:rsidRPr="004718E9" w:rsidRDefault="005B43B3" w:rsidP="005B43B3">
      <w:pPr>
        <w:widowControl/>
        <w:wordWrap/>
        <w:autoSpaceDE/>
        <w:autoSpaceDN/>
        <w:spacing w:before="240" w:line="240" w:lineRule="auto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b/>
          <w:bCs/>
          <w:sz w:val="24"/>
          <w:szCs w:val="24"/>
        </w:rPr>
        <w:t>c</w:t>
      </w:r>
      <w:r w:rsidRPr="004718E9">
        <w:rPr>
          <w:rFonts w:ascii="Arial" w:hAnsi="Arial" w:cs="Arial"/>
          <w:sz w:val="24"/>
          <w:szCs w:val="24"/>
        </w:rPr>
        <w:t xml:space="preserve">, In the </w:t>
      </w:r>
      <w:r w:rsidRPr="004718E9">
        <w:rPr>
          <w:rFonts w:ascii="Arial" w:hAnsi="Arial" w:cs="Arial"/>
          <w:iCs/>
          <w:sz w:val="24"/>
          <w:szCs w:val="24"/>
        </w:rPr>
        <w:t xml:space="preserve">classification </w:t>
      </w:r>
      <w:r w:rsidRPr="004718E9">
        <w:rPr>
          <w:rFonts w:ascii="Arial" w:hAnsi="Arial" w:cs="Arial"/>
          <w:sz w:val="24"/>
          <w:szCs w:val="24"/>
        </w:rPr>
        <w:t xml:space="preserve">with </w:t>
      </w:r>
      <w:r w:rsidRPr="004718E9">
        <w:rPr>
          <w:rFonts w:ascii="Arial" w:hAnsi="Arial" w:cs="Arial"/>
          <w:i/>
          <w:iCs/>
          <w:sz w:val="24"/>
          <w:szCs w:val="24"/>
        </w:rPr>
        <w:t>k</w:t>
      </w:r>
      <w:r w:rsidRPr="004718E9">
        <w:rPr>
          <w:rFonts w:ascii="Arial" w:hAnsi="Arial" w:cs="Arial"/>
          <w:sz w:val="24"/>
          <w:szCs w:val="24"/>
        </w:rPr>
        <w:t xml:space="preserve"> = 8, clusters 1,2,3,4,6, and 8 are shown with the number of cluster members and selective modules representing specific GO terms. Clusters 5 and 7 are shown in Fig. 4d,e.</w:t>
      </w:r>
      <w:r w:rsidRPr="004718E9">
        <w:rPr>
          <w:rFonts w:ascii="Arial" w:hAnsi="Arial" w:cs="Arial"/>
          <w:b/>
          <w:sz w:val="24"/>
          <w:szCs w:val="24"/>
        </w:rPr>
        <w:br w:type="page"/>
      </w:r>
    </w:p>
    <w:p w14:paraId="35383A0D" w14:textId="77777777" w:rsidR="005B43B3" w:rsidRPr="004718E9" w:rsidRDefault="005B43B3" w:rsidP="005B43B3">
      <w:pPr>
        <w:widowControl/>
        <w:wordWrap/>
        <w:autoSpaceDE/>
        <w:autoSpaceDN/>
        <w:spacing w:before="240" w:after="160" w:line="259" w:lineRule="auto"/>
        <w:rPr>
          <w:rFonts w:ascii="Arial" w:hAnsi="Arial" w:cs="Arial"/>
          <w:sz w:val="24"/>
          <w:szCs w:val="24"/>
        </w:rPr>
      </w:pPr>
      <w:r w:rsidRPr="004718E9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60E2F08F" wp14:editId="7D3385DF">
            <wp:simplePos x="0" y="0"/>
            <wp:positionH relativeFrom="column">
              <wp:posOffset>0</wp:posOffset>
            </wp:positionH>
            <wp:positionV relativeFrom="paragraph">
              <wp:posOffset>375666</wp:posOffset>
            </wp:positionV>
            <wp:extent cx="5727700" cy="5903595"/>
            <wp:effectExtent l="0" t="0" r="0" b="1905"/>
            <wp:wrapTopAndBottom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90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8E9">
        <w:rPr>
          <w:rFonts w:ascii="Arial" w:hAnsi="Arial" w:cs="Arial" w:hint="eastAsia"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xtended Data Fig. 6</w:t>
      </w:r>
      <w:r w:rsidRPr="004718E9">
        <w:rPr>
          <w:rFonts w:ascii="Arial" w:hAnsi="Arial" w:cs="Arial"/>
          <w:sz w:val="24"/>
          <w:szCs w:val="24"/>
        </w:rPr>
        <w:br w:type="page"/>
      </w:r>
    </w:p>
    <w:p w14:paraId="4917D139" w14:textId="77777777" w:rsidR="005B43B3" w:rsidRPr="004718E9" w:rsidRDefault="005B43B3" w:rsidP="005B43B3">
      <w:pPr>
        <w:widowControl/>
        <w:wordWrap/>
        <w:autoSpaceDE/>
        <w:autoSpaceDN/>
        <w:spacing w:after="160" w:line="259" w:lineRule="auto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lastRenderedPageBreak/>
        <w:t>Extended Data Fig. 6 RS5 and low-dose CORT treatment upregulates the reduced expression of NMDAR subunits in the PL of CRST mice.</w:t>
      </w:r>
    </w:p>
    <w:p w14:paraId="31C26301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a</w:t>
      </w:r>
      <w:r w:rsidRPr="004718E9">
        <w:rPr>
          <w:rFonts w:ascii="Arial" w:hAnsi="Arial" w:cs="Arial"/>
          <w:bCs/>
          <w:sz w:val="24"/>
          <w:szCs w:val="24"/>
        </w:rPr>
        <w:t>, Transcript levels of the NMDA receptor subunits NR1, NR2A, and NR2B in the PL of CON, CRST, CRST + RS5, and CRST + CORT (0.1 mg/kg) groups. Sample groups were prepared from the experiments depicted in Fig. 4g,h (</w:t>
      </w:r>
      <w:r w:rsidRPr="004718E9">
        <w:rPr>
          <w:rFonts w:ascii="Arial" w:hAnsi="Arial" w:cs="Arial"/>
          <w:bCs/>
          <w:i/>
          <w:iCs/>
          <w:sz w:val="24"/>
          <w:szCs w:val="24"/>
        </w:rPr>
        <w:t>n</w:t>
      </w:r>
      <w:r w:rsidRPr="004718E9">
        <w:rPr>
          <w:rFonts w:ascii="Arial" w:hAnsi="Arial" w:cs="Arial"/>
          <w:bCs/>
          <w:sz w:val="24"/>
          <w:szCs w:val="24"/>
        </w:rPr>
        <w:t xml:space="preserve"> = 7-12 per group)</w:t>
      </w:r>
    </w:p>
    <w:p w14:paraId="095CFB67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b</w:t>
      </w:r>
      <w:r w:rsidRPr="004718E9">
        <w:rPr>
          <w:rFonts w:ascii="Arial" w:hAnsi="Arial" w:cs="Arial"/>
          <w:bCs/>
          <w:sz w:val="24"/>
          <w:szCs w:val="24"/>
        </w:rPr>
        <w:t>–</w:t>
      </w:r>
      <w:r w:rsidRPr="004718E9">
        <w:rPr>
          <w:rFonts w:ascii="Arial" w:hAnsi="Arial" w:cs="Arial"/>
          <w:b/>
          <w:sz w:val="24"/>
          <w:szCs w:val="24"/>
        </w:rPr>
        <w:t>d</w:t>
      </w:r>
      <w:r w:rsidRPr="004718E9">
        <w:rPr>
          <w:rFonts w:ascii="Arial" w:hAnsi="Arial" w:cs="Arial"/>
          <w:bCs/>
          <w:sz w:val="24"/>
          <w:szCs w:val="24"/>
        </w:rPr>
        <w:t>, Immunofluorescence staining of NR1 (green) expression in the PL for the indicated groups (</w:t>
      </w:r>
      <w:r w:rsidRPr="004718E9">
        <w:rPr>
          <w:rFonts w:ascii="Arial" w:hAnsi="Arial" w:cs="Arial"/>
          <w:b/>
          <w:sz w:val="24"/>
          <w:szCs w:val="24"/>
        </w:rPr>
        <w:t>b</w:t>
      </w:r>
      <w:r w:rsidRPr="004718E9">
        <w:rPr>
          <w:rFonts w:ascii="Arial" w:hAnsi="Arial" w:cs="Arial"/>
          <w:bCs/>
          <w:sz w:val="24"/>
          <w:szCs w:val="24"/>
        </w:rPr>
        <w:t>), and quantification levels of NR1/DAPI (</w:t>
      </w:r>
      <w:r w:rsidRPr="004718E9">
        <w:rPr>
          <w:rFonts w:ascii="Arial" w:hAnsi="Arial" w:cs="Arial"/>
          <w:b/>
          <w:sz w:val="24"/>
          <w:szCs w:val="24"/>
        </w:rPr>
        <w:t>c</w:t>
      </w:r>
      <w:r w:rsidRPr="004718E9">
        <w:rPr>
          <w:rFonts w:ascii="Arial" w:hAnsi="Arial" w:cs="Arial"/>
          <w:bCs/>
          <w:sz w:val="24"/>
          <w:szCs w:val="24"/>
        </w:rPr>
        <w:t>) relative to DAPI intensity (</w:t>
      </w:r>
      <w:r w:rsidRPr="004718E9">
        <w:rPr>
          <w:rFonts w:ascii="Arial" w:hAnsi="Arial" w:cs="Arial"/>
          <w:b/>
          <w:sz w:val="24"/>
          <w:szCs w:val="24"/>
        </w:rPr>
        <w:t>d</w:t>
      </w:r>
      <w:r w:rsidRPr="004718E9">
        <w:rPr>
          <w:rFonts w:ascii="Arial" w:hAnsi="Arial" w:cs="Arial"/>
          <w:bCs/>
          <w:sz w:val="24"/>
          <w:szCs w:val="24"/>
        </w:rPr>
        <w:t>) (</w:t>
      </w:r>
      <w:r w:rsidRPr="004718E9">
        <w:rPr>
          <w:rFonts w:ascii="Arial" w:hAnsi="Arial" w:cs="Arial"/>
          <w:bCs/>
          <w:i/>
          <w:iCs/>
          <w:sz w:val="24"/>
          <w:szCs w:val="24"/>
        </w:rPr>
        <w:t>n</w:t>
      </w:r>
      <w:r w:rsidRPr="004718E9">
        <w:rPr>
          <w:rFonts w:ascii="Arial" w:hAnsi="Arial" w:cs="Arial"/>
          <w:bCs/>
          <w:sz w:val="24"/>
          <w:szCs w:val="24"/>
        </w:rPr>
        <w:t xml:space="preserve"> = 4-6 animals per group; n = 209 – 359 per group). DAPI, blue.</w:t>
      </w:r>
    </w:p>
    <w:p w14:paraId="4F255052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e</w:t>
      </w:r>
      <w:r w:rsidRPr="004718E9">
        <w:rPr>
          <w:rFonts w:ascii="Arial" w:hAnsi="Arial" w:cs="Arial"/>
          <w:bCs/>
          <w:sz w:val="24"/>
          <w:szCs w:val="24"/>
        </w:rPr>
        <w:t>–</w:t>
      </w:r>
      <w:r w:rsidRPr="004718E9">
        <w:rPr>
          <w:rFonts w:ascii="Arial" w:hAnsi="Arial" w:cs="Arial"/>
          <w:b/>
          <w:sz w:val="24"/>
          <w:szCs w:val="24"/>
        </w:rPr>
        <w:t>h</w:t>
      </w:r>
      <w:r w:rsidRPr="004718E9">
        <w:rPr>
          <w:rFonts w:ascii="Arial" w:hAnsi="Arial" w:cs="Arial"/>
          <w:bCs/>
          <w:sz w:val="24"/>
          <w:szCs w:val="24"/>
        </w:rPr>
        <w:t>, Immunofluorescence staining of NR2A (red) and NR2B (green) expression in the PL for the indicated groups (</w:t>
      </w:r>
      <w:r w:rsidRPr="004718E9">
        <w:rPr>
          <w:rFonts w:ascii="Arial" w:hAnsi="Arial" w:cs="Arial"/>
          <w:b/>
          <w:sz w:val="24"/>
          <w:szCs w:val="24"/>
        </w:rPr>
        <w:t>e</w:t>
      </w:r>
      <w:r w:rsidRPr="004718E9">
        <w:rPr>
          <w:rFonts w:ascii="Arial" w:hAnsi="Arial" w:cs="Arial"/>
          <w:bCs/>
          <w:sz w:val="24"/>
          <w:szCs w:val="24"/>
        </w:rPr>
        <w:t>). DAPI, blue. Quantification levels of NR2A/DAPI (</w:t>
      </w:r>
      <w:r w:rsidRPr="004718E9">
        <w:rPr>
          <w:rFonts w:ascii="Arial" w:hAnsi="Arial" w:cs="Arial"/>
          <w:b/>
          <w:sz w:val="24"/>
          <w:szCs w:val="24"/>
        </w:rPr>
        <w:t>f</w:t>
      </w:r>
      <w:r w:rsidRPr="004718E9">
        <w:rPr>
          <w:rFonts w:ascii="Arial" w:hAnsi="Arial" w:cs="Arial"/>
          <w:bCs/>
          <w:sz w:val="24"/>
          <w:szCs w:val="24"/>
        </w:rPr>
        <w:t>) and NR2B/DAPI (</w:t>
      </w:r>
      <w:r w:rsidRPr="004718E9">
        <w:rPr>
          <w:rFonts w:ascii="Arial" w:hAnsi="Arial" w:cs="Arial"/>
          <w:b/>
          <w:sz w:val="24"/>
          <w:szCs w:val="24"/>
        </w:rPr>
        <w:t>g</w:t>
      </w:r>
      <w:r w:rsidRPr="004718E9">
        <w:rPr>
          <w:rFonts w:ascii="Arial" w:hAnsi="Arial" w:cs="Arial"/>
          <w:bCs/>
          <w:sz w:val="24"/>
          <w:szCs w:val="24"/>
        </w:rPr>
        <w:t>), and DAPI intensity (</w:t>
      </w:r>
      <w:r w:rsidRPr="004718E9">
        <w:rPr>
          <w:rFonts w:ascii="Arial" w:hAnsi="Arial" w:cs="Arial"/>
          <w:b/>
          <w:sz w:val="24"/>
          <w:szCs w:val="24"/>
        </w:rPr>
        <w:t>h</w:t>
      </w:r>
      <w:r w:rsidRPr="004718E9">
        <w:rPr>
          <w:rFonts w:ascii="Arial" w:hAnsi="Arial" w:cs="Arial"/>
          <w:bCs/>
          <w:sz w:val="24"/>
          <w:szCs w:val="24"/>
        </w:rPr>
        <w:t>) in individual cells (</w:t>
      </w:r>
      <w:r w:rsidRPr="004718E9">
        <w:rPr>
          <w:rFonts w:ascii="Arial" w:hAnsi="Arial" w:cs="Arial"/>
          <w:bCs/>
          <w:i/>
          <w:iCs/>
          <w:sz w:val="24"/>
          <w:szCs w:val="24"/>
        </w:rPr>
        <w:t>n</w:t>
      </w:r>
      <w:r w:rsidRPr="004718E9">
        <w:rPr>
          <w:rFonts w:ascii="Arial" w:hAnsi="Arial" w:cs="Arial"/>
          <w:bCs/>
          <w:sz w:val="24"/>
          <w:szCs w:val="24"/>
        </w:rPr>
        <w:t xml:space="preserve"> = 4-6 animals per group; </w:t>
      </w:r>
      <w:r w:rsidRPr="004718E9">
        <w:rPr>
          <w:rFonts w:ascii="Arial" w:hAnsi="Arial" w:cs="Arial"/>
          <w:bCs/>
          <w:i/>
          <w:iCs/>
          <w:sz w:val="24"/>
          <w:szCs w:val="24"/>
        </w:rPr>
        <w:t>n</w:t>
      </w:r>
      <w:r w:rsidRPr="004718E9">
        <w:rPr>
          <w:rFonts w:ascii="Arial" w:hAnsi="Arial" w:cs="Arial"/>
          <w:bCs/>
          <w:sz w:val="24"/>
          <w:szCs w:val="24"/>
        </w:rPr>
        <w:t xml:space="preserve"> = 231 – 402 per group).  </w:t>
      </w:r>
    </w:p>
    <w:p w14:paraId="65873294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bCs/>
          <w:sz w:val="24"/>
          <w:szCs w:val="24"/>
        </w:rPr>
        <w:t>Data are mean ± SEM. *, difference compared to control; #, difference compared to CRST. *, #, p &lt; 0.05, **, ##, p &lt; 0.01 (One-way ANOVA followed by Newman-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Keuls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post-hoc test). </w:t>
      </w:r>
      <w:r w:rsidRPr="004718E9">
        <w:rPr>
          <w:rFonts w:ascii="Arial" w:hAnsi="Arial" w:cs="Arial"/>
          <w:kern w:val="0"/>
          <w:sz w:val="24"/>
          <w:szCs w:val="24"/>
          <w:lang w:eastAsia="en-US"/>
        </w:rPr>
        <w:t>See Supplementary Table 4 for statistical details.</w:t>
      </w:r>
      <w:bookmarkStart w:id="0" w:name="_Hlk24634848"/>
      <w:r w:rsidRPr="004718E9">
        <w:rPr>
          <w:rFonts w:ascii="Arial" w:hAnsi="Arial" w:cs="Arial"/>
          <w:b/>
          <w:sz w:val="24"/>
          <w:szCs w:val="24"/>
        </w:rPr>
        <w:br w:type="page"/>
      </w:r>
    </w:p>
    <w:p w14:paraId="0EAC3AF9" w14:textId="77777777" w:rsidR="005B43B3" w:rsidRPr="004718E9" w:rsidRDefault="005B43B3" w:rsidP="005B43B3">
      <w:pPr>
        <w:widowControl/>
        <w:wordWrap/>
        <w:autoSpaceDE/>
        <w:autoSpaceDN/>
        <w:spacing w:before="240" w:after="160" w:line="259" w:lineRule="auto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3CA3B9BE" wp14:editId="70198011">
            <wp:simplePos x="0" y="0"/>
            <wp:positionH relativeFrom="column">
              <wp:posOffset>0</wp:posOffset>
            </wp:positionH>
            <wp:positionV relativeFrom="paragraph">
              <wp:posOffset>427127</wp:posOffset>
            </wp:positionV>
            <wp:extent cx="5727700" cy="6496050"/>
            <wp:effectExtent l="0" t="0" r="6350" b="0"/>
            <wp:wrapTopAndBottom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649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8E9">
        <w:rPr>
          <w:rFonts w:ascii="Arial" w:hAnsi="Arial" w:cs="Arial" w:hint="eastAsia"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xtended Data Fig. 7</w:t>
      </w:r>
      <w:r w:rsidRPr="004718E9">
        <w:rPr>
          <w:rFonts w:ascii="Arial" w:hAnsi="Arial" w:cs="Arial"/>
          <w:b/>
          <w:sz w:val="24"/>
          <w:szCs w:val="24"/>
        </w:rPr>
        <w:br w:type="page"/>
      </w:r>
    </w:p>
    <w:p w14:paraId="005F28D2" w14:textId="77777777" w:rsidR="005B43B3" w:rsidRPr="004718E9" w:rsidRDefault="005B43B3" w:rsidP="005B43B3">
      <w:pPr>
        <w:spacing w:before="240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lastRenderedPageBreak/>
        <w:t xml:space="preserve">Extended Data Fig. 7 </w:t>
      </w:r>
      <w:proofErr w:type="spellStart"/>
      <w:r w:rsidRPr="004718E9">
        <w:rPr>
          <w:rFonts w:ascii="Arial" w:hAnsi="Arial" w:cs="Arial"/>
          <w:b/>
          <w:sz w:val="24"/>
          <w:szCs w:val="24"/>
        </w:rPr>
        <w:t>Chemogenetic</w:t>
      </w:r>
      <w:proofErr w:type="spellEnd"/>
      <w:r w:rsidRPr="004718E9">
        <w:rPr>
          <w:rFonts w:ascii="Arial" w:hAnsi="Arial" w:cs="Arial"/>
          <w:b/>
          <w:sz w:val="24"/>
          <w:szCs w:val="24"/>
        </w:rPr>
        <w:t xml:space="preserve"> activation of PL glutamatergic neurons in CRST mice improves stress-induced depressive behaviors.</w:t>
      </w:r>
    </w:p>
    <w:p w14:paraId="5DADA2E8" w14:textId="77777777" w:rsidR="005B43B3" w:rsidRPr="004718E9" w:rsidRDefault="005B43B3" w:rsidP="005B43B3">
      <w:pPr>
        <w:spacing w:before="240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a</w:t>
      </w:r>
      <w:r w:rsidRPr="004718E9">
        <w:rPr>
          <w:rFonts w:ascii="Arial" w:hAnsi="Arial" w:cs="Arial"/>
          <w:bCs/>
          <w:sz w:val="24"/>
          <w:szCs w:val="24"/>
        </w:rPr>
        <w:t>–</w:t>
      </w:r>
      <w:r w:rsidRPr="004718E9">
        <w:rPr>
          <w:rFonts w:ascii="Arial" w:hAnsi="Arial" w:cs="Arial"/>
          <w:b/>
          <w:sz w:val="24"/>
          <w:szCs w:val="24"/>
        </w:rPr>
        <w:t>f</w:t>
      </w:r>
      <w:r w:rsidRPr="004718E9">
        <w:rPr>
          <w:rFonts w:ascii="Arial" w:hAnsi="Arial" w:cs="Arial"/>
          <w:bCs/>
          <w:sz w:val="24"/>
          <w:szCs w:val="24"/>
        </w:rPr>
        <w:t>, Experimental design (</w:t>
      </w:r>
      <w:r w:rsidRPr="004718E9">
        <w:rPr>
          <w:rFonts w:ascii="Arial" w:hAnsi="Arial" w:cs="Arial"/>
          <w:b/>
          <w:sz w:val="24"/>
          <w:szCs w:val="24"/>
        </w:rPr>
        <w:t>a</w:t>
      </w:r>
      <w:r w:rsidRPr="004718E9">
        <w:rPr>
          <w:rFonts w:ascii="Arial" w:hAnsi="Arial" w:cs="Arial"/>
          <w:bCs/>
          <w:sz w:val="24"/>
          <w:szCs w:val="24"/>
        </w:rPr>
        <w:t xml:space="preserve">). Mice injected 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in the PL </w:t>
      </w:r>
      <w:r w:rsidRPr="004718E9">
        <w:rPr>
          <w:rFonts w:ascii="Arial" w:hAnsi="Arial" w:cs="Arial"/>
          <w:bCs/>
          <w:sz w:val="24"/>
          <w:szCs w:val="24"/>
        </w:rPr>
        <w:t xml:space="preserve">with the </w:t>
      </w:r>
      <w:r w:rsidRPr="004718E9">
        <w:rPr>
          <w:rFonts w:ascii="Arial" w:hAnsi="Arial" w:cs="Arial"/>
          <w:bCs/>
          <w:kern w:val="0"/>
          <w:sz w:val="24"/>
          <w:szCs w:val="24"/>
        </w:rPr>
        <w:t>AAV8-CaMKIIα-hM3D(</w:t>
      </w:r>
      <w:proofErr w:type="spellStart"/>
      <w:r w:rsidRPr="004718E9">
        <w:rPr>
          <w:rFonts w:ascii="Arial" w:hAnsi="Arial" w:cs="Arial"/>
          <w:bCs/>
          <w:kern w:val="0"/>
          <w:sz w:val="24"/>
          <w:szCs w:val="24"/>
        </w:rPr>
        <w:t>Gq</w:t>
      </w:r>
      <w:proofErr w:type="spellEnd"/>
      <w:r w:rsidRPr="004718E9">
        <w:rPr>
          <w:rFonts w:ascii="Arial" w:hAnsi="Arial" w:cs="Arial"/>
          <w:bCs/>
          <w:kern w:val="0"/>
          <w:sz w:val="24"/>
          <w:szCs w:val="24"/>
        </w:rPr>
        <w:t>)-</w:t>
      </w:r>
      <w:proofErr w:type="spellStart"/>
      <w:r w:rsidRPr="004718E9">
        <w:rPr>
          <w:rFonts w:ascii="Arial" w:hAnsi="Arial" w:cs="Arial"/>
          <w:bCs/>
          <w:kern w:val="0"/>
          <w:sz w:val="24"/>
          <w:szCs w:val="24"/>
        </w:rPr>
        <w:t>mCherry</w:t>
      </w:r>
      <w:proofErr w:type="spellEnd"/>
      <w:r w:rsidRPr="004718E9">
        <w:rPr>
          <w:rFonts w:ascii="Arial" w:hAnsi="Arial" w:cs="Arial"/>
          <w:bCs/>
          <w:kern w:val="0"/>
          <w:sz w:val="24"/>
          <w:szCs w:val="24"/>
        </w:rPr>
        <w:t xml:space="preserve"> excitatory vector were subjected to CRST, followed by CNO (red arrow) or </w:t>
      </w:r>
      <w:proofErr w:type="spellStart"/>
      <w:r w:rsidRPr="004718E9">
        <w:rPr>
          <w:rFonts w:ascii="Arial" w:hAnsi="Arial" w:cs="Arial"/>
          <w:bCs/>
          <w:kern w:val="0"/>
          <w:sz w:val="24"/>
          <w:szCs w:val="24"/>
        </w:rPr>
        <w:t>Veh</w:t>
      </w:r>
      <w:proofErr w:type="spellEnd"/>
      <w:r w:rsidRPr="004718E9">
        <w:rPr>
          <w:rFonts w:ascii="Arial" w:hAnsi="Arial" w:cs="Arial"/>
          <w:bCs/>
          <w:kern w:val="0"/>
          <w:sz w:val="24"/>
          <w:szCs w:val="24"/>
        </w:rPr>
        <w:t xml:space="preserve"> (black arrow) injection</w:t>
      </w:r>
      <w:r w:rsidRPr="004718E9">
        <w:rPr>
          <w:rFonts w:ascii="Arial" w:hAnsi="Arial" w:cs="Arial"/>
          <w:bCs/>
          <w:sz w:val="24"/>
          <w:szCs w:val="24"/>
        </w:rPr>
        <w:t xml:space="preserve">. Injection of the 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AAV8 vector </w:t>
      </w:r>
      <w:r w:rsidRPr="004718E9">
        <w:rPr>
          <w:rFonts w:ascii="Arial" w:hAnsi="Arial" w:cs="Arial"/>
          <w:bCs/>
          <w:sz w:val="24"/>
          <w:szCs w:val="24"/>
        </w:rPr>
        <w:t xml:space="preserve">and resulting 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mCherry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expression in the PL (</w:t>
      </w:r>
      <w:r w:rsidRPr="004718E9">
        <w:rPr>
          <w:rFonts w:ascii="Arial" w:hAnsi="Arial" w:cs="Arial"/>
          <w:b/>
          <w:sz w:val="24"/>
          <w:szCs w:val="24"/>
        </w:rPr>
        <w:t>b</w:t>
      </w:r>
      <w:r w:rsidRPr="004718E9">
        <w:rPr>
          <w:rFonts w:ascii="Arial" w:hAnsi="Arial" w:cs="Arial"/>
          <w:bCs/>
          <w:sz w:val="24"/>
          <w:szCs w:val="24"/>
        </w:rPr>
        <w:t>). CNO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-stimulated </w:t>
      </w:r>
      <w:r w:rsidRPr="004718E9">
        <w:rPr>
          <w:rFonts w:ascii="Arial" w:hAnsi="Arial" w:cs="Arial"/>
          <w:bCs/>
          <w:i/>
          <w:sz w:val="24"/>
          <w:szCs w:val="24"/>
        </w:rPr>
        <w:t>c-</w:t>
      </w:r>
      <w:proofErr w:type="spellStart"/>
      <w:r w:rsidRPr="004718E9">
        <w:rPr>
          <w:rFonts w:ascii="Arial" w:hAnsi="Arial" w:cs="Arial"/>
          <w:bCs/>
          <w:i/>
          <w:sz w:val="24"/>
          <w:szCs w:val="24"/>
        </w:rPr>
        <w:t>Fos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induction in the PL of mice carrying AAV8-CaMKIIα-hM3D(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Gq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>)-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mCherry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(</w:t>
      </w:r>
      <w:r w:rsidRPr="004718E9">
        <w:rPr>
          <w:rFonts w:ascii="Arial" w:hAnsi="Arial" w:cs="Arial"/>
          <w:b/>
          <w:sz w:val="24"/>
          <w:szCs w:val="24"/>
        </w:rPr>
        <w:t>c</w:t>
      </w:r>
      <w:r w:rsidRPr="004718E9">
        <w:rPr>
          <w:rFonts w:ascii="Arial" w:hAnsi="Arial" w:cs="Arial"/>
          <w:bCs/>
          <w:sz w:val="24"/>
          <w:szCs w:val="24"/>
        </w:rPr>
        <w:t xml:space="preserve"> and </w:t>
      </w:r>
      <w:r w:rsidRPr="004718E9">
        <w:rPr>
          <w:rFonts w:ascii="Arial" w:hAnsi="Arial" w:cs="Arial"/>
          <w:b/>
          <w:sz w:val="24"/>
          <w:szCs w:val="24"/>
        </w:rPr>
        <w:t>d</w:t>
      </w:r>
      <w:r w:rsidRPr="004718E9">
        <w:rPr>
          <w:rFonts w:ascii="Arial" w:hAnsi="Arial" w:cs="Arial"/>
          <w:bCs/>
          <w:sz w:val="24"/>
          <w:szCs w:val="24"/>
        </w:rPr>
        <w:t>) and AAV8-hSyn-hM3D(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Gq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>)-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mCherry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(</w:t>
      </w:r>
      <w:r w:rsidRPr="004718E9">
        <w:rPr>
          <w:rFonts w:ascii="Arial" w:hAnsi="Arial" w:cs="Arial"/>
          <w:b/>
          <w:sz w:val="24"/>
          <w:szCs w:val="24"/>
        </w:rPr>
        <w:t>e</w:t>
      </w:r>
      <w:r w:rsidRPr="004718E9">
        <w:rPr>
          <w:rFonts w:ascii="Arial" w:hAnsi="Arial" w:cs="Arial"/>
          <w:bCs/>
          <w:sz w:val="24"/>
          <w:szCs w:val="24"/>
        </w:rPr>
        <w:t xml:space="preserve"> and </w:t>
      </w:r>
      <w:r w:rsidRPr="004718E9">
        <w:rPr>
          <w:rFonts w:ascii="Arial" w:hAnsi="Arial" w:cs="Arial"/>
          <w:b/>
          <w:sz w:val="24"/>
          <w:szCs w:val="24"/>
        </w:rPr>
        <w:t>f</w:t>
      </w:r>
      <w:r w:rsidRPr="004718E9">
        <w:rPr>
          <w:rFonts w:ascii="Arial" w:hAnsi="Arial" w:cs="Arial"/>
          <w:bCs/>
          <w:sz w:val="24"/>
          <w:szCs w:val="24"/>
        </w:rPr>
        <w:t xml:space="preserve">) (Exp #1). CNO doses, 0.1, 1.0, or 3.0 mg/kg. </w:t>
      </w:r>
    </w:p>
    <w:p w14:paraId="694F74F9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kern w:val="0"/>
          <w:sz w:val="24"/>
          <w:szCs w:val="24"/>
        </w:rPr>
        <w:t>g</w:t>
      </w:r>
      <w:r w:rsidRPr="004718E9">
        <w:rPr>
          <w:rFonts w:ascii="Arial" w:hAnsi="Arial" w:cs="Arial"/>
          <w:bCs/>
          <w:sz w:val="24"/>
          <w:szCs w:val="24"/>
        </w:rPr>
        <w:t>–</w:t>
      </w:r>
      <w:r w:rsidRPr="004718E9">
        <w:rPr>
          <w:rFonts w:ascii="Arial" w:hAnsi="Arial" w:cs="Arial"/>
          <w:b/>
          <w:kern w:val="0"/>
          <w:sz w:val="24"/>
          <w:szCs w:val="24"/>
        </w:rPr>
        <w:t>k</w:t>
      </w:r>
      <w:r w:rsidRPr="004718E9">
        <w:rPr>
          <w:rFonts w:ascii="Arial" w:hAnsi="Arial" w:cs="Arial"/>
          <w:bCs/>
          <w:kern w:val="0"/>
          <w:sz w:val="24"/>
          <w:szCs w:val="24"/>
        </w:rPr>
        <w:t>,</w:t>
      </w:r>
      <w:r w:rsidRPr="004718E9">
        <w:rPr>
          <w:rFonts w:ascii="Arial" w:hAnsi="Arial" w:cs="Arial"/>
          <w:bCs/>
          <w:sz w:val="24"/>
          <w:szCs w:val="24"/>
        </w:rPr>
        <w:t xml:space="preserve"> Behavioral performance in the SIT (</w:t>
      </w:r>
      <w:r w:rsidRPr="004718E9">
        <w:rPr>
          <w:rFonts w:ascii="Arial" w:hAnsi="Arial" w:cs="Arial"/>
          <w:b/>
          <w:sz w:val="24"/>
          <w:szCs w:val="24"/>
        </w:rPr>
        <w:t>g</w:t>
      </w:r>
      <w:r w:rsidRPr="004718E9">
        <w:rPr>
          <w:rFonts w:ascii="Arial" w:hAnsi="Arial" w:cs="Arial"/>
          <w:bCs/>
          <w:sz w:val="24"/>
          <w:szCs w:val="24"/>
        </w:rPr>
        <w:t>), TST (</w:t>
      </w:r>
      <w:r w:rsidRPr="004718E9">
        <w:rPr>
          <w:rFonts w:ascii="Arial" w:hAnsi="Arial" w:cs="Arial"/>
          <w:b/>
          <w:sz w:val="24"/>
          <w:szCs w:val="24"/>
        </w:rPr>
        <w:t>h</w:t>
      </w:r>
      <w:r w:rsidRPr="004718E9">
        <w:rPr>
          <w:rFonts w:ascii="Arial" w:hAnsi="Arial" w:cs="Arial"/>
          <w:bCs/>
          <w:sz w:val="24"/>
          <w:szCs w:val="24"/>
        </w:rPr>
        <w:t>), and FST (</w:t>
      </w:r>
      <w:proofErr w:type="spellStart"/>
      <w:r w:rsidRPr="004718E9">
        <w:rPr>
          <w:rFonts w:ascii="Arial" w:hAnsi="Arial" w:cs="Arial"/>
          <w:b/>
          <w:sz w:val="24"/>
          <w:szCs w:val="24"/>
        </w:rPr>
        <w:t>i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) for 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the indicated groups on post-stress day 1 </w:t>
      </w:r>
      <w:r w:rsidRPr="004718E9">
        <w:rPr>
          <w:rFonts w:ascii="Arial" w:hAnsi="Arial" w:cs="Arial"/>
          <w:bCs/>
          <w:sz w:val="24"/>
          <w:szCs w:val="24"/>
        </w:rPr>
        <w:t>(Exp #2-1)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. </w:t>
      </w:r>
      <w:r w:rsidRPr="004718E9">
        <w:rPr>
          <w:rFonts w:ascii="Arial" w:hAnsi="Arial" w:cs="Arial"/>
          <w:bCs/>
          <w:i/>
          <w:sz w:val="24"/>
          <w:szCs w:val="24"/>
        </w:rPr>
        <w:t>K</w:t>
      </w:r>
      <w:r w:rsidRPr="004718E9">
        <w:rPr>
          <w:rFonts w:ascii="Arial" w:hAnsi="Arial" w:cs="Arial"/>
          <w:bCs/>
          <w:sz w:val="24"/>
          <w:szCs w:val="24"/>
        </w:rPr>
        <w:t>-Means clustering of individuals in the SIT x TST x FST matrix (</w:t>
      </w:r>
      <w:r w:rsidRPr="004718E9">
        <w:rPr>
          <w:rFonts w:ascii="Arial" w:hAnsi="Arial" w:cs="Arial"/>
          <w:b/>
          <w:sz w:val="24"/>
          <w:szCs w:val="24"/>
        </w:rPr>
        <w:t>j</w:t>
      </w:r>
      <w:r w:rsidRPr="004718E9">
        <w:rPr>
          <w:rFonts w:ascii="Arial" w:hAnsi="Arial" w:cs="Arial"/>
          <w:bCs/>
          <w:sz w:val="24"/>
          <w:szCs w:val="24"/>
        </w:rPr>
        <w:t>) and % composition of each group in the clusters (</w:t>
      </w:r>
      <w:r w:rsidRPr="004718E9">
        <w:rPr>
          <w:rFonts w:ascii="Arial" w:hAnsi="Arial" w:cs="Arial"/>
          <w:b/>
          <w:sz w:val="24"/>
          <w:szCs w:val="24"/>
        </w:rPr>
        <w:t>k</w:t>
      </w:r>
      <w:r w:rsidRPr="004718E9">
        <w:rPr>
          <w:rFonts w:ascii="Arial" w:hAnsi="Arial" w:cs="Arial"/>
          <w:bCs/>
          <w:sz w:val="24"/>
          <w:szCs w:val="24"/>
        </w:rPr>
        <w:t>) (</w:t>
      </w:r>
      <w:r w:rsidRPr="004718E9">
        <w:rPr>
          <w:rFonts w:ascii="Arial" w:hAnsi="Arial" w:cs="Arial"/>
          <w:bCs/>
          <w:i/>
          <w:sz w:val="24"/>
          <w:szCs w:val="24"/>
        </w:rPr>
        <w:t xml:space="preserve">n </w:t>
      </w:r>
      <w:r w:rsidRPr="004718E9">
        <w:rPr>
          <w:rFonts w:ascii="Arial" w:hAnsi="Arial" w:cs="Arial"/>
          <w:bCs/>
          <w:sz w:val="24"/>
          <w:szCs w:val="24"/>
        </w:rPr>
        <w:t xml:space="preserve">= 8 </w:t>
      </w:r>
      <w:r w:rsidRPr="004718E9">
        <w:rPr>
          <w:rFonts w:ascii="Arial" w:hAnsi="Arial" w:cs="Arial"/>
          <w:bCs/>
          <w:kern w:val="0"/>
          <w:sz w:val="24"/>
          <w:szCs w:val="24"/>
        </w:rPr>
        <w:t>per group</w:t>
      </w:r>
      <w:r w:rsidRPr="004718E9">
        <w:rPr>
          <w:rFonts w:ascii="Arial" w:hAnsi="Arial" w:cs="Arial"/>
          <w:bCs/>
          <w:sz w:val="24"/>
          <w:szCs w:val="24"/>
        </w:rPr>
        <w:t xml:space="preserve">). </w:t>
      </w:r>
    </w:p>
    <w:p w14:paraId="284762C1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l</w:t>
      </w:r>
      <w:r w:rsidRPr="004718E9">
        <w:rPr>
          <w:rFonts w:ascii="Arial" w:hAnsi="Arial" w:cs="Arial"/>
          <w:bCs/>
          <w:sz w:val="24"/>
          <w:szCs w:val="24"/>
        </w:rPr>
        <w:t>–</w:t>
      </w:r>
      <w:r w:rsidRPr="004718E9">
        <w:rPr>
          <w:rFonts w:ascii="Arial" w:hAnsi="Arial" w:cs="Arial"/>
          <w:b/>
          <w:sz w:val="24"/>
          <w:szCs w:val="24"/>
        </w:rPr>
        <w:t>p</w:t>
      </w:r>
      <w:r w:rsidRPr="004718E9">
        <w:rPr>
          <w:rFonts w:ascii="Arial" w:hAnsi="Arial" w:cs="Arial"/>
          <w:bCs/>
          <w:sz w:val="24"/>
          <w:szCs w:val="24"/>
        </w:rPr>
        <w:t>,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 </w:t>
      </w:r>
      <w:r w:rsidRPr="004718E9">
        <w:rPr>
          <w:rFonts w:ascii="Arial" w:hAnsi="Arial" w:cs="Arial"/>
          <w:bCs/>
          <w:sz w:val="24"/>
          <w:szCs w:val="24"/>
        </w:rPr>
        <w:t xml:space="preserve">Behavioral performance in </w:t>
      </w:r>
      <w:r w:rsidRPr="004718E9">
        <w:rPr>
          <w:rFonts w:ascii="Arial" w:hAnsi="Arial" w:cs="Arial"/>
          <w:bCs/>
          <w:kern w:val="0"/>
          <w:sz w:val="24"/>
          <w:szCs w:val="24"/>
        </w:rPr>
        <w:t>the SIT (</w:t>
      </w:r>
      <w:r w:rsidRPr="004718E9">
        <w:rPr>
          <w:rFonts w:ascii="Arial" w:hAnsi="Arial" w:cs="Arial"/>
          <w:b/>
          <w:kern w:val="0"/>
          <w:sz w:val="24"/>
          <w:szCs w:val="24"/>
        </w:rPr>
        <w:t>l</w:t>
      </w:r>
      <w:r w:rsidRPr="004718E9">
        <w:rPr>
          <w:rFonts w:ascii="Arial" w:hAnsi="Arial" w:cs="Arial"/>
          <w:bCs/>
          <w:kern w:val="0"/>
          <w:sz w:val="24"/>
          <w:szCs w:val="24"/>
        </w:rPr>
        <w:t>), TST (</w:t>
      </w:r>
      <w:r w:rsidRPr="004718E9">
        <w:rPr>
          <w:rFonts w:ascii="Arial" w:hAnsi="Arial" w:cs="Arial"/>
          <w:b/>
          <w:kern w:val="0"/>
          <w:sz w:val="24"/>
          <w:szCs w:val="24"/>
        </w:rPr>
        <w:t>m</w:t>
      </w:r>
      <w:r w:rsidRPr="004718E9">
        <w:rPr>
          <w:rFonts w:ascii="Arial" w:hAnsi="Arial" w:cs="Arial"/>
          <w:bCs/>
          <w:kern w:val="0"/>
          <w:sz w:val="24"/>
          <w:szCs w:val="24"/>
        </w:rPr>
        <w:t>), and FST (</w:t>
      </w:r>
      <w:r w:rsidRPr="004718E9">
        <w:rPr>
          <w:rFonts w:ascii="Arial" w:hAnsi="Arial" w:cs="Arial"/>
          <w:b/>
          <w:kern w:val="0"/>
          <w:sz w:val="24"/>
          <w:szCs w:val="24"/>
        </w:rPr>
        <w:t>n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) </w:t>
      </w:r>
      <w:r w:rsidRPr="004718E9">
        <w:rPr>
          <w:rFonts w:ascii="Arial" w:hAnsi="Arial" w:cs="Arial"/>
          <w:bCs/>
          <w:sz w:val="24"/>
          <w:szCs w:val="24"/>
        </w:rPr>
        <w:t xml:space="preserve">for 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the indicated groups after CNO wash-out on post-stress day 15 </w:t>
      </w:r>
      <w:r w:rsidRPr="004718E9">
        <w:rPr>
          <w:rFonts w:ascii="Arial" w:hAnsi="Arial" w:cs="Arial"/>
          <w:bCs/>
          <w:sz w:val="24"/>
          <w:szCs w:val="24"/>
        </w:rPr>
        <w:t>(Exp #2-2)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. </w:t>
      </w:r>
      <w:r w:rsidRPr="004718E9">
        <w:rPr>
          <w:rFonts w:ascii="Arial" w:hAnsi="Arial" w:cs="Arial"/>
          <w:bCs/>
          <w:i/>
          <w:sz w:val="24"/>
          <w:szCs w:val="24"/>
        </w:rPr>
        <w:t>K</w:t>
      </w:r>
      <w:r w:rsidRPr="004718E9">
        <w:rPr>
          <w:rFonts w:ascii="Arial" w:hAnsi="Arial" w:cs="Arial"/>
          <w:bCs/>
          <w:sz w:val="24"/>
          <w:szCs w:val="24"/>
        </w:rPr>
        <w:t>-Means clustering of individuals in the SIT x TST x FST matrix (</w:t>
      </w:r>
      <w:r w:rsidRPr="004718E9">
        <w:rPr>
          <w:rFonts w:ascii="Arial" w:hAnsi="Arial" w:cs="Arial"/>
          <w:b/>
          <w:sz w:val="24"/>
          <w:szCs w:val="24"/>
        </w:rPr>
        <w:t>o</w:t>
      </w:r>
      <w:r w:rsidRPr="004718E9">
        <w:rPr>
          <w:rFonts w:ascii="Arial" w:hAnsi="Arial" w:cs="Arial"/>
          <w:bCs/>
          <w:sz w:val="24"/>
          <w:szCs w:val="24"/>
        </w:rPr>
        <w:t>) and % composition of each group in the clusters (</w:t>
      </w:r>
      <w:r w:rsidRPr="004718E9">
        <w:rPr>
          <w:rFonts w:ascii="Arial" w:hAnsi="Arial" w:cs="Arial"/>
          <w:b/>
          <w:sz w:val="24"/>
          <w:szCs w:val="24"/>
        </w:rPr>
        <w:t>p</w:t>
      </w:r>
      <w:r w:rsidRPr="004718E9">
        <w:rPr>
          <w:rFonts w:ascii="Arial" w:hAnsi="Arial" w:cs="Arial"/>
          <w:bCs/>
          <w:sz w:val="24"/>
          <w:szCs w:val="24"/>
        </w:rPr>
        <w:t>) (</w:t>
      </w:r>
      <w:r w:rsidRPr="004718E9">
        <w:rPr>
          <w:rFonts w:ascii="Arial" w:hAnsi="Arial" w:cs="Arial"/>
          <w:bCs/>
          <w:i/>
          <w:sz w:val="24"/>
          <w:szCs w:val="24"/>
        </w:rPr>
        <w:t xml:space="preserve">n </w:t>
      </w:r>
      <w:r w:rsidRPr="004718E9">
        <w:rPr>
          <w:rFonts w:ascii="Arial" w:hAnsi="Arial" w:cs="Arial"/>
          <w:bCs/>
          <w:sz w:val="24"/>
          <w:szCs w:val="24"/>
        </w:rPr>
        <w:t xml:space="preserve">= 8 </w:t>
      </w:r>
      <w:r w:rsidRPr="004718E9">
        <w:rPr>
          <w:rFonts w:ascii="Arial" w:hAnsi="Arial" w:cs="Arial"/>
          <w:bCs/>
          <w:kern w:val="0"/>
          <w:sz w:val="24"/>
          <w:szCs w:val="24"/>
        </w:rPr>
        <w:t>per group</w:t>
      </w:r>
      <w:r w:rsidRPr="004718E9">
        <w:rPr>
          <w:rFonts w:ascii="Arial" w:hAnsi="Arial" w:cs="Arial"/>
          <w:bCs/>
          <w:sz w:val="24"/>
          <w:szCs w:val="24"/>
        </w:rPr>
        <w:t xml:space="preserve">). </w:t>
      </w:r>
    </w:p>
    <w:p w14:paraId="55A447F9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bCs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q</w:t>
      </w:r>
      <w:r w:rsidRPr="004718E9">
        <w:rPr>
          <w:rFonts w:ascii="Arial" w:hAnsi="Arial" w:cs="Arial"/>
          <w:bCs/>
          <w:sz w:val="24"/>
          <w:szCs w:val="24"/>
        </w:rPr>
        <w:t xml:space="preserve">, Basal serum CORT levels in the </w:t>
      </w:r>
      <w:r w:rsidRPr="004718E9">
        <w:rPr>
          <w:rFonts w:ascii="Arial" w:hAnsi="Arial" w:cs="Arial"/>
          <w:bCs/>
          <w:kern w:val="0"/>
          <w:sz w:val="24"/>
          <w:szCs w:val="24"/>
        </w:rPr>
        <w:t>indicated</w:t>
      </w:r>
      <w:r w:rsidRPr="004718E9">
        <w:rPr>
          <w:rFonts w:ascii="Arial" w:hAnsi="Arial" w:cs="Arial"/>
          <w:bCs/>
          <w:sz w:val="24"/>
          <w:szCs w:val="24"/>
        </w:rPr>
        <w:t xml:space="preserve"> groups on post-stress day 22 (</w:t>
      </w:r>
      <w:r w:rsidRPr="004718E9">
        <w:rPr>
          <w:rFonts w:ascii="Arial" w:hAnsi="Arial" w:cs="Arial"/>
          <w:bCs/>
          <w:i/>
          <w:sz w:val="24"/>
          <w:szCs w:val="24"/>
        </w:rPr>
        <w:t xml:space="preserve">n </w:t>
      </w:r>
      <w:r w:rsidRPr="004718E9">
        <w:rPr>
          <w:rFonts w:ascii="Arial" w:hAnsi="Arial" w:cs="Arial"/>
          <w:bCs/>
          <w:sz w:val="24"/>
          <w:szCs w:val="24"/>
        </w:rPr>
        <w:t>= 8</w:t>
      </w:r>
      <w:r w:rsidRPr="004718E9">
        <w:rPr>
          <w:rFonts w:ascii="Arial" w:hAnsi="Arial" w:cs="Arial"/>
          <w:bCs/>
          <w:kern w:val="0"/>
          <w:sz w:val="24"/>
          <w:szCs w:val="24"/>
        </w:rPr>
        <w:t xml:space="preserve"> per group</w:t>
      </w:r>
      <w:r w:rsidRPr="004718E9">
        <w:rPr>
          <w:rFonts w:ascii="Arial" w:hAnsi="Arial" w:cs="Arial"/>
          <w:bCs/>
          <w:sz w:val="24"/>
          <w:szCs w:val="24"/>
        </w:rPr>
        <w:t xml:space="preserve">). </w:t>
      </w:r>
    </w:p>
    <w:p w14:paraId="1A6A0EB3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noProof/>
          <w:sz w:val="24"/>
          <w:szCs w:val="24"/>
          <w:bdr w:val="single" w:sz="4" w:space="0" w:color="auto"/>
        </w:rPr>
      </w:pPr>
      <w:r w:rsidRPr="004718E9">
        <w:rPr>
          <w:rFonts w:ascii="Arial" w:hAnsi="Arial" w:cs="Arial"/>
          <w:bCs/>
          <w:sz w:val="24"/>
          <w:szCs w:val="24"/>
        </w:rPr>
        <w:t xml:space="preserve">Data are mean ± SEM. *, difference compared to control; #, difference compared to CRST. *, #, </w:t>
      </w:r>
      <w:r w:rsidRPr="004718E9">
        <w:rPr>
          <w:rFonts w:ascii="Arial" w:hAnsi="Arial" w:cs="Arial"/>
          <w:bCs/>
          <w:i/>
          <w:sz w:val="24"/>
          <w:szCs w:val="24"/>
        </w:rPr>
        <w:t>p</w:t>
      </w:r>
      <w:r w:rsidRPr="004718E9">
        <w:rPr>
          <w:rFonts w:ascii="Arial" w:hAnsi="Arial" w:cs="Arial"/>
          <w:bCs/>
          <w:sz w:val="24"/>
          <w:szCs w:val="24"/>
        </w:rPr>
        <w:t xml:space="preserve"> &lt; 0.05, **, ##, </w:t>
      </w:r>
      <w:r w:rsidRPr="004718E9">
        <w:rPr>
          <w:rFonts w:ascii="Arial" w:hAnsi="Arial" w:cs="Arial"/>
          <w:bCs/>
          <w:i/>
          <w:sz w:val="24"/>
          <w:szCs w:val="24"/>
        </w:rPr>
        <w:t>p</w:t>
      </w:r>
      <w:r w:rsidRPr="004718E9">
        <w:rPr>
          <w:rFonts w:ascii="Arial" w:hAnsi="Arial" w:cs="Arial"/>
          <w:bCs/>
          <w:sz w:val="24"/>
          <w:szCs w:val="24"/>
        </w:rPr>
        <w:t xml:space="preserve"> &lt; 0.01 (One-way ANOVA followed by Newman-</w:t>
      </w:r>
      <w:proofErr w:type="spellStart"/>
      <w:r w:rsidRPr="004718E9">
        <w:rPr>
          <w:rFonts w:ascii="Arial" w:hAnsi="Arial" w:cs="Arial"/>
          <w:bCs/>
          <w:sz w:val="24"/>
          <w:szCs w:val="24"/>
        </w:rPr>
        <w:t>Keuls</w:t>
      </w:r>
      <w:proofErr w:type="spellEnd"/>
      <w:r w:rsidRPr="004718E9">
        <w:rPr>
          <w:rFonts w:ascii="Arial" w:hAnsi="Arial" w:cs="Arial"/>
          <w:bCs/>
          <w:sz w:val="24"/>
          <w:szCs w:val="24"/>
        </w:rPr>
        <w:t xml:space="preserve"> post-hoc test). </w:t>
      </w:r>
      <w:bookmarkEnd w:id="0"/>
      <w:r w:rsidRPr="004718E9">
        <w:rPr>
          <w:rFonts w:ascii="Arial" w:hAnsi="Arial" w:cs="Arial"/>
          <w:kern w:val="0"/>
          <w:sz w:val="24"/>
          <w:szCs w:val="24"/>
          <w:lang w:eastAsia="en-US"/>
        </w:rPr>
        <w:t>See Supplementary Table 4 for statistical details.</w:t>
      </w:r>
      <w:r w:rsidRPr="004718E9">
        <w:rPr>
          <w:rFonts w:ascii="Arial" w:hAnsi="Arial" w:cs="Arial"/>
          <w:noProof/>
          <w:sz w:val="24"/>
          <w:szCs w:val="24"/>
          <w:bdr w:val="single" w:sz="4" w:space="0" w:color="auto"/>
        </w:rPr>
        <w:br w:type="page"/>
      </w:r>
    </w:p>
    <w:p w14:paraId="71C2AA70" w14:textId="77777777" w:rsidR="005B43B3" w:rsidRPr="004718E9" w:rsidRDefault="005B43B3" w:rsidP="005B43B3">
      <w:pPr>
        <w:widowControl/>
        <w:wordWrap/>
        <w:autoSpaceDE/>
        <w:autoSpaceDN/>
        <w:spacing w:before="240" w:after="160" w:line="259" w:lineRule="auto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1D530869" wp14:editId="15765DEB">
            <wp:simplePos x="0" y="0"/>
            <wp:positionH relativeFrom="column">
              <wp:posOffset>0</wp:posOffset>
            </wp:positionH>
            <wp:positionV relativeFrom="paragraph">
              <wp:posOffset>332892</wp:posOffset>
            </wp:positionV>
            <wp:extent cx="5720715" cy="3489325"/>
            <wp:effectExtent l="0" t="0" r="0" b="0"/>
            <wp:wrapTopAndBottom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8E9">
        <w:rPr>
          <w:rFonts w:ascii="Arial" w:hAnsi="Arial" w:cs="Arial" w:hint="eastAsia"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xtended Data Fig. 8</w:t>
      </w:r>
      <w:r w:rsidRPr="004718E9">
        <w:rPr>
          <w:rFonts w:ascii="Arial" w:hAnsi="Arial" w:cs="Arial"/>
          <w:b/>
          <w:sz w:val="24"/>
          <w:szCs w:val="24"/>
        </w:rPr>
        <w:br w:type="page"/>
      </w:r>
    </w:p>
    <w:p w14:paraId="54117A7B" w14:textId="77777777" w:rsidR="005B43B3" w:rsidRPr="004718E9" w:rsidRDefault="005B43B3" w:rsidP="005B43B3">
      <w:pPr>
        <w:wordWrap/>
        <w:spacing w:before="240" w:line="240" w:lineRule="auto"/>
        <w:rPr>
          <w:rFonts w:ascii="Arial" w:hAnsi="Arial" w:cs="Arial"/>
          <w:b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lastRenderedPageBreak/>
        <w:t xml:space="preserve">Extended Data Fig. 8 PL neurons projecting to the </w:t>
      </w:r>
      <w:proofErr w:type="spellStart"/>
      <w:r w:rsidRPr="004718E9">
        <w:rPr>
          <w:rFonts w:ascii="Arial" w:hAnsi="Arial" w:cs="Arial"/>
          <w:b/>
          <w:sz w:val="24"/>
          <w:szCs w:val="24"/>
        </w:rPr>
        <w:t>dBNST</w:t>
      </w:r>
      <w:proofErr w:type="spellEnd"/>
      <w:r w:rsidRPr="004718E9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4718E9">
        <w:rPr>
          <w:rFonts w:ascii="Arial" w:hAnsi="Arial" w:cs="Arial"/>
          <w:b/>
          <w:sz w:val="24"/>
          <w:szCs w:val="24"/>
        </w:rPr>
        <w:t>NAcc</w:t>
      </w:r>
      <w:proofErr w:type="spellEnd"/>
      <w:r w:rsidRPr="004718E9">
        <w:rPr>
          <w:rFonts w:ascii="Arial" w:hAnsi="Arial" w:cs="Arial"/>
          <w:b/>
          <w:sz w:val="24"/>
          <w:szCs w:val="24"/>
        </w:rPr>
        <w:t xml:space="preserve"> and BLA are visualized by labeling with AAV-</w:t>
      </w:r>
      <w:r w:rsidRPr="004718E9">
        <w:rPr>
          <w:rFonts w:ascii="Arial" w:hAnsi="Arial" w:cs="Arial"/>
          <w:b/>
          <w:bCs/>
          <w:kern w:val="0"/>
          <w:sz w:val="24"/>
          <w:szCs w:val="24"/>
        </w:rPr>
        <w:t>CaMKIIα</w:t>
      </w:r>
      <w:r w:rsidRPr="004718E9">
        <w:rPr>
          <w:rFonts w:ascii="Arial" w:hAnsi="Arial" w:cs="Arial"/>
          <w:b/>
          <w:sz w:val="24"/>
          <w:szCs w:val="24"/>
        </w:rPr>
        <w:t xml:space="preserve">-GFP. </w:t>
      </w:r>
    </w:p>
    <w:p w14:paraId="3D949AD3" w14:textId="77777777" w:rsidR="005B43B3" w:rsidRPr="004718E9" w:rsidRDefault="005B43B3" w:rsidP="005B43B3">
      <w:pPr>
        <w:pStyle w:val="NoSpacing"/>
        <w:spacing w:before="240"/>
        <w:rPr>
          <w:rFonts w:ascii="Arial" w:hAnsi="Arial" w:cs="Arial"/>
          <w:sz w:val="24"/>
          <w:szCs w:val="24"/>
        </w:rPr>
      </w:pPr>
      <w:r w:rsidRPr="004718E9">
        <w:rPr>
          <w:rFonts w:ascii="Arial" w:hAnsi="Arial" w:cs="Arial"/>
          <w:b/>
          <w:sz w:val="24"/>
          <w:szCs w:val="24"/>
        </w:rPr>
        <w:t>a–f</w:t>
      </w:r>
      <w:r w:rsidRPr="004718E9">
        <w:rPr>
          <w:rFonts w:ascii="Arial" w:hAnsi="Arial" w:cs="Arial"/>
          <w:bCs/>
          <w:sz w:val="24"/>
          <w:szCs w:val="24"/>
        </w:rPr>
        <w:t>,</w:t>
      </w:r>
      <w:r w:rsidRPr="004718E9">
        <w:rPr>
          <w:rFonts w:ascii="Arial" w:hAnsi="Arial" w:cs="Arial"/>
          <w:sz w:val="24"/>
          <w:szCs w:val="24"/>
        </w:rPr>
        <w:t xml:space="preserve"> Experimental design (</w:t>
      </w:r>
      <w:r w:rsidRPr="004718E9">
        <w:rPr>
          <w:rFonts w:ascii="Arial" w:hAnsi="Arial" w:cs="Arial"/>
          <w:b/>
          <w:bCs/>
          <w:sz w:val="24"/>
          <w:szCs w:val="24"/>
        </w:rPr>
        <w:t>a</w:t>
      </w:r>
      <w:r w:rsidRPr="004718E9">
        <w:rPr>
          <w:rFonts w:ascii="Arial" w:hAnsi="Arial" w:cs="Arial"/>
          <w:sz w:val="24"/>
          <w:szCs w:val="24"/>
        </w:rPr>
        <w:t>). The anterograde tracer AAV-</w:t>
      </w:r>
      <w:r w:rsidRPr="004718E9">
        <w:rPr>
          <w:rFonts w:ascii="Arial" w:hAnsi="Arial" w:cs="Arial"/>
          <w:bCs/>
          <w:kern w:val="0"/>
          <w:sz w:val="24"/>
          <w:szCs w:val="24"/>
        </w:rPr>
        <w:t>CaMKIIα</w:t>
      </w:r>
      <w:r w:rsidRPr="004718E9">
        <w:rPr>
          <w:rFonts w:ascii="Arial" w:hAnsi="Arial" w:cs="Arial"/>
          <w:sz w:val="24"/>
          <w:szCs w:val="24"/>
        </w:rPr>
        <w:t>-GFP was injected into the PL region (</w:t>
      </w:r>
      <w:r w:rsidRPr="004718E9">
        <w:rPr>
          <w:rFonts w:ascii="Arial" w:hAnsi="Arial" w:cs="Arial"/>
          <w:b/>
          <w:sz w:val="24"/>
          <w:szCs w:val="24"/>
        </w:rPr>
        <w:t xml:space="preserve">b </w:t>
      </w:r>
      <w:r w:rsidRPr="004718E9">
        <w:rPr>
          <w:rFonts w:ascii="Arial" w:hAnsi="Arial" w:cs="Arial"/>
          <w:bCs/>
          <w:sz w:val="24"/>
          <w:szCs w:val="24"/>
        </w:rPr>
        <w:t xml:space="preserve">and </w:t>
      </w:r>
      <w:r w:rsidRPr="004718E9">
        <w:rPr>
          <w:rFonts w:ascii="Arial" w:hAnsi="Arial" w:cs="Arial"/>
          <w:b/>
          <w:sz w:val="24"/>
          <w:szCs w:val="24"/>
        </w:rPr>
        <w:t>c</w:t>
      </w:r>
      <w:r w:rsidRPr="004718E9">
        <w:rPr>
          <w:rFonts w:ascii="Arial" w:hAnsi="Arial" w:cs="Arial"/>
          <w:sz w:val="24"/>
          <w:szCs w:val="24"/>
        </w:rPr>
        <w:t xml:space="preserve">), and two weeks later, subject mice were sacrificed and GFP expression in the brain was examined. Photomicrographs showing GFP signals in the </w:t>
      </w:r>
      <w:proofErr w:type="spellStart"/>
      <w:r w:rsidRPr="004718E9">
        <w:rPr>
          <w:rFonts w:ascii="Arial" w:hAnsi="Arial" w:cs="Arial"/>
          <w:sz w:val="24"/>
          <w:szCs w:val="24"/>
        </w:rPr>
        <w:t>dBNST</w:t>
      </w:r>
      <w:proofErr w:type="spellEnd"/>
      <w:r w:rsidRPr="004718E9">
        <w:rPr>
          <w:rFonts w:ascii="Arial" w:hAnsi="Arial" w:cs="Arial"/>
          <w:sz w:val="24"/>
          <w:szCs w:val="24"/>
        </w:rPr>
        <w:t xml:space="preserve"> (</w:t>
      </w:r>
      <w:r w:rsidRPr="004718E9">
        <w:rPr>
          <w:rFonts w:ascii="Arial" w:hAnsi="Arial" w:cs="Arial"/>
          <w:b/>
          <w:sz w:val="24"/>
          <w:szCs w:val="24"/>
        </w:rPr>
        <w:t>d</w:t>
      </w:r>
      <w:r w:rsidRPr="004718E9">
        <w:rPr>
          <w:rFonts w:ascii="Arial" w:hAnsi="Arial" w:cs="Arial"/>
          <w:sz w:val="24"/>
          <w:szCs w:val="24"/>
        </w:rPr>
        <w:t xml:space="preserve">), </w:t>
      </w:r>
      <w:proofErr w:type="spellStart"/>
      <w:r w:rsidRPr="004718E9">
        <w:rPr>
          <w:rFonts w:ascii="Arial" w:hAnsi="Arial" w:cs="Arial"/>
          <w:sz w:val="24"/>
          <w:szCs w:val="24"/>
        </w:rPr>
        <w:t>NAcc</w:t>
      </w:r>
      <w:proofErr w:type="spellEnd"/>
      <w:r w:rsidRPr="004718E9">
        <w:rPr>
          <w:rFonts w:ascii="Arial" w:hAnsi="Arial" w:cs="Arial"/>
          <w:sz w:val="24"/>
          <w:szCs w:val="24"/>
        </w:rPr>
        <w:t xml:space="preserve"> (</w:t>
      </w:r>
      <w:r w:rsidRPr="004718E9">
        <w:rPr>
          <w:rFonts w:ascii="Arial" w:hAnsi="Arial" w:cs="Arial"/>
          <w:b/>
          <w:sz w:val="24"/>
          <w:szCs w:val="24"/>
        </w:rPr>
        <w:t>e</w:t>
      </w:r>
      <w:r w:rsidRPr="004718E9">
        <w:rPr>
          <w:rFonts w:ascii="Arial" w:hAnsi="Arial" w:cs="Arial"/>
          <w:sz w:val="24"/>
          <w:szCs w:val="24"/>
        </w:rPr>
        <w:t>), BLA (</w:t>
      </w:r>
      <w:r w:rsidRPr="004718E9">
        <w:rPr>
          <w:rFonts w:ascii="Arial" w:hAnsi="Arial" w:cs="Arial"/>
          <w:b/>
          <w:sz w:val="24"/>
          <w:szCs w:val="24"/>
        </w:rPr>
        <w:t>f</w:t>
      </w:r>
      <w:r w:rsidRPr="004718E9">
        <w:rPr>
          <w:rFonts w:ascii="Arial" w:hAnsi="Arial" w:cs="Arial"/>
          <w:sz w:val="24"/>
          <w:szCs w:val="24"/>
        </w:rPr>
        <w:t>), and PVN (</w:t>
      </w:r>
      <w:r w:rsidRPr="004718E9">
        <w:rPr>
          <w:rFonts w:ascii="Arial" w:hAnsi="Arial" w:cs="Arial"/>
          <w:b/>
          <w:sz w:val="24"/>
          <w:szCs w:val="24"/>
        </w:rPr>
        <w:t>g</w:t>
      </w:r>
      <w:r w:rsidRPr="004718E9">
        <w:rPr>
          <w:rFonts w:ascii="Arial" w:hAnsi="Arial" w:cs="Arial"/>
          <w:sz w:val="24"/>
          <w:szCs w:val="24"/>
        </w:rPr>
        <w:t xml:space="preserve">) regions. High magnification of the area marked with a box is indicated on the right panel of each region. </w:t>
      </w:r>
      <w:proofErr w:type="spellStart"/>
      <w:r w:rsidRPr="004718E9">
        <w:rPr>
          <w:rFonts w:ascii="Arial" w:hAnsi="Arial" w:cs="Arial"/>
          <w:sz w:val="24"/>
          <w:szCs w:val="24"/>
        </w:rPr>
        <w:t>dBNST</w:t>
      </w:r>
      <w:proofErr w:type="spellEnd"/>
      <w:r w:rsidRPr="004718E9">
        <w:rPr>
          <w:rFonts w:ascii="Arial" w:hAnsi="Arial" w:cs="Arial"/>
          <w:sz w:val="24"/>
          <w:szCs w:val="24"/>
        </w:rPr>
        <w:t xml:space="preserve">, dorsal BNST, </w:t>
      </w:r>
      <w:proofErr w:type="spellStart"/>
      <w:r w:rsidRPr="004718E9">
        <w:rPr>
          <w:rFonts w:ascii="Arial" w:hAnsi="Arial" w:cs="Arial"/>
          <w:sz w:val="24"/>
          <w:szCs w:val="24"/>
        </w:rPr>
        <w:t>CaA</w:t>
      </w:r>
      <w:proofErr w:type="spellEnd"/>
      <w:r w:rsidRPr="004718E9">
        <w:rPr>
          <w:rFonts w:ascii="Arial" w:hAnsi="Arial" w:cs="Arial"/>
          <w:sz w:val="24"/>
          <w:szCs w:val="24"/>
        </w:rPr>
        <w:t xml:space="preserve">, central amygdala; BLA, basolateral amygdala; </w:t>
      </w:r>
      <w:proofErr w:type="spellStart"/>
      <w:r w:rsidRPr="004718E9">
        <w:rPr>
          <w:rFonts w:ascii="Arial" w:hAnsi="Arial" w:cs="Arial"/>
          <w:sz w:val="24"/>
          <w:szCs w:val="24"/>
        </w:rPr>
        <w:t>NAcc</w:t>
      </w:r>
      <w:proofErr w:type="spellEnd"/>
      <w:r w:rsidRPr="004718E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718E9">
        <w:rPr>
          <w:rFonts w:ascii="Arial" w:hAnsi="Arial" w:cs="Arial"/>
          <w:sz w:val="24"/>
          <w:szCs w:val="24"/>
        </w:rPr>
        <w:t>NAc</w:t>
      </w:r>
      <w:proofErr w:type="spellEnd"/>
      <w:r w:rsidRPr="004718E9">
        <w:rPr>
          <w:rFonts w:ascii="Arial" w:hAnsi="Arial" w:cs="Arial"/>
          <w:sz w:val="24"/>
          <w:szCs w:val="24"/>
        </w:rPr>
        <w:t xml:space="preserve"> core; PVN, paraventricular nucleus of the hypothalamus.</w:t>
      </w:r>
    </w:p>
    <w:p w14:paraId="5966AAF6" w14:textId="090457D7" w:rsidR="00DC55CA" w:rsidRDefault="005B43B3" w:rsidP="005B43B3">
      <w:r w:rsidRPr="004718E9">
        <w:rPr>
          <w:rFonts w:ascii="Arial" w:hAnsi="Arial" w:cs="Arial"/>
          <w:b/>
          <w:sz w:val="24"/>
          <w:szCs w:val="24"/>
        </w:rPr>
        <w:t>h–l</w:t>
      </w:r>
      <w:r w:rsidRPr="004718E9">
        <w:rPr>
          <w:rFonts w:ascii="Arial" w:hAnsi="Arial" w:cs="Arial"/>
          <w:bCs/>
          <w:sz w:val="24"/>
          <w:szCs w:val="24"/>
        </w:rPr>
        <w:t>,</w:t>
      </w:r>
      <w:r w:rsidRPr="004718E9">
        <w:rPr>
          <w:rFonts w:ascii="Arial" w:hAnsi="Arial" w:cs="Arial"/>
          <w:sz w:val="24"/>
          <w:szCs w:val="24"/>
        </w:rPr>
        <w:t xml:space="preserve"> Experimental design (</w:t>
      </w:r>
      <w:r w:rsidRPr="004718E9">
        <w:rPr>
          <w:rFonts w:ascii="Arial" w:hAnsi="Arial" w:cs="Arial"/>
          <w:b/>
          <w:sz w:val="24"/>
          <w:szCs w:val="24"/>
        </w:rPr>
        <w:t>h</w:t>
      </w:r>
      <w:r w:rsidRPr="004718E9">
        <w:rPr>
          <w:rFonts w:ascii="Arial" w:hAnsi="Arial" w:cs="Arial"/>
          <w:sz w:val="24"/>
          <w:szCs w:val="24"/>
        </w:rPr>
        <w:t xml:space="preserve">). The retrograde tracer, cholera toxin subunit B-488 (CTB488), was injected into the </w:t>
      </w:r>
      <w:proofErr w:type="spellStart"/>
      <w:r w:rsidRPr="004718E9">
        <w:rPr>
          <w:rFonts w:ascii="Arial" w:hAnsi="Arial" w:cs="Arial"/>
          <w:sz w:val="24"/>
          <w:szCs w:val="24"/>
        </w:rPr>
        <w:t>dBNST</w:t>
      </w:r>
      <w:proofErr w:type="spellEnd"/>
      <w:r w:rsidRPr="004718E9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4718E9">
        <w:rPr>
          <w:rFonts w:ascii="Arial" w:hAnsi="Arial" w:cs="Arial"/>
          <w:b/>
          <w:sz w:val="24"/>
          <w:szCs w:val="24"/>
        </w:rPr>
        <w:t>i</w:t>
      </w:r>
      <w:proofErr w:type="spellEnd"/>
      <w:r w:rsidRPr="004718E9">
        <w:rPr>
          <w:rFonts w:ascii="Arial" w:hAnsi="Arial" w:cs="Arial"/>
          <w:b/>
          <w:sz w:val="24"/>
          <w:szCs w:val="24"/>
        </w:rPr>
        <w:t xml:space="preserve"> </w:t>
      </w:r>
      <w:r w:rsidRPr="004718E9">
        <w:rPr>
          <w:rFonts w:ascii="Arial" w:hAnsi="Arial" w:cs="Arial"/>
          <w:bCs/>
          <w:sz w:val="24"/>
          <w:szCs w:val="24"/>
        </w:rPr>
        <w:t>and</w:t>
      </w:r>
      <w:r w:rsidRPr="004718E9">
        <w:rPr>
          <w:rFonts w:ascii="Arial" w:hAnsi="Arial" w:cs="Arial"/>
          <w:b/>
          <w:sz w:val="24"/>
          <w:szCs w:val="24"/>
        </w:rPr>
        <w:t xml:space="preserve"> j</w:t>
      </w:r>
      <w:r w:rsidRPr="004718E9">
        <w:rPr>
          <w:rFonts w:ascii="Arial" w:hAnsi="Arial" w:cs="Arial"/>
          <w:sz w:val="24"/>
          <w:szCs w:val="24"/>
        </w:rPr>
        <w:t xml:space="preserve">). </w:t>
      </w:r>
      <w:r w:rsidRPr="004718E9">
        <w:rPr>
          <w:rFonts w:ascii="Arial" w:hAnsi="Arial" w:cs="Arial" w:hint="eastAsia"/>
          <w:sz w:val="24"/>
          <w:szCs w:val="24"/>
        </w:rPr>
        <w:t>A</w:t>
      </w:r>
      <w:r w:rsidRPr="004718E9">
        <w:rPr>
          <w:rFonts w:ascii="Arial" w:hAnsi="Arial" w:cs="Arial"/>
          <w:sz w:val="24"/>
          <w:szCs w:val="24"/>
        </w:rPr>
        <w:t xml:space="preserve"> week later, mice were sacrificed and CTB488 expression in the brain was examined. Photomicrographs showing CTB488 expression in the PL (</w:t>
      </w:r>
      <w:r w:rsidRPr="004718E9">
        <w:rPr>
          <w:rFonts w:ascii="Arial" w:hAnsi="Arial" w:cs="Arial"/>
          <w:b/>
          <w:sz w:val="24"/>
          <w:szCs w:val="24"/>
        </w:rPr>
        <w:t>k</w:t>
      </w:r>
      <w:r w:rsidRPr="004718E9">
        <w:rPr>
          <w:rFonts w:ascii="Arial" w:hAnsi="Arial" w:cs="Arial"/>
          <w:sz w:val="24"/>
          <w:szCs w:val="24"/>
        </w:rPr>
        <w:t>) and ventral subiculum (</w:t>
      </w:r>
      <w:proofErr w:type="spellStart"/>
      <w:r w:rsidRPr="004718E9">
        <w:rPr>
          <w:rFonts w:ascii="Arial" w:hAnsi="Arial" w:cs="Arial"/>
          <w:sz w:val="24"/>
          <w:szCs w:val="24"/>
        </w:rPr>
        <w:t>vSub</w:t>
      </w:r>
      <w:proofErr w:type="spellEnd"/>
      <w:r w:rsidRPr="004718E9">
        <w:rPr>
          <w:rFonts w:ascii="Arial" w:hAnsi="Arial" w:cs="Arial"/>
          <w:sz w:val="24"/>
          <w:szCs w:val="24"/>
        </w:rPr>
        <w:t>) (</w:t>
      </w:r>
      <w:r w:rsidRPr="004718E9">
        <w:rPr>
          <w:rFonts w:ascii="Arial" w:hAnsi="Arial" w:cs="Arial"/>
          <w:b/>
          <w:sz w:val="24"/>
          <w:szCs w:val="24"/>
        </w:rPr>
        <w:t>l</w:t>
      </w:r>
      <w:r w:rsidRPr="004718E9">
        <w:rPr>
          <w:rFonts w:ascii="Arial" w:hAnsi="Arial" w:cs="Arial"/>
          <w:sz w:val="24"/>
          <w:szCs w:val="24"/>
        </w:rPr>
        <w:t>). High magnification of the area marked with a box is indicated on the right side.</w:t>
      </w:r>
    </w:p>
    <w:sectPr w:rsidR="00DC55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3B3"/>
    <w:rsid w:val="000056A8"/>
    <w:rsid w:val="00031769"/>
    <w:rsid w:val="00036413"/>
    <w:rsid w:val="0005119D"/>
    <w:rsid w:val="0006782C"/>
    <w:rsid w:val="000703F0"/>
    <w:rsid w:val="00085D88"/>
    <w:rsid w:val="000D2F19"/>
    <w:rsid w:val="001054C9"/>
    <w:rsid w:val="0011051B"/>
    <w:rsid w:val="001115EE"/>
    <w:rsid w:val="00115015"/>
    <w:rsid w:val="00121907"/>
    <w:rsid w:val="00144A56"/>
    <w:rsid w:val="00164C9E"/>
    <w:rsid w:val="00167818"/>
    <w:rsid w:val="00175043"/>
    <w:rsid w:val="001A046C"/>
    <w:rsid w:val="001B56F6"/>
    <w:rsid w:val="001B7384"/>
    <w:rsid w:val="001C36A7"/>
    <w:rsid w:val="001D3956"/>
    <w:rsid w:val="001E2BCC"/>
    <w:rsid w:val="00211FC1"/>
    <w:rsid w:val="0021573D"/>
    <w:rsid w:val="00226FB2"/>
    <w:rsid w:val="002537AF"/>
    <w:rsid w:val="0026327B"/>
    <w:rsid w:val="00265EDA"/>
    <w:rsid w:val="00267376"/>
    <w:rsid w:val="00281E33"/>
    <w:rsid w:val="00282D60"/>
    <w:rsid w:val="00292CC9"/>
    <w:rsid w:val="002A599A"/>
    <w:rsid w:val="002B19F3"/>
    <w:rsid w:val="002C2964"/>
    <w:rsid w:val="002D7F16"/>
    <w:rsid w:val="002E44A8"/>
    <w:rsid w:val="002E6205"/>
    <w:rsid w:val="00361E5B"/>
    <w:rsid w:val="003725FA"/>
    <w:rsid w:val="00376A2D"/>
    <w:rsid w:val="00382E91"/>
    <w:rsid w:val="00393B84"/>
    <w:rsid w:val="00397F44"/>
    <w:rsid w:val="003B1E49"/>
    <w:rsid w:val="003C0478"/>
    <w:rsid w:val="003C397D"/>
    <w:rsid w:val="003C460F"/>
    <w:rsid w:val="003E638E"/>
    <w:rsid w:val="003F106C"/>
    <w:rsid w:val="00413597"/>
    <w:rsid w:val="00415D24"/>
    <w:rsid w:val="0041703E"/>
    <w:rsid w:val="00421D46"/>
    <w:rsid w:val="0042660D"/>
    <w:rsid w:val="00434E97"/>
    <w:rsid w:val="004372A1"/>
    <w:rsid w:val="00440024"/>
    <w:rsid w:val="00452656"/>
    <w:rsid w:val="00471B18"/>
    <w:rsid w:val="00472EDA"/>
    <w:rsid w:val="00481D0D"/>
    <w:rsid w:val="004843C6"/>
    <w:rsid w:val="004B1078"/>
    <w:rsid w:val="004C4A28"/>
    <w:rsid w:val="004D074A"/>
    <w:rsid w:val="004E1758"/>
    <w:rsid w:val="004E34CB"/>
    <w:rsid w:val="00506412"/>
    <w:rsid w:val="00520415"/>
    <w:rsid w:val="00522065"/>
    <w:rsid w:val="0052249C"/>
    <w:rsid w:val="0054159B"/>
    <w:rsid w:val="005526E4"/>
    <w:rsid w:val="0055321C"/>
    <w:rsid w:val="00564650"/>
    <w:rsid w:val="00572859"/>
    <w:rsid w:val="00595029"/>
    <w:rsid w:val="005A6D95"/>
    <w:rsid w:val="005A7297"/>
    <w:rsid w:val="005B18F0"/>
    <w:rsid w:val="005B43B3"/>
    <w:rsid w:val="005C3FE1"/>
    <w:rsid w:val="005D3638"/>
    <w:rsid w:val="006003AC"/>
    <w:rsid w:val="00607B0B"/>
    <w:rsid w:val="0061135B"/>
    <w:rsid w:val="00616347"/>
    <w:rsid w:val="006342C2"/>
    <w:rsid w:val="006547B6"/>
    <w:rsid w:val="0066664E"/>
    <w:rsid w:val="0067264A"/>
    <w:rsid w:val="00672B14"/>
    <w:rsid w:val="00673FE0"/>
    <w:rsid w:val="00695633"/>
    <w:rsid w:val="006A2DFC"/>
    <w:rsid w:val="006A5B88"/>
    <w:rsid w:val="006B6E0B"/>
    <w:rsid w:val="006D0CE1"/>
    <w:rsid w:val="00701FB2"/>
    <w:rsid w:val="007149B9"/>
    <w:rsid w:val="00715EE1"/>
    <w:rsid w:val="00752A54"/>
    <w:rsid w:val="00757086"/>
    <w:rsid w:val="00764311"/>
    <w:rsid w:val="007706D7"/>
    <w:rsid w:val="00784360"/>
    <w:rsid w:val="0078768D"/>
    <w:rsid w:val="007D5168"/>
    <w:rsid w:val="007E0B86"/>
    <w:rsid w:val="007E6994"/>
    <w:rsid w:val="007F5059"/>
    <w:rsid w:val="0080074A"/>
    <w:rsid w:val="00814811"/>
    <w:rsid w:val="008208B0"/>
    <w:rsid w:val="008226F4"/>
    <w:rsid w:val="008332E9"/>
    <w:rsid w:val="00837506"/>
    <w:rsid w:val="00840BD8"/>
    <w:rsid w:val="00844D5A"/>
    <w:rsid w:val="00852591"/>
    <w:rsid w:val="00852E94"/>
    <w:rsid w:val="00855419"/>
    <w:rsid w:val="00884771"/>
    <w:rsid w:val="008916F5"/>
    <w:rsid w:val="00894CB4"/>
    <w:rsid w:val="008950E5"/>
    <w:rsid w:val="008A7F22"/>
    <w:rsid w:val="008B5B65"/>
    <w:rsid w:val="008B6A13"/>
    <w:rsid w:val="008D79C3"/>
    <w:rsid w:val="008E2698"/>
    <w:rsid w:val="008E3303"/>
    <w:rsid w:val="008F7764"/>
    <w:rsid w:val="009024B3"/>
    <w:rsid w:val="009207A1"/>
    <w:rsid w:val="009318B8"/>
    <w:rsid w:val="00944FCA"/>
    <w:rsid w:val="00997BF8"/>
    <w:rsid w:val="009A3CD9"/>
    <w:rsid w:val="009A4287"/>
    <w:rsid w:val="009A5882"/>
    <w:rsid w:val="009B4C56"/>
    <w:rsid w:val="009C0E34"/>
    <w:rsid w:val="009C7DA9"/>
    <w:rsid w:val="009D2FB4"/>
    <w:rsid w:val="009F282C"/>
    <w:rsid w:val="00A048DE"/>
    <w:rsid w:val="00A05029"/>
    <w:rsid w:val="00A33B23"/>
    <w:rsid w:val="00A3797B"/>
    <w:rsid w:val="00A536B0"/>
    <w:rsid w:val="00A66B80"/>
    <w:rsid w:val="00A75A89"/>
    <w:rsid w:val="00A76497"/>
    <w:rsid w:val="00A90B0E"/>
    <w:rsid w:val="00AC1D99"/>
    <w:rsid w:val="00AD0FC1"/>
    <w:rsid w:val="00AD6FD1"/>
    <w:rsid w:val="00AF36ED"/>
    <w:rsid w:val="00B0497F"/>
    <w:rsid w:val="00B12FDD"/>
    <w:rsid w:val="00B134DD"/>
    <w:rsid w:val="00B1659E"/>
    <w:rsid w:val="00B16BE7"/>
    <w:rsid w:val="00B21191"/>
    <w:rsid w:val="00B23B76"/>
    <w:rsid w:val="00B25172"/>
    <w:rsid w:val="00B25B03"/>
    <w:rsid w:val="00B304F2"/>
    <w:rsid w:val="00B51512"/>
    <w:rsid w:val="00B54521"/>
    <w:rsid w:val="00B5496C"/>
    <w:rsid w:val="00BA3EA6"/>
    <w:rsid w:val="00BB185D"/>
    <w:rsid w:val="00BC0A23"/>
    <w:rsid w:val="00BC4961"/>
    <w:rsid w:val="00C0080A"/>
    <w:rsid w:val="00C01D89"/>
    <w:rsid w:val="00C24BA4"/>
    <w:rsid w:val="00C25E99"/>
    <w:rsid w:val="00C30F2B"/>
    <w:rsid w:val="00C36280"/>
    <w:rsid w:val="00C51687"/>
    <w:rsid w:val="00C53493"/>
    <w:rsid w:val="00C630E2"/>
    <w:rsid w:val="00C672A1"/>
    <w:rsid w:val="00C93565"/>
    <w:rsid w:val="00CA6223"/>
    <w:rsid w:val="00CB2A1B"/>
    <w:rsid w:val="00CB53BD"/>
    <w:rsid w:val="00CC1E7D"/>
    <w:rsid w:val="00CE74E5"/>
    <w:rsid w:val="00CF2D64"/>
    <w:rsid w:val="00CF4630"/>
    <w:rsid w:val="00D04EF0"/>
    <w:rsid w:val="00D05A12"/>
    <w:rsid w:val="00D12E9C"/>
    <w:rsid w:val="00D148C7"/>
    <w:rsid w:val="00D21467"/>
    <w:rsid w:val="00D50CA1"/>
    <w:rsid w:val="00D57CB3"/>
    <w:rsid w:val="00D771F8"/>
    <w:rsid w:val="00D82534"/>
    <w:rsid w:val="00D85730"/>
    <w:rsid w:val="00D92993"/>
    <w:rsid w:val="00DA0872"/>
    <w:rsid w:val="00DA37D0"/>
    <w:rsid w:val="00DB4434"/>
    <w:rsid w:val="00DB6266"/>
    <w:rsid w:val="00DC18AB"/>
    <w:rsid w:val="00DC55CA"/>
    <w:rsid w:val="00DE3DAF"/>
    <w:rsid w:val="00DF25BA"/>
    <w:rsid w:val="00E022B9"/>
    <w:rsid w:val="00E34A12"/>
    <w:rsid w:val="00E34E59"/>
    <w:rsid w:val="00E6526A"/>
    <w:rsid w:val="00EA0F15"/>
    <w:rsid w:val="00EA4165"/>
    <w:rsid w:val="00EB0052"/>
    <w:rsid w:val="00EB33A7"/>
    <w:rsid w:val="00EE766D"/>
    <w:rsid w:val="00F02342"/>
    <w:rsid w:val="00F064B9"/>
    <w:rsid w:val="00F216EE"/>
    <w:rsid w:val="00F21AA9"/>
    <w:rsid w:val="00F32853"/>
    <w:rsid w:val="00F34F23"/>
    <w:rsid w:val="00F47FAF"/>
    <w:rsid w:val="00F553DF"/>
    <w:rsid w:val="00F57F10"/>
    <w:rsid w:val="00F64FC5"/>
    <w:rsid w:val="00F7277F"/>
    <w:rsid w:val="00F979CB"/>
    <w:rsid w:val="00FB60A6"/>
    <w:rsid w:val="00FC78A3"/>
    <w:rsid w:val="00FE2711"/>
    <w:rsid w:val="00FE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BE7B0"/>
  <w15:chartTrackingRefBased/>
  <w15:docId w15:val="{507B8889-7E9F-40AF-85BD-33A3B4FF4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3B3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Malgun Gothic" w:eastAsia="Malgun Gothic" w:hAnsi="Malgun Gothic" w:cs="Times New Roman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43B3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eastAsia="ko-KR"/>
    </w:rPr>
  </w:style>
  <w:style w:type="character" w:customStyle="1" w:styleId="st1">
    <w:name w:val="st1"/>
    <w:basedOn w:val="DefaultParagraphFont"/>
    <w:rsid w:val="005B4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1362</Words>
  <Characters>7765</Characters>
  <Application>Microsoft Office Word</Application>
  <DocSecurity>0</DocSecurity>
  <Lines>64</Lines>
  <Paragraphs>18</Paragraphs>
  <ScaleCrop>false</ScaleCrop>
  <Company/>
  <LinksUpToDate>false</LinksUpToDate>
  <CharactersWithSpaces>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Quality Control Editor</cp:lastModifiedBy>
  <cp:revision>1</cp:revision>
  <dcterms:created xsi:type="dcterms:W3CDTF">2020-10-19T22:24:00Z</dcterms:created>
  <dcterms:modified xsi:type="dcterms:W3CDTF">2020-10-19T22:25:00Z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44123.725625</vt:r8>
  </property>
  <property fmtid="{D5CDD505-2E9C-101B-9397-08002B2CF9AE}" pid="4" name="EditTotal">
    <vt:i4>11</vt:i4>
  </property>
</Properties>
</file>