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3AEF9C" w14:textId="77777777" w:rsidR="002008EC" w:rsidRDefault="002008EC" w:rsidP="002008EC">
      <w:pPr>
        <w:spacing w:line="48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Supplementary Table 1</w:t>
      </w:r>
    </w:p>
    <w:tbl>
      <w:tblPr>
        <w:tblpPr w:leftFromText="180" w:rightFromText="180" w:vertAnchor="text"/>
        <w:tblW w:w="60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4"/>
        <w:gridCol w:w="3021"/>
      </w:tblGrid>
      <w:tr w:rsidR="002008EC" w14:paraId="16FFBC5C" w14:textId="77777777" w:rsidTr="009A5F86">
        <w:trPr>
          <w:trHeight w:val="350"/>
          <w:tblHeader/>
        </w:trPr>
        <w:tc>
          <w:tcPr>
            <w:tcW w:w="6025" w:type="dxa"/>
            <w:gridSpan w:val="2"/>
          </w:tcPr>
          <w:p w14:paraId="5C0716BA" w14:textId="77777777" w:rsidR="002008EC" w:rsidRDefault="002008EC" w:rsidP="009A5F86">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Admission Diagnosis: </w:t>
            </w:r>
            <w:r>
              <w:rPr>
                <w:rFonts w:ascii="Times New Roman" w:eastAsia="Times New Roman" w:hAnsi="Times New Roman" w:cs="Times New Roman"/>
                <w:sz w:val="24"/>
                <w:szCs w:val="24"/>
              </w:rPr>
              <w:t>Complication of Cirrhosis + Etiology of cirrhosis</w:t>
            </w:r>
            <w:r>
              <w:rPr>
                <w:rFonts w:ascii="Times New Roman" w:eastAsia="Times New Roman" w:hAnsi="Times New Roman" w:cs="Times New Roman"/>
                <w:b/>
                <w:bCs/>
                <w:sz w:val="24"/>
                <w:szCs w:val="24"/>
              </w:rPr>
              <w:t xml:space="preserve"> </w:t>
            </w:r>
          </w:p>
        </w:tc>
      </w:tr>
      <w:tr w:rsidR="002008EC" w14:paraId="01AD861D" w14:textId="77777777" w:rsidTr="009A5F86">
        <w:trPr>
          <w:trHeight w:val="350"/>
          <w:tblHeader/>
        </w:trPr>
        <w:tc>
          <w:tcPr>
            <w:tcW w:w="3004" w:type="dxa"/>
          </w:tcPr>
          <w:p w14:paraId="6BE9C047" w14:textId="77777777" w:rsidR="002008EC" w:rsidRDefault="002008EC" w:rsidP="009A5F86">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Complication of Cirrhosis</w:t>
            </w:r>
          </w:p>
        </w:tc>
        <w:tc>
          <w:tcPr>
            <w:tcW w:w="3021" w:type="dxa"/>
          </w:tcPr>
          <w:p w14:paraId="0182601A" w14:textId="77777777" w:rsidR="002008EC" w:rsidRDefault="002008EC" w:rsidP="009A5F86">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ICD-10 Codes</w:t>
            </w:r>
          </w:p>
        </w:tc>
      </w:tr>
      <w:tr w:rsidR="002008EC" w14:paraId="65BD4114" w14:textId="77777777" w:rsidTr="009A5F86">
        <w:trPr>
          <w:trHeight w:val="581"/>
          <w:tblHeader/>
        </w:trPr>
        <w:tc>
          <w:tcPr>
            <w:tcW w:w="3004" w:type="dxa"/>
          </w:tcPr>
          <w:p w14:paraId="78FEB0A5"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Ascites </w:t>
            </w:r>
          </w:p>
        </w:tc>
        <w:tc>
          <w:tcPr>
            <w:tcW w:w="3021" w:type="dxa"/>
          </w:tcPr>
          <w:p w14:paraId="5DCB926D"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R18.8, K70.31, K70.11, K71.51</w:t>
            </w:r>
          </w:p>
        </w:tc>
      </w:tr>
      <w:tr w:rsidR="002008EC" w14:paraId="0F76CF79" w14:textId="77777777" w:rsidTr="009A5F86">
        <w:trPr>
          <w:trHeight w:val="581"/>
          <w:tblHeader/>
        </w:trPr>
        <w:tc>
          <w:tcPr>
            <w:tcW w:w="3004" w:type="dxa"/>
          </w:tcPr>
          <w:p w14:paraId="2876822B"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Variceal Hemorrhage </w:t>
            </w:r>
          </w:p>
        </w:tc>
        <w:tc>
          <w:tcPr>
            <w:tcW w:w="3021" w:type="dxa"/>
          </w:tcPr>
          <w:p w14:paraId="656C86A8"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I85.01, I 85.11</w:t>
            </w:r>
          </w:p>
        </w:tc>
      </w:tr>
      <w:tr w:rsidR="002008EC" w14:paraId="7B6D33EF" w14:textId="77777777" w:rsidTr="009A5F86">
        <w:trPr>
          <w:trHeight w:val="581"/>
          <w:tblHeader/>
        </w:trPr>
        <w:tc>
          <w:tcPr>
            <w:tcW w:w="3004" w:type="dxa"/>
          </w:tcPr>
          <w:p w14:paraId="5C0212C6" w14:textId="77777777" w:rsidR="002008EC" w:rsidRDefault="002008EC" w:rsidP="009A5F86">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Hepatic encephalopathy</w:t>
            </w:r>
          </w:p>
        </w:tc>
        <w:tc>
          <w:tcPr>
            <w:tcW w:w="3021" w:type="dxa"/>
          </w:tcPr>
          <w:p w14:paraId="56970A26"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G93.40, G93.41, G93.49, R40, K70.41, K71.11, K72.01, K72.11, K72.91, B19.0, B19.11, B19.21</w:t>
            </w:r>
          </w:p>
        </w:tc>
      </w:tr>
      <w:tr w:rsidR="002008EC" w14:paraId="7B071898" w14:textId="77777777" w:rsidTr="009A5F86">
        <w:trPr>
          <w:trHeight w:val="581"/>
          <w:tblHeader/>
        </w:trPr>
        <w:tc>
          <w:tcPr>
            <w:tcW w:w="3004" w:type="dxa"/>
          </w:tcPr>
          <w:p w14:paraId="276E59C0"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Hepatorenal Syndrome</w:t>
            </w:r>
          </w:p>
        </w:tc>
        <w:tc>
          <w:tcPr>
            <w:tcW w:w="3021" w:type="dxa"/>
          </w:tcPr>
          <w:p w14:paraId="4F75F364"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K76.7</w:t>
            </w:r>
          </w:p>
        </w:tc>
      </w:tr>
      <w:tr w:rsidR="002008EC" w14:paraId="115F28F2" w14:textId="77777777" w:rsidTr="009A5F86">
        <w:trPr>
          <w:trHeight w:val="553"/>
          <w:tblHeader/>
        </w:trPr>
        <w:tc>
          <w:tcPr>
            <w:tcW w:w="3004" w:type="dxa"/>
          </w:tcPr>
          <w:p w14:paraId="5A47742E"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Hepatocellular Carcinoma </w:t>
            </w:r>
          </w:p>
        </w:tc>
        <w:tc>
          <w:tcPr>
            <w:tcW w:w="3021" w:type="dxa"/>
          </w:tcPr>
          <w:p w14:paraId="0240F762"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C22.0, C22.8, C229</w:t>
            </w:r>
          </w:p>
        </w:tc>
      </w:tr>
      <w:tr w:rsidR="002008EC" w14:paraId="18B057B1" w14:textId="77777777" w:rsidTr="009A5F86">
        <w:trPr>
          <w:trHeight w:val="553"/>
          <w:tblHeader/>
        </w:trPr>
        <w:tc>
          <w:tcPr>
            <w:tcW w:w="3004" w:type="dxa"/>
          </w:tcPr>
          <w:p w14:paraId="0AB28431"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Spontaneous bacterial Peritonitis </w:t>
            </w:r>
          </w:p>
        </w:tc>
        <w:tc>
          <w:tcPr>
            <w:tcW w:w="3021" w:type="dxa"/>
          </w:tcPr>
          <w:p w14:paraId="7D85FFB9"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K65.2 </w:t>
            </w:r>
          </w:p>
        </w:tc>
      </w:tr>
      <w:tr w:rsidR="002008EC" w14:paraId="609454E0" w14:textId="77777777" w:rsidTr="009A5F86">
        <w:trPr>
          <w:trHeight w:val="553"/>
          <w:tblHeader/>
        </w:trPr>
        <w:tc>
          <w:tcPr>
            <w:tcW w:w="3004" w:type="dxa"/>
          </w:tcPr>
          <w:p w14:paraId="4020E1F7"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Etiology of Cirrhosis </w:t>
            </w:r>
          </w:p>
        </w:tc>
        <w:tc>
          <w:tcPr>
            <w:tcW w:w="3021" w:type="dxa"/>
          </w:tcPr>
          <w:p w14:paraId="48899134" w14:textId="77777777" w:rsidR="002008EC" w:rsidRDefault="002008EC" w:rsidP="009A5F86">
            <w:pPr>
              <w:spacing w:line="480" w:lineRule="auto"/>
              <w:rPr>
                <w:rFonts w:ascii="Times New Roman" w:eastAsia="Times New Roman" w:hAnsi="Times New Roman" w:cs="Times New Roman"/>
                <w:sz w:val="24"/>
                <w:szCs w:val="24"/>
              </w:rPr>
            </w:pPr>
          </w:p>
        </w:tc>
      </w:tr>
      <w:tr w:rsidR="002008EC" w14:paraId="449314C5" w14:textId="77777777" w:rsidTr="009A5F86">
        <w:trPr>
          <w:trHeight w:val="553"/>
          <w:tblHeader/>
        </w:trPr>
        <w:tc>
          <w:tcPr>
            <w:tcW w:w="3004" w:type="dxa"/>
          </w:tcPr>
          <w:p w14:paraId="3588FF2D"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Alcohol Associated Cirrhosis </w:t>
            </w:r>
          </w:p>
        </w:tc>
        <w:tc>
          <w:tcPr>
            <w:tcW w:w="3021" w:type="dxa"/>
          </w:tcPr>
          <w:p w14:paraId="63B2271B"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K70.3</w:t>
            </w:r>
          </w:p>
        </w:tc>
      </w:tr>
      <w:tr w:rsidR="002008EC" w14:paraId="484579FF" w14:textId="77777777" w:rsidTr="009A5F86">
        <w:trPr>
          <w:trHeight w:val="553"/>
          <w:tblHeader/>
        </w:trPr>
        <w:tc>
          <w:tcPr>
            <w:tcW w:w="3004" w:type="dxa"/>
          </w:tcPr>
          <w:p w14:paraId="59909ADD"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Other causes of cirrhosis  </w:t>
            </w:r>
          </w:p>
        </w:tc>
        <w:tc>
          <w:tcPr>
            <w:tcW w:w="3021" w:type="dxa"/>
          </w:tcPr>
          <w:p w14:paraId="1B91ED33"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K74*, K70.2</w:t>
            </w:r>
          </w:p>
        </w:tc>
      </w:tr>
    </w:tbl>
    <w:p w14:paraId="2C65F584" w14:textId="77777777" w:rsidR="002008EC" w:rsidRDefault="002008EC" w:rsidP="002008EC">
      <w:pPr>
        <w:spacing w:line="480" w:lineRule="auto"/>
        <w:rPr>
          <w:rFonts w:ascii="Times New Roman" w:eastAsia="Times New Roman" w:hAnsi="Times New Roman" w:cs="Times New Roman"/>
          <w:b/>
          <w:bCs/>
          <w:sz w:val="24"/>
          <w:szCs w:val="24"/>
        </w:rPr>
      </w:pPr>
    </w:p>
    <w:p w14:paraId="5E88A689" w14:textId="77777777" w:rsidR="002008EC" w:rsidRDefault="002008EC" w:rsidP="002008EC">
      <w:pPr>
        <w:spacing w:line="480" w:lineRule="auto"/>
        <w:rPr>
          <w:rFonts w:ascii="Times New Roman" w:eastAsia="Times New Roman" w:hAnsi="Times New Roman" w:cs="Times New Roman"/>
          <w:b/>
          <w:bCs/>
          <w:sz w:val="24"/>
          <w:szCs w:val="24"/>
        </w:rPr>
      </w:pPr>
    </w:p>
    <w:p w14:paraId="3B69D0F4" w14:textId="77777777" w:rsidR="002008EC" w:rsidRDefault="002008EC" w:rsidP="002008EC">
      <w:pPr>
        <w:spacing w:line="480" w:lineRule="auto"/>
        <w:rPr>
          <w:rFonts w:ascii="Times New Roman" w:eastAsia="Times New Roman" w:hAnsi="Times New Roman" w:cs="Times New Roman"/>
          <w:b/>
          <w:bCs/>
          <w:sz w:val="24"/>
          <w:szCs w:val="24"/>
        </w:rPr>
      </w:pPr>
    </w:p>
    <w:p w14:paraId="6581EBCB" w14:textId="77777777" w:rsidR="002008EC" w:rsidRDefault="002008EC" w:rsidP="002008EC">
      <w:pPr>
        <w:spacing w:line="480" w:lineRule="auto"/>
        <w:rPr>
          <w:rFonts w:ascii="Times New Roman" w:eastAsia="Times New Roman" w:hAnsi="Times New Roman" w:cs="Times New Roman"/>
          <w:b/>
          <w:bCs/>
          <w:sz w:val="24"/>
          <w:szCs w:val="24"/>
        </w:rPr>
      </w:pPr>
    </w:p>
    <w:p w14:paraId="443FABB4" w14:textId="77777777" w:rsidR="002008EC" w:rsidRDefault="002008EC" w:rsidP="002008EC">
      <w:pPr>
        <w:spacing w:line="480" w:lineRule="auto"/>
        <w:rPr>
          <w:rFonts w:ascii="Times New Roman" w:eastAsia="Times New Roman" w:hAnsi="Times New Roman" w:cs="Times New Roman"/>
          <w:b/>
          <w:bCs/>
          <w:sz w:val="24"/>
          <w:szCs w:val="24"/>
        </w:rPr>
      </w:pPr>
    </w:p>
    <w:p w14:paraId="59AAF3E0" w14:textId="77777777" w:rsidR="002008EC" w:rsidRDefault="002008EC" w:rsidP="002008EC">
      <w:pPr>
        <w:spacing w:line="480" w:lineRule="auto"/>
        <w:rPr>
          <w:rFonts w:ascii="Times New Roman" w:eastAsia="Times New Roman" w:hAnsi="Times New Roman" w:cs="Times New Roman"/>
          <w:b/>
          <w:bCs/>
          <w:sz w:val="24"/>
          <w:szCs w:val="24"/>
        </w:rPr>
      </w:pPr>
    </w:p>
    <w:p w14:paraId="0E5AD043" w14:textId="77777777" w:rsidR="002008EC" w:rsidRDefault="002008EC" w:rsidP="002008EC">
      <w:pPr>
        <w:spacing w:line="480" w:lineRule="auto"/>
        <w:rPr>
          <w:rFonts w:ascii="Times New Roman" w:eastAsia="Times New Roman" w:hAnsi="Times New Roman" w:cs="Times New Roman"/>
          <w:b/>
          <w:bCs/>
          <w:sz w:val="24"/>
          <w:szCs w:val="24"/>
        </w:rPr>
      </w:pPr>
    </w:p>
    <w:p w14:paraId="4CF465CB" w14:textId="77777777" w:rsidR="002008EC" w:rsidRDefault="002008EC" w:rsidP="002008EC">
      <w:pPr>
        <w:spacing w:line="480" w:lineRule="auto"/>
        <w:rPr>
          <w:rFonts w:ascii="Times New Roman" w:eastAsia="Times New Roman" w:hAnsi="Times New Roman" w:cs="Times New Roman"/>
          <w:b/>
          <w:bCs/>
          <w:sz w:val="24"/>
          <w:szCs w:val="24"/>
        </w:rPr>
      </w:pPr>
    </w:p>
    <w:p w14:paraId="56F1F336" w14:textId="77777777" w:rsidR="002008EC" w:rsidRDefault="002008EC" w:rsidP="002008EC">
      <w:pPr>
        <w:spacing w:line="480" w:lineRule="auto"/>
        <w:rPr>
          <w:rFonts w:ascii="Times New Roman" w:eastAsia="Times New Roman" w:hAnsi="Times New Roman" w:cs="Times New Roman"/>
          <w:b/>
          <w:bCs/>
          <w:sz w:val="24"/>
          <w:szCs w:val="24"/>
        </w:rPr>
      </w:pPr>
    </w:p>
    <w:p w14:paraId="1B0C4FFC" w14:textId="77777777" w:rsidR="002008EC" w:rsidRDefault="002008EC" w:rsidP="002008EC">
      <w:pPr>
        <w:spacing w:line="480" w:lineRule="auto"/>
        <w:rPr>
          <w:rFonts w:ascii="Times New Roman" w:eastAsia="Times New Roman" w:hAnsi="Times New Roman" w:cs="Times New Roman"/>
          <w:b/>
          <w:bCs/>
          <w:sz w:val="24"/>
          <w:szCs w:val="24"/>
        </w:rPr>
      </w:pPr>
    </w:p>
    <w:p w14:paraId="42654991" w14:textId="77777777" w:rsidR="002008EC" w:rsidRDefault="002008EC" w:rsidP="002008EC">
      <w:pPr>
        <w:spacing w:line="480" w:lineRule="auto"/>
        <w:rPr>
          <w:rFonts w:ascii="Times New Roman" w:eastAsia="Times New Roman" w:hAnsi="Times New Roman" w:cs="Times New Roman"/>
          <w:b/>
          <w:bCs/>
          <w:sz w:val="24"/>
          <w:szCs w:val="24"/>
        </w:rPr>
      </w:pPr>
    </w:p>
    <w:p w14:paraId="42C42368" w14:textId="77777777" w:rsidR="002008EC" w:rsidRDefault="002008EC" w:rsidP="002008EC">
      <w:pPr>
        <w:spacing w:line="480" w:lineRule="auto"/>
        <w:rPr>
          <w:rFonts w:ascii="Times New Roman" w:eastAsia="Times New Roman" w:hAnsi="Times New Roman" w:cs="Times New Roman"/>
          <w:b/>
          <w:bCs/>
          <w:sz w:val="24"/>
          <w:szCs w:val="24"/>
        </w:rPr>
      </w:pPr>
    </w:p>
    <w:p w14:paraId="798F1D8D" w14:textId="77777777" w:rsidR="002008EC" w:rsidRDefault="002008EC" w:rsidP="002008EC">
      <w:pPr>
        <w:spacing w:line="480" w:lineRule="auto"/>
        <w:rPr>
          <w:rFonts w:ascii="Times New Roman" w:eastAsia="Times New Roman" w:hAnsi="Times New Roman" w:cs="Times New Roman"/>
          <w:b/>
          <w:bCs/>
          <w:sz w:val="24"/>
          <w:szCs w:val="24"/>
        </w:rPr>
      </w:pPr>
    </w:p>
    <w:p w14:paraId="026DA316" w14:textId="77777777" w:rsidR="002008EC" w:rsidRDefault="002008EC" w:rsidP="002008EC">
      <w:pPr>
        <w:spacing w:line="480" w:lineRule="auto"/>
        <w:rPr>
          <w:rFonts w:ascii="Times New Roman" w:eastAsia="Times New Roman" w:hAnsi="Times New Roman" w:cs="Times New Roman"/>
          <w:b/>
          <w:bCs/>
          <w:sz w:val="24"/>
          <w:szCs w:val="24"/>
        </w:rPr>
      </w:pPr>
    </w:p>
    <w:p w14:paraId="43163605" w14:textId="77777777" w:rsidR="002008EC" w:rsidRDefault="002008EC" w:rsidP="002008EC">
      <w:pPr>
        <w:spacing w:line="480" w:lineRule="auto"/>
        <w:rPr>
          <w:rFonts w:ascii="Times New Roman" w:eastAsia="Times New Roman" w:hAnsi="Times New Roman" w:cs="Times New Roman"/>
          <w:b/>
          <w:bCs/>
          <w:sz w:val="24"/>
          <w:szCs w:val="24"/>
        </w:rPr>
      </w:pPr>
    </w:p>
    <w:p w14:paraId="46232C0B" w14:textId="77777777" w:rsidR="002008EC" w:rsidRDefault="002008EC" w:rsidP="002008EC">
      <w:pPr>
        <w:spacing w:line="480" w:lineRule="auto"/>
        <w:rPr>
          <w:rFonts w:ascii="Times New Roman" w:eastAsia="Times New Roman" w:hAnsi="Times New Roman" w:cs="Times New Roman"/>
          <w:b/>
          <w:bCs/>
          <w:sz w:val="24"/>
          <w:szCs w:val="24"/>
        </w:rPr>
      </w:pPr>
    </w:p>
    <w:p w14:paraId="4E5D84C0" w14:textId="77777777" w:rsidR="002008EC" w:rsidRDefault="002008EC" w:rsidP="002008EC">
      <w:pPr>
        <w:spacing w:line="480" w:lineRule="auto"/>
        <w:rPr>
          <w:rFonts w:ascii="Times New Roman" w:eastAsia="Times New Roman" w:hAnsi="Times New Roman" w:cs="Times New Roman"/>
          <w:b/>
          <w:bCs/>
          <w:sz w:val="24"/>
          <w:szCs w:val="24"/>
        </w:rPr>
      </w:pPr>
    </w:p>
    <w:p w14:paraId="74BAA305" w14:textId="77777777" w:rsidR="002008EC" w:rsidRDefault="002008EC" w:rsidP="002008EC">
      <w:pPr>
        <w:spacing w:line="480" w:lineRule="auto"/>
        <w:rPr>
          <w:rFonts w:ascii="Times New Roman" w:eastAsia="Times New Roman" w:hAnsi="Times New Roman" w:cs="Times New Roman"/>
          <w:b/>
          <w:bCs/>
          <w:sz w:val="24"/>
          <w:szCs w:val="24"/>
        </w:rPr>
      </w:pPr>
    </w:p>
    <w:p w14:paraId="370CFEE3" w14:textId="77777777" w:rsidR="002008EC" w:rsidRDefault="002008EC" w:rsidP="002008EC">
      <w:pPr>
        <w:spacing w:line="480" w:lineRule="auto"/>
        <w:rPr>
          <w:rFonts w:ascii="Times New Roman" w:eastAsia="Times New Roman" w:hAnsi="Times New Roman" w:cs="Times New Roman"/>
          <w:b/>
          <w:bCs/>
          <w:sz w:val="24"/>
          <w:szCs w:val="24"/>
        </w:rPr>
      </w:pPr>
    </w:p>
    <w:p w14:paraId="089B1EEA" w14:textId="77777777" w:rsidR="002008EC" w:rsidRDefault="002008EC" w:rsidP="002008EC">
      <w:pPr>
        <w:spacing w:line="480" w:lineRule="auto"/>
        <w:rPr>
          <w:rFonts w:ascii="Times New Roman" w:eastAsia="Times New Roman" w:hAnsi="Times New Roman" w:cs="Times New Roman"/>
          <w:b/>
          <w:bCs/>
          <w:sz w:val="24"/>
          <w:szCs w:val="24"/>
        </w:rPr>
      </w:pPr>
    </w:p>
    <w:p w14:paraId="41FD9F52" w14:textId="77777777" w:rsidR="002008EC" w:rsidRDefault="002008EC" w:rsidP="002008EC">
      <w:pPr>
        <w:spacing w:line="480" w:lineRule="auto"/>
        <w:rPr>
          <w:rFonts w:ascii="Times New Roman" w:eastAsia="Times New Roman" w:hAnsi="Times New Roman" w:cs="Times New Roman"/>
          <w:b/>
          <w:bCs/>
          <w:sz w:val="24"/>
          <w:szCs w:val="24"/>
        </w:rPr>
      </w:pPr>
    </w:p>
    <w:p w14:paraId="39D5DBFD" w14:textId="77777777" w:rsidR="002008EC" w:rsidRDefault="002008EC" w:rsidP="002008EC">
      <w:pPr>
        <w:spacing w:line="480" w:lineRule="auto"/>
        <w:rPr>
          <w:rFonts w:ascii="Times New Roman" w:eastAsia="Times New Roman" w:hAnsi="Times New Roman" w:cs="Times New Roman"/>
          <w:b/>
          <w:bCs/>
          <w:sz w:val="24"/>
          <w:szCs w:val="24"/>
        </w:rPr>
      </w:pPr>
    </w:p>
    <w:p w14:paraId="5C655286" w14:textId="77777777" w:rsidR="002008EC" w:rsidRDefault="002008EC" w:rsidP="002008EC">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Supplementary table 2</w:t>
      </w:r>
    </w:p>
    <w:tbl>
      <w:tblPr>
        <w:tblpPr w:leftFromText="180" w:rightFromText="180" w:vertAnchor="text"/>
        <w:tblW w:w="9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4"/>
        <w:gridCol w:w="6891"/>
      </w:tblGrid>
      <w:tr w:rsidR="002008EC" w14:paraId="7728E8BD" w14:textId="77777777" w:rsidTr="009A5F86">
        <w:trPr>
          <w:trHeight w:val="350"/>
        </w:trPr>
        <w:tc>
          <w:tcPr>
            <w:tcW w:w="3004" w:type="dxa"/>
          </w:tcPr>
          <w:p w14:paraId="361BC1D0" w14:textId="77777777" w:rsidR="002008EC" w:rsidRDefault="002008EC" w:rsidP="009A5F86">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Procedures  </w:t>
            </w:r>
          </w:p>
        </w:tc>
        <w:tc>
          <w:tcPr>
            <w:tcW w:w="6891" w:type="dxa"/>
          </w:tcPr>
          <w:p w14:paraId="61E707F3" w14:textId="77777777" w:rsidR="002008EC" w:rsidRDefault="002008EC" w:rsidP="009A5F86">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ICD-10 Codes </w:t>
            </w:r>
          </w:p>
        </w:tc>
      </w:tr>
      <w:tr w:rsidR="002008EC" w14:paraId="1175DC9C" w14:textId="77777777" w:rsidTr="009A5F86">
        <w:trPr>
          <w:trHeight w:val="581"/>
        </w:trPr>
        <w:tc>
          <w:tcPr>
            <w:tcW w:w="3004" w:type="dxa"/>
          </w:tcPr>
          <w:p w14:paraId="77759756"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Upper Gastrointestinal Endoscopy (EGD)</w:t>
            </w:r>
          </w:p>
        </w:tc>
        <w:tc>
          <w:tcPr>
            <w:tcW w:w="6891" w:type="dxa"/>
          </w:tcPr>
          <w:p w14:paraId="753BC808"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0DJ08ZZ, 0D983ZX, 0D958ZX, 0DJ08ZZ, 0D953ZX, 0DJ68ZZ, 0D963ZX, 0DJ07ZZ, 0D568ZZ, 0D578ZZ, 0D588ZZ, 0D598ZZ 0D5A8ZZ, 0D718ZZ, 0D728ZZ, 0D738ZZ, 0D748ZZ, 0D758ZZ, 0D768ZZ, 0D778ZZ, 0D788ZZ, 0D798ZZ, 0D7A8ZZ, 0D718DZ, 0D728DZ, 0D738DZ, 0D748DZ, 0D758DZ, 0D768DZ, 0D778DZ, 0D788DZ, 0D798DZ, 0D7A8DZ, 0D9180Z, 0D918ZX, 0D918ZZ 0D9280Z, 0D928ZX, 0D928ZZ, 0D9380Z 0D938ZX, 0D938ZZ, 0D9480Z, 0D948ZX 0D948ZZ, 0D9580Z, 0D958ZX, 0D958ZZ 0D9680Z, 0D968ZX, 0D968ZZ, 0D9780Z 0D978ZX, 0D978ZZ, 0D9880Z, 0D988ZX 0D988ZZ, 0D9980Z, 0D998ZX, 0D998ZZ, 0D9A80Z, 0D9A8ZX, 0D9A8ZZ, 0DB18ZX, 0DB18ZZ, 0DB28ZX, 0DB28ZZ 0DB38ZX, 0DB38ZZ, 0DB48ZX, 0DB48ZZ 0DB58ZX, 0DB58ZZ, 0DB68ZX, 0DB68ZZ 0DB78ZX, 0DB78ZZ, 0DB88ZX, 0DB88ZZ 0DB98ZX, 0DB98ZZ, 0DBA8ZX, 0DBA8ZZ, 0DC18ZZ, 0DC28ZZ, 0DC38ZZ 0DC48ZZ, 0DC58ZZ, 0DC68ZZ, 0DC78ZZ 0DC88ZZ, 0DC98ZZ, 0DCA8ZZ, 0DJ08ZZ</w:t>
            </w:r>
          </w:p>
        </w:tc>
      </w:tr>
      <w:tr w:rsidR="002008EC" w14:paraId="58F9113E" w14:textId="77777777" w:rsidTr="009A5F86">
        <w:trPr>
          <w:trHeight w:val="581"/>
        </w:trPr>
        <w:tc>
          <w:tcPr>
            <w:tcW w:w="3004" w:type="dxa"/>
          </w:tcPr>
          <w:p w14:paraId="719D1054"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Variceal Ligation or Other Control of bleeding</w:t>
            </w:r>
          </w:p>
        </w:tc>
        <w:tc>
          <w:tcPr>
            <w:tcW w:w="6891" w:type="dxa"/>
          </w:tcPr>
          <w:p w14:paraId="3188678B"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06L30ZZ, 0D554ZZ, 0D518ZZ, 0D528ZZ, 0D538ZZ, 0D548ZZ, 0D558ZZ, 0D568ZZ, 0W3P8ZZ, 3E0G8TZ, 0DQ78ZZ, 0DQ68ZZ, 0DQ28ZZ, 0DQ38ZZ, 0DQ58ZZ, 0DQ48ZZ, 06L38CZ, 06L34CZ 06L38ZZ, 3E0G8GC, 06L28CZ, 06L28ZZ</w:t>
            </w:r>
          </w:p>
        </w:tc>
      </w:tr>
      <w:tr w:rsidR="002008EC" w14:paraId="34861462" w14:textId="77777777" w:rsidTr="009A5F86">
        <w:trPr>
          <w:trHeight w:val="581"/>
        </w:trPr>
        <w:tc>
          <w:tcPr>
            <w:tcW w:w="3004" w:type="dxa"/>
          </w:tcPr>
          <w:p w14:paraId="661757E1" w14:textId="77777777" w:rsidR="002008EC" w:rsidRDefault="002008EC" w:rsidP="009A5F86">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lastRenderedPageBreak/>
              <w:t>Insertion of Sengstaken tube /esophageal tamponade</w:t>
            </w:r>
          </w:p>
        </w:tc>
        <w:tc>
          <w:tcPr>
            <w:tcW w:w="6891" w:type="dxa"/>
          </w:tcPr>
          <w:p w14:paraId="28934335"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0DL57DZ, 0DL58DZ</w:t>
            </w:r>
          </w:p>
        </w:tc>
      </w:tr>
      <w:tr w:rsidR="002008EC" w14:paraId="05A950F7" w14:textId="77777777" w:rsidTr="009A5F86">
        <w:trPr>
          <w:trHeight w:val="581"/>
        </w:trPr>
        <w:tc>
          <w:tcPr>
            <w:tcW w:w="3004" w:type="dxa"/>
          </w:tcPr>
          <w:p w14:paraId="16C8BC0F"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Transjugular Intrahepatic Portosystemic shunt</w:t>
            </w:r>
          </w:p>
        </w:tc>
        <w:tc>
          <w:tcPr>
            <w:tcW w:w="6891" w:type="dxa"/>
          </w:tcPr>
          <w:p w14:paraId="2DE357BA"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06183J4, 06184J4, 06183JY, 061847Y 061849Y, 06184AY, 06184JY, 06184KY 06184ZY, 06183DY, 06184DY</w:t>
            </w:r>
          </w:p>
        </w:tc>
      </w:tr>
      <w:tr w:rsidR="002008EC" w14:paraId="23428053" w14:textId="77777777" w:rsidTr="009A5F86">
        <w:trPr>
          <w:trHeight w:val="553"/>
        </w:trPr>
        <w:tc>
          <w:tcPr>
            <w:tcW w:w="3004" w:type="dxa"/>
          </w:tcPr>
          <w:p w14:paraId="4B93D7C4"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Hemodialysis</w:t>
            </w:r>
          </w:p>
        </w:tc>
        <w:tc>
          <w:tcPr>
            <w:tcW w:w="6891" w:type="dxa"/>
          </w:tcPr>
          <w:p w14:paraId="01C95159"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Z992, Z4901, Z4931, 5A1D*</w:t>
            </w:r>
          </w:p>
        </w:tc>
      </w:tr>
      <w:tr w:rsidR="002008EC" w14:paraId="3A3687B1" w14:textId="77777777" w:rsidTr="009A5F86">
        <w:trPr>
          <w:trHeight w:val="553"/>
        </w:trPr>
        <w:tc>
          <w:tcPr>
            <w:tcW w:w="3004" w:type="dxa"/>
          </w:tcPr>
          <w:p w14:paraId="4941C473"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Liver Transplant</w:t>
            </w:r>
          </w:p>
        </w:tc>
        <w:tc>
          <w:tcPr>
            <w:tcW w:w="6891" w:type="dxa"/>
          </w:tcPr>
          <w:p w14:paraId="7B1A4784"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0FY00Z0, 0FY00Z1, 0FY00Z2</w:t>
            </w:r>
          </w:p>
        </w:tc>
      </w:tr>
      <w:tr w:rsidR="002008EC" w14:paraId="2A1E4024" w14:textId="77777777" w:rsidTr="009A5F86">
        <w:trPr>
          <w:trHeight w:val="553"/>
        </w:trPr>
        <w:tc>
          <w:tcPr>
            <w:tcW w:w="3004" w:type="dxa"/>
          </w:tcPr>
          <w:p w14:paraId="59006B23"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Red Blood Cell Transfusion</w:t>
            </w:r>
          </w:p>
        </w:tc>
        <w:tc>
          <w:tcPr>
            <w:tcW w:w="6891" w:type="dxa"/>
          </w:tcPr>
          <w:p w14:paraId="001B15C1"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30233N1, 30243N1, 30233N0, 30233P0, 30233P1</w:t>
            </w:r>
          </w:p>
        </w:tc>
      </w:tr>
      <w:tr w:rsidR="002008EC" w14:paraId="0A0D7C81" w14:textId="77777777" w:rsidTr="009A5F86">
        <w:trPr>
          <w:trHeight w:val="553"/>
        </w:trPr>
        <w:tc>
          <w:tcPr>
            <w:tcW w:w="3004" w:type="dxa"/>
          </w:tcPr>
          <w:p w14:paraId="658F734E"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Platelets Transfusion</w:t>
            </w:r>
          </w:p>
        </w:tc>
        <w:tc>
          <w:tcPr>
            <w:tcW w:w="6891" w:type="dxa"/>
          </w:tcPr>
          <w:p w14:paraId="4B475179"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30233R1, 30243R1, 30230R0</w:t>
            </w:r>
          </w:p>
        </w:tc>
      </w:tr>
      <w:tr w:rsidR="002008EC" w14:paraId="55DA0CE9" w14:textId="77777777" w:rsidTr="009A5F86">
        <w:trPr>
          <w:trHeight w:val="553"/>
        </w:trPr>
        <w:tc>
          <w:tcPr>
            <w:tcW w:w="3004" w:type="dxa"/>
          </w:tcPr>
          <w:p w14:paraId="426E29C5"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Fresh Frozen Plasma Transfusion</w:t>
            </w:r>
          </w:p>
        </w:tc>
        <w:tc>
          <w:tcPr>
            <w:tcW w:w="6891" w:type="dxa"/>
          </w:tcPr>
          <w:p w14:paraId="17453A4B" w14:textId="77777777" w:rsidR="002008EC" w:rsidRDefault="002008EC" w:rsidP="009A5F86">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30233K1, 30243K1, 30233K0, 30233L0, 30233L1</w:t>
            </w:r>
          </w:p>
        </w:tc>
      </w:tr>
    </w:tbl>
    <w:p w14:paraId="292E334B" w14:textId="77777777" w:rsidR="002008EC" w:rsidRDefault="002008EC" w:rsidP="002008EC">
      <w:pPr>
        <w:spacing w:line="480" w:lineRule="auto"/>
        <w:rPr>
          <w:rFonts w:ascii="Times New Roman" w:eastAsia="Times New Roman" w:hAnsi="Times New Roman" w:cs="Times New Roman"/>
          <w:b/>
          <w:bCs/>
          <w:sz w:val="24"/>
          <w:szCs w:val="24"/>
        </w:rPr>
      </w:pPr>
    </w:p>
    <w:p w14:paraId="71019C74" w14:textId="77777777" w:rsidR="00DE6AE2" w:rsidRDefault="00DE6AE2"/>
    <w:sectPr w:rsidR="00DE6AE2" w:rsidSect="002008EC">
      <w:footerReference w:type="default" r:id="rId4"/>
      <w:pgSz w:w="12240" w:h="15840"/>
      <w:pgMar w:top="1440" w:right="1440" w:bottom="1440" w:left="1440" w:header="720" w:footer="720"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728641" w14:textId="77777777" w:rsidR="002008EC" w:rsidRDefault="002008EC">
    <w:pPr>
      <w:pBdr>
        <w:top w:val="nil"/>
        <w:left w:val="nil"/>
        <w:bottom w:val="nil"/>
        <w:right w:val="nil"/>
        <w:between w:val="nil"/>
      </w:pBdr>
      <w:tabs>
        <w:tab w:val="center" w:pos="4680"/>
        <w:tab w:val="right" w:pos="9360"/>
      </w:tabs>
      <w:spacing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0956CCB" w14:textId="77777777" w:rsidR="002008EC" w:rsidRDefault="002008EC">
    <w:pPr>
      <w:pBdr>
        <w:top w:val="nil"/>
        <w:left w:val="nil"/>
        <w:bottom w:val="nil"/>
        <w:right w:val="nil"/>
        <w:between w:val="nil"/>
      </w:pBdr>
      <w:tabs>
        <w:tab w:val="center" w:pos="4680"/>
        <w:tab w:val="right" w:pos="9360"/>
      </w:tabs>
      <w:spacing w:line="240" w:lineRule="auto"/>
      <w:rPr>
        <w:color w:val="00000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8EC"/>
    <w:rsid w:val="00121982"/>
    <w:rsid w:val="00195413"/>
    <w:rsid w:val="002008EC"/>
    <w:rsid w:val="003D0186"/>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C1B8F"/>
  <w15:chartTrackingRefBased/>
  <w15:docId w15:val="{F5BCFE4A-B316-4D7A-8101-4F6E73DE2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08EC"/>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2008E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2008E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2008E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2008EC"/>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2008EC"/>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2008EC"/>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2008EC"/>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2008EC"/>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2008EC"/>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08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08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08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08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08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08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08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08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08EC"/>
    <w:rPr>
      <w:rFonts w:eastAsiaTheme="majorEastAsia" w:cstheme="majorBidi"/>
      <w:color w:val="272727" w:themeColor="text1" w:themeTint="D8"/>
    </w:rPr>
  </w:style>
  <w:style w:type="paragraph" w:styleId="Title">
    <w:name w:val="Title"/>
    <w:basedOn w:val="Normal"/>
    <w:next w:val="Normal"/>
    <w:link w:val="TitleChar"/>
    <w:uiPriority w:val="10"/>
    <w:qFormat/>
    <w:rsid w:val="002008EC"/>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2008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08E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2008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08EC"/>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2008EC"/>
    <w:rPr>
      <w:i/>
      <w:iCs/>
      <w:color w:val="404040" w:themeColor="text1" w:themeTint="BF"/>
    </w:rPr>
  </w:style>
  <w:style w:type="paragraph" w:styleId="ListParagraph">
    <w:name w:val="List Paragraph"/>
    <w:basedOn w:val="Normal"/>
    <w:uiPriority w:val="34"/>
    <w:qFormat/>
    <w:rsid w:val="002008EC"/>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2008EC"/>
    <w:rPr>
      <w:i/>
      <w:iCs/>
      <w:color w:val="0F4761" w:themeColor="accent1" w:themeShade="BF"/>
    </w:rPr>
  </w:style>
  <w:style w:type="paragraph" w:styleId="IntenseQuote">
    <w:name w:val="Intense Quote"/>
    <w:basedOn w:val="Normal"/>
    <w:next w:val="Normal"/>
    <w:link w:val="IntenseQuoteChar"/>
    <w:uiPriority w:val="30"/>
    <w:qFormat/>
    <w:rsid w:val="002008E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2008EC"/>
    <w:rPr>
      <w:i/>
      <w:iCs/>
      <w:color w:val="0F4761" w:themeColor="accent1" w:themeShade="BF"/>
    </w:rPr>
  </w:style>
  <w:style w:type="character" w:styleId="IntenseReference">
    <w:name w:val="Intense Reference"/>
    <w:basedOn w:val="DefaultParagraphFont"/>
    <w:uiPriority w:val="32"/>
    <w:qFormat/>
    <w:rsid w:val="002008EC"/>
    <w:rPr>
      <w:b/>
      <w:bCs/>
      <w:smallCaps/>
      <w:color w:val="0F4761" w:themeColor="accent1" w:themeShade="BF"/>
      <w:spacing w:val="5"/>
    </w:rPr>
  </w:style>
  <w:style w:type="character" w:styleId="LineNumber">
    <w:name w:val="line number"/>
    <w:basedOn w:val="DefaultParagraphFont"/>
    <w:uiPriority w:val="99"/>
    <w:semiHidden/>
    <w:unhideWhenUsed/>
    <w:rsid w:val="002008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302</Words>
  <Characters>1930</Characters>
  <Application>Microsoft Office Word</Application>
  <DocSecurity>0</DocSecurity>
  <Lines>62</Lines>
  <Paragraphs>37</Paragraphs>
  <ScaleCrop>false</ScaleCrop>
  <Company>Springer Nature</Company>
  <LinksUpToDate>false</LinksUpToDate>
  <CharactersWithSpaces>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2026-04-08T08:59:00Z</dcterms:created>
  <dcterms:modified xsi:type="dcterms:W3CDTF">2026-04-08T09:00:00Z</dcterms:modified>
</cp:coreProperties>
</file>