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16BD5" w14:textId="310295CE" w:rsidR="00D27539" w:rsidRDefault="00554548">
      <w:pPr>
        <w:rPr>
          <w:b/>
          <w:bCs/>
        </w:rPr>
      </w:pPr>
      <w:r>
        <w:rPr>
          <w:b/>
          <w:bCs/>
        </w:rPr>
        <w:t>Cameron et al_</w:t>
      </w:r>
      <w:r w:rsidR="00D27539">
        <w:rPr>
          <w:b/>
          <w:bCs/>
        </w:rPr>
        <w:t xml:space="preserve">Supplementary </w:t>
      </w:r>
      <w:r w:rsidR="00DD1928">
        <w:rPr>
          <w:b/>
          <w:bCs/>
        </w:rPr>
        <w:t>F</w:t>
      </w:r>
      <w:r w:rsidR="00D27539">
        <w:rPr>
          <w:b/>
          <w:bCs/>
        </w:rPr>
        <w:t>igures</w:t>
      </w:r>
    </w:p>
    <w:p w14:paraId="4DAD997D" w14:textId="77777777" w:rsidR="007F42D3" w:rsidRDefault="007F42D3">
      <w:pPr>
        <w:rPr>
          <w:b/>
          <w:bCs/>
        </w:rPr>
      </w:pPr>
    </w:p>
    <w:p w14:paraId="30882856" w14:textId="54CE7747" w:rsidR="00D27539" w:rsidRDefault="00B21B4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FC2C6F2" wp14:editId="189FC61E">
            <wp:extent cx="5727700" cy="5315585"/>
            <wp:effectExtent l="0" t="0" r="0" b="5715"/>
            <wp:docPr id="6801517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151777" name="Picture 68015177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31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DD223" w14:textId="6ECE9745" w:rsidR="00994736" w:rsidRPr="0062668C" w:rsidRDefault="00994736">
      <w:pPr>
        <w:rPr>
          <w:b/>
          <w:bCs/>
          <w:sz w:val="22"/>
          <w:szCs w:val="22"/>
        </w:rPr>
      </w:pPr>
      <w:r w:rsidRPr="0062668C">
        <w:rPr>
          <w:b/>
          <w:bCs/>
          <w:sz w:val="22"/>
          <w:szCs w:val="22"/>
        </w:rPr>
        <w:t>Supplementary Figure 1</w:t>
      </w:r>
      <w:r w:rsidR="00A21814">
        <w:rPr>
          <w:b/>
          <w:bCs/>
          <w:sz w:val="22"/>
          <w:szCs w:val="22"/>
        </w:rPr>
        <w:t>.</w:t>
      </w:r>
      <w:r w:rsidRPr="0062668C">
        <w:rPr>
          <w:b/>
          <w:bCs/>
          <w:sz w:val="22"/>
          <w:szCs w:val="22"/>
        </w:rPr>
        <w:t xml:space="preserve"> </w:t>
      </w:r>
      <w:r w:rsidRPr="0062668C">
        <w:rPr>
          <w:b/>
          <w:bCs/>
          <w:color w:val="000000" w:themeColor="text1"/>
          <w:sz w:val="22"/>
          <w:szCs w:val="22"/>
        </w:rPr>
        <w:t xml:space="preserve">Uniform Manifold Approximation and Projections (UMAP) for 16 subpopulations of Glu-UL, GLU-DL, GABA and NPC. </w:t>
      </w:r>
      <w:r w:rsidR="00685742">
        <w:rPr>
          <w:b/>
          <w:bCs/>
          <w:color w:val="000000" w:themeColor="text1"/>
          <w:sz w:val="22"/>
          <w:szCs w:val="22"/>
        </w:rPr>
        <w:t xml:space="preserve">Nuclei annotated as </w:t>
      </w:r>
      <w:r w:rsidR="00685742" w:rsidRPr="0062668C">
        <w:rPr>
          <w:b/>
          <w:bCs/>
          <w:color w:val="000000" w:themeColor="text1"/>
          <w:sz w:val="22"/>
          <w:szCs w:val="22"/>
        </w:rPr>
        <w:t>Glu-UL, GLU-DL, GABA and NPC</w:t>
      </w:r>
      <w:r w:rsidR="00685742" w:rsidRPr="0062668C">
        <w:rPr>
          <w:color w:val="000000" w:themeColor="text1"/>
          <w:sz w:val="22"/>
          <w:szCs w:val="22"/>
        </w:rPr>
        <w:t xml:space="preserve"> </w:t>
      </w:r>
      <w:r w:rsidR="00685742">
        <w:rPr>
          <w:color w:val="000000" w:themeColor="text1"/>
          <w:sz w:val="22"/>
          <w:szCs w:val="22"/>
        </w:rPr>
        <w:t xml:space="preserve">were individually </w:t>
      </w:r>
      <w:r w:rsidR="003C39A9" w:rsidRPr="0062668C">
        <w:rPr>
          <w:color w:val="000000" w:themeColor="text1"/>
          <w:sz w:val="22"/>
          <w:szCs w:val="22"/>
        </w:rPr>
        <w:t>sub</w:t>
      </w:r>
      <w:r w:rsidRPr="0062668C">
        <w:rPr>
          <w:color w:val="000000" w:themeColor="text1"/>
          <w:sz w:val="22"/>
          <w:szCs w:val="22"/>
        </w:rPr>
        <w:t xml:space="preserve">clustered based on transcriptional similarity using a </w:t>
      </w:r>
      <w:r w:rsidRPr="0062668C">
        <w:rPr>
          <w:sz w:val="22"/>
          <w:szCs w:val="22"/>
        </w:rPr>
        <w:t xml:space="preserve">k-nearest </w:t>
      </w:r>
      <w:proofErr w:type="spellStart"/>
      <w:r w:rsidRPr="0062668C">
        <w:rPr>
          <w:sz w:val="22"/>
          <w:szCs w:val="22"/>
        </w:rPr>
        <w:t>neighbor</w:t>
      </w:r>
      <w:proofErr w:type="spellEnd"/>
      <w:r w:rsidRPr="0062668C">
        <w:rPr>
          <w:sz w:val="22"/>
          <w:szCs w:val="22"/>
        </w:rPr>
        <w:t xml:space="preserve"> graph constructed in PCA space, followed by Leiden community detection </w:t>
      </w:r>
      <w:r w:rsidRPr="0062668C">
        <w:rPr>
          <w:color w:val="000000" w:themeColor="text1"/>
          <w:sz w:val="22"/>
          <w:szCs w:val="22"/>
        </w:rPr>
        <w:t xml:space="preserve">and visualized in two-dimensional space via UMAP </w:t>
      </w:r>
      <w:r w:rsidRPr="0062668C">
        <w:rPr>
          <w:sz w:val="22"/>
          <w:szCs w:val="22"/>
        </w:rPr>
        <w:t xml:space="preserve">in </w:t>
      </w:r>
      <w:proofErr w:type="spellStart"/>
      <w:r w:rsidRPr="0062668C">
        <w:rPr>
          <w:sz w:val="22"/>
          <w:szCs w:val="22"/>
        </w:rPr>
        <w:t>Scanpy</w:t>
      </w:r>
      <w:proofErr w:type="spellEnd"/>
      <w:r w:rsidRPr="0062668C">
        <w:rPr>
          <w:sz w:val="22"/>
          <w:szCs w:val="22"/>
        </w:rPr>
        <w:t xml:space="preserve"> </w:t>
      </w:r>
      <w:r w:rsidRPr="0062668C">
        <w:rPr>
          <w:sz w:val="22"/>
          <w:szCs w:val="22"/>
          <w:vertAlign w:val="superscript"/>
        </w:rPr>
        <w:t>1</w:t>
      </w:r>
      <w:r w:rsidRPr="0062668C">
        <w:rPr>
          <w:sz w:val="22"/>
          <w:szCs w:val="22"/>
        </w:rPr>
        <w:t xml:space="preserve">. A) Upper layer glutamatergic neuron (Glu-UL) </w:t>
      </w:r>
      <w:r w:rsidR="007F42D3">
        <w:rPr>
          <w:sz w:val="22"/>
          <w:szCs w:val="22"/>
        </w:rPr>
        <w:t xml:space="preserve">‘level 2’ </w:t>
      </w:r>
      <w:r w:rsidRPr="0062668C">
        <w:rPr>
          <w:sz w:val="22"/>
          <w:szCs w:val="22"/>
        </w:rPr>
        <w:t xml:space="preserve">subpopulations. B)  Deep layer glutamatergic neuron (Glu-DL) </w:t>
      </w:r>
      <w:r w:rsidR="007F42D3">
        <w:rPr>
          <w:sz w:val="22"/>
          <w:szCs w:val="22"/>
        </w:rPr>
        <w:t xml:space="preserve">‘level 2’ </w:t>
      </w:r>
      <w:r w:rsidRPr="0062668C">
        <w:rPr>
          <w:sz w:val="22"/>
          <w:szCs w:val="22"/>
        </w:rPr>
        <w:t xml:space="preserve">subpopulations. C) Neural progenitor cell (NPC) </w:t>
      </w:r>
      <w:r w:rsidR="007F42D3">
        <w:rPr>
          <w:sz w:val="22"/>
          <w:szCs w:val="22"/>
        </w:rPr>
        <w:t xml:space="preserve">‘level 2’ </w:t>
      </w:r>
      <w:r w:rsidRPr="0062668C">
        <w:rPr>
          <w:sz w:val="22"/>
          <w:szCs w:val="22"/>
        </w:rPr>
        <w:t xml:space="preserve">subpopulations. D) GABAergic neurons (GABA) </w:t>
      </w:r>
      <w:r w:rsidR="007F42D3">
        <w:rPr>
          <w:sz w:val="22"/>
          <w:szCs w:val="22"/>
        </w:rPr>
        <w:t xml:space="preserve">‘level 2’ </w:t>
      </w:r>
      <w:r w:rsidRPr="0062668C">
        <w:rPr>
          <w:sz w:val="22"/>
          <w:szCs w:val="22"/>
        </w:rPr>
        <w:t>subpopulations. Three NPC subclusters (N</w:t>
      </w:r>
      <w:r w:rsidR="007F5AA5" w:rsidRPr="0062668C">
        <w:rPr>
          <w:sz w:val="22"/>
          <w:szCs w:val="22"/>
        </w:rPr>
        <w:t xml:space="preserve">PC-3, NPC-4 and NPC-5) </w:t>
      </w:r>
      <w:r w:rsidRPr="0062668C">
        <w:rPr>
          <w:sz w:val="22"/>
          <w:szCs w:val="22"/>
        </w:rPr>
        <w:t xml:space="preserve">and </w:t>
      </w:r>
      <w:r w:rsidR="007F5AA5" w:rsidRPr="0062668C">
        <w:rPr>
          <w:sz w:val="22"/>
          <w:szCs w:val="22"/>
        </w:rPr>
        <w:t xml:space="preserve">the </w:t>
      </w:r>
      <w:r w:rsidRPr="0062668C">
        <w:rPr>
          <w:sz w:val="22"/>
          <w:szCs w:val="22"/>
        </w:rPr>
        <w:t>GABA</w:t>
      </w:r>
      <w:r w:rsidR="007F5AA5" w:rsidRPr="0062668C">
        <w:rPr>
          <w:sz w:val="22"/>
          <w:szCs w:val="22"/>
        </w:rPr>
        <w:t>-3</w:t>
      </w:r>
      <w:r w:rsidRPr="0062668C">
        <w:rPr>
          <w:sz w:val="22"/>
          <w:szCs w:val="22"/>
        </w:rPr>
        <w:t xml:space="preserve"> inhibitory neuron subcluster</w:t>
      </w:r>
      <w:r w:rsidR="007F5AA5" w:rsidRPr="0062668C">
        <w:rPr>
          <w:sz w:val="22"/>
          <w:szCs w:val="22"/>
        </w:rPr>
        <w:t xml:space="preserve"> were </w:t>
      </w:r>
      <w:r w:rsidR="007F42D3">
        <w:rPr>
          <w:sz w:val="22"/>
          <w:szCs w:val="22"/>
        </w:rPr>
        <w:t xml:space="preserve">not taken forward for </w:t>
      </w:r>
      <w:proofErr w:type="spellStart"/>
      <w:r w:rsidR="007F42D3">
        <w:rPr>
          <w:sz w:val="22"/>
          <w:szCs w:val="22"/>
        </w:rPr>
        <w:t>eQTL</w:t>
      </w:r>
      <w:proofErr w:type="spellEnd"/>
      <w:r w:rsidR="007F42D3">
        <w:rPr>
          <w:sz w:val="22"/>
          <w:szCs w:val="22"/>
        </w:rPr>
        <w:t xml:space="preserve"> mapping </w:t>
      </w:r>
      <w:r w:rsidR="006D410E">
        <w:rPr>
          <w:sz w:val="22"/>
          <w:szCs w:val="22"/>
        </w:rPr>
        <w:t>as they were not adequately represented across samples.</w:t>
      </w:r>
    </w:p>
    <w:p w14:paraId="5D3BBDB2" w14:textId="77777777" w:rsidR="00545B1A" w:rsidRDefault="00545B1A" w:rsidP="00BA5763">
      <w:pPr>
        <w:rPr>
          <w:color w:val="000000" w:themeColor="text1"/>
          <w:sz w:val="20"/>
          <w:szCs w:val="20"/>
          <w:u w:val="single"/>
        </w:rPr>
      </w:pPr>
    </w:p>
    <w:p w14:paraId="5C63BA20" w14:textId="7F00D015" w:rsidR="00BA5763" w:rsidRPr="00545B1A" w:rsidRDefault="00BA5763" w:rsidP="00BA5763">
      <w:pPr>
        <w:rPr>
          <w:color w:val="000000" w:themeColor="text1"/>
          <w:sz w:val="20"/>
          <w:szCs w:val="20"/>
          <w:u w:val="single"/>
        </w:rPr>
      </w:pPr>
      <w:r w:rsidRPr="00545B1A">
        <w:rPr>
          <w:color w:val="000000" w:themeColor="text1"/>
          <w:sz w:val="20"/>
          <w:szCs w:val="20"/>
          <w:u w:val="single"/>
        </w:rPr>
        <w:t>Reference</w:t>
      </w:r>
    </w:p>
    <w:p w14:paraId="78E847F2" w14:textId="77777777" w:rsidR="00BA5763" w:rsidRPr="00545B1A" w:rsidRDefault="00BA5763" w:rsidP="00BA5763">
      <w:pPr>
        <w:pStyle w:val="ListParagraph"/>
        <w:numPr>
          <w:ilvl w:val="0"/>
          <w:numId w:val="1"/>
        </w:numPr>
        <w:rPr>
          <w:rFonts w:cs="Segoe UI"/>
          <w:color w:val="212121"/>
          <w:sz w:val="20"/>
          <w:szCs w:val="20"/>
          <w:shd w:val="clear" w:color="auto" w:fill="FFFFFF"/>
        </w:rPr>
      </w:pPr>
      <w:r w:rsidRPr="00545B1A">
        <w:rPr>
          <w:rFonts w:cs="Segoe UI"/>
          <w:color w:val="212121"/>
          <w:sz w:val="20"/>
          <w:szCs w:val="20"/>
          <w:shd w:val="clear" w:color="auto" w:fill="FFFFFF"/>
        </w:rPr>
        <w:t>Wolf, F. A., Angerer, P., &amp; Theis, F. J. (2018). SCANPY: large-scale single-cell gene expression data analysis.</w:t>
      </w:r>
      <w:r w:rsidRPr="00545B1A">
        <w:rPr>
          <w:rStyle w:val="apple-converted-space"/>
          <w:rFonts w:cs="Segoe UI"/>
          <w:color w:val="212121"/>
          <w:sz w:val="20"/>
          <w:szCs w:val="20"/>
          <w:shd w:val="clear" w:color="auto" w:fill="FFFFFF"/>
        </w:rPr>
        <w:t> </w:t>
      </w:r>
      <w:r w:rsidRPr="00545B1A">
        <w:rPr>
          <w:rFonts w:cs="Segoe UI"/>
          <w:i/>
          <w:iCs/>
          <w:color w:val="212121"/>
          <w:sz w:val="20"/>
          <w:szCs w:val="20"/>
        </w:rPr>
        <w:t>Genome biology</w:t>
      </w:r>
      <w:r w:rsidRPr="00545B1A">
        <w:rPr>
          <w:rFonts w:cs="Segoe UI"/>
          <w:color w:val="212121"/>
          <w:sz w:val="20"/>
          <w:szCs w:val="20"/>
          <w:shd w:val="clear" w:color="auto" w:fill="FFFFFF"/>
        </w:rPr>
        <w:t>,</w:t>
      </w:r>
      <w:r w:rsidRPr="00545B1A">
        <w:rPr>
          <w:rStyle w:val="apple-converted-space"/>
          <w:rFonts w:cs="Segoe UI"/>
          <w:color w:val="212121"/>
          <w:sz w:val="20"/>
          <w:szCs w:val="20"/>
          <w:shd w:val="clear" w:color="auto" w:fill="FFFFFF"/>
        </w:rPr>
        <w:t> </w:t>
      </w:r>
      <w:r w:rsidRPr="00545B1A">
        <w:rPr>
          <w:rFonts w:cs="Segoe UI"/>
          <w:i/>
          <w:iCs/>
          <w:color w:val="212121"/>
          <w:sz w:val="20"/>
          <w:szCs w:val="20"/>
        </w:rPr>
        <w:t>19</w:t>
      </w:r>
      <w:r w:rsidRPr="00545B1A">
        <w:rPr>
          <w:rFonts w:cs="Segoe UI"/>
          <w:color w:val="212121"/>
          <w:sz w:val="20"/>
          <w:szCs w:val="20"/>
          <w:shd w:val="clear" w:color="auto" w:fill="FFFFFF"/>
        </w:rPr>
        <w:t xml:space="preserve">(1), 15. </w:t>
      </w:r>
    </w:p>
    <w:p w14:paraId="03D34DFE" w14:textId="77777777" w:rsidR="00BA5763" w:rsidRDefault="00BA5763">
      <w:pPr>
        <w:rPr>
          <w:b/>
          <w:bCs/>
        </w:rPr>
      </w:pPr>
    </w:p>
    <w:p w14:paraId="3B912333" w14:textId="69AE6C24" w:rsidR="00D27539" w:rsidRDefault="008119F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3778E9F" wp14:editId="15279F34">
            <wp:extent cx="5727700" cy="2863850"/>
            <wp:effectExtent l="0" t="0" r="0" b="6350"/>
            <wp:docPr id="379296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9639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9BFF" w14:textId="3A210D95" w:rsidR="009F3EC8" w:rsidRPr="00820718" w:rsidRDefault="009F3EC8" w:rsidP="008119F8">
      <w:pPr>
        <w:rPr>
          <w:sz w:val="22"/>
          <w:szCs w:val="22"/>
        </w:rPr>
      </w:pPr>
      <w:r w:rsidRPr="00820718">
        <w:rPr>
          <w:b/>
          <w:bCs/>
          <w:sz w:val="22"/>
          <w:szCs w:val="22"/>
        </w:rPr>
        <w:t>Supplementary Figure 2</w:t>
      </w:r>
      <w:r w:rsidR="00A21814">
        <w:rPr>
          <w:b/>
          <w:bCs/>
          <w:sz w:val="22"/>
          <w:szCs w:val="22"/>
        </w:rPr>
        <w:t>.</w:t>
      </w:r>
      <w:r w:rsidRPr="00820718">
        <w:rPr>
          <w:b/>
          <w:bCs/>
          <w:sz w:val="22"/>
          <w:szCs w:val="22"/>
        </w:rPr>
        <w:t xml:space="preserve"> Optimization of gene expression principal components (PCs) for </w:t>
      </w:r>
      <w:proofErr w:type="spellStart"/>
      <w:r w:rsidRPr="00820718">
        <w:rPr>
          <w:b/>
          <w:bCs/>
          <w:sz w:val="22"/>
          <w:szCs w:val="22"/>
        </w:rPr>
        <w:t>eQTL</w:t>
      </w:r>
      <w:proofErr w:type="spellEnd"/>
      <w:r w:rsidRPr="00820718">
        <w:rPr>
          <w:b/>
          <w:bCs/>
          <w:sz w:val="22"/>
          <w:szCs w:val="22"/>
        </w:rPr>
        <w:t xml:space="preserve"> discovery.</w:t>
      </w:r>
      <w:r w:rsidR="008119F8" w:rsidRPr="00820718">
        <w:rPr>
          <w:sz w:val="22"/>
          <w:szCs w:val="22"/>
        </w:rPr>
        <w:t xml:space="preserve"> A) Number of </w:t>
      </w:r>
      <w:proofErr w:type="spellStart"/>
      <w:r w:rsidR="008119F8" w:rsidRPr="00820718">
        <w:rPr>
          <w:sz w:val="22"/>
          <w:szCs w:val="22"/>
        </w:rPr>
        <w:t>eGenes</w:t>
      </w:r>
      <w:proofErr w:type="spellEnd"/>
      <w:r w:rsidR="008119F8" w:rsidRPr="00820718">
        <w:rPr>
          <w:sz w:val="22"/>
          <w:szCs w:val="22"/>
        </w:rPr>
        <w:t xml:space="preserve"> (FDR &lt; 0.05) identified in broad </w:t>
      </w:r>
      <w:r w:rsidR="00CD0823">
        <w:rPr>
          <w:sz w:val="22"/>
          <w:szCs w:val="22"/>
        </w:rPr>
        <w:t>‘</w:t>
      </w:r>
      <w:r w:rsidR="008119F8" w:rsidRPr="00820718">
        <w:rPr>
          <w:sz w:val="22"/>
          <w:szCs w:val="22"/>
        </w:rPr>
        <w:t>level</w:t>
      </w:r>
      <w:r w:rsidR="00CD0823">
        <w:rPr>
          <w:sz w:val="22"/>
          <w:szCs w:val="22"/>
        </w:rPr>
        <w:t xml:space="preserve"> </w:t>
      </w:r>
      <w:r w:rsidR="008119F8" w:rsidRPr="00820718">
        <w:rPr>
          <w:sz w:val="22"/>
          <w:szCs w:val="22"/>
        </w:rPr>
        <w:t>1</w:t>
      </w:r>
      <w:r w:rsidR="00CD0823">
        <w:rPr>
          <w:sz w:val="22"/>
          <w:szCs w:val="22"/>
        </w:rPr>
        <w:t>’</w:t>
      </w:r>
      <w:r w:rsidR="008119F8" w:rsidRPr="00820718">
        <w:rPr>
          <w:sz w:val="22"/>
          <w:szCs w:val="22"/>
        </w:rPr>
        <w:t xml:space="preserve"> cell populations across 10–50 expression PCs. B) </w:t>
      </w:r>
      <w:r w:rsidR="00637ADD" w:rsidRPr="00820718">
        <w:rPr>
          <w:sz w:val="22"/>
          <w:szCs w:val="22"/>
        </w:rPr>
        <w:t xml:space="preserve">Number of </w:t>
      </w:r>
      <w:proofErr w:type="spellStart"/>
      <w:r w:rsidR="00637ADD" w:rsidRPr="00820718">
        <w:rPr>
          <w:sz w:val="22"/>
          <w:szCs w:val="22"/>
        </w:rPr>
        <w:t>eGenes</w:t>
      </w:r>
      <w:proofErr w:type="spellEnd"/>
      <w:r w:rsidR="00637ADD" w:rsidRPr="00820718">
        <w:rPr>
          <w:sz w:val="22"/>
          <w:szCs w:val="22"/>
        </w:rPr>
        <w:t xml:space="preserve"> (FDR &lt; 0.05) </w:t>
      </w:r>
      <w:r w:rsidR="008119F8" w:rsidRPr="00820718">
        <w:rPr>
          <w:sz w:val="22"/>
          <w:szCs w:val="22"/>
        </w:rPr>
        <w:t xml:space="preserve">in </w:t>
      </w:r>
      <w:r w:rsidR="00637ADD">
        <w:rPr>
          <w:sz w:val="22"/>
          <w:szCs w:val="22"/>
        </w:rPr>
        <w:t xml:space="preserve">‘level 2’ </w:t>
      </w:r>
      <w:r w:rsidR="008119F8" w:rsidRPr="00820718">
        <w:rPr>
          <w:sz w:val="22"/>
          <w:szCs w:val="22"/>
        </w:rPr>
        <w:t>subpopulations of GABA, Glu-DL, Glu-UL, and NPC across</w:t>
      </w:r>
      <w:r w:rsidR="00637ADD">
        <w:rPr>
          <w:sz w:val="22"/>
          <w:szCs w:val="22"/>
        </w:rPr>
        <w:t xml:space="preserve"> </w:t>
      </w:r>
      <w:r w:rsidR="00637ADD" w:rsidRPr="00820718">
        <w:rPr>
          <w:sz w:val="22"/>
          <w:szCs w:val="22"/>
        </w:rPr>
        <w:t>10–50 expression PCs.</w:t>
      </w:r>
      <w:r w:rsidR="008119F8" w:rsidRPr="00820718">
        <w:rPr>
          <w:sz w:val="22"/>
          <w:szCs w:val="22"/>
        </w:rPr>
        <w:t xml:space="preserve"> The optimal number of expression PCs per cell population (marked by peak </w:t>
      </w:r>
      <w:proofErr w:type="spellStart"/>
      <w:r w:rsidR="008119F8" w:rsidRPr="00820718">
        <w:rPr>
          <w:sz w:val="22"/>
          <w:szCs w:val="22"/>
        </w:rPr>
        <w:t>eGene</w:t>
      </w:r>
      <w:proofErr w:type="spellEnd"/>
      <w:r w:rsidR="008119F8" w:rsidRPr="00820718">
        <w:rPr>
          <w:sz w:val="22"/>
          <w:szCs w:val="22"/>
        </w:rPr>
        <w:t xml:space="preserve"> discovery) was selected for downstream cis-</w:t>
      </w:r>
      <w:proofErr w:type="spellStart"/>
      <w:r w:rsidR="008119F8" w:rsidRPr="00820718">
        <w:rPr>
          <w:sz w:val="22"/>
          <w:szCs w:val="22"/>
        </w:rPr>
        <w:t>eQTL</w:t>
      </w:r>
      <w:proofErr w:type="spellEnd"/>
      <w:r w:rsidR="008119F8" w:rsidRPr="00820718">
        <w:rPr>
          <w:sz w:val="22"/>
          <w:szCs w:val="22"/>
        </w:rPr>
        <w:t xml:space="preserve"> analyses.</w:t>
      </w:r>
      <w:r w:rsidR="00CB5C36" w:rsidRPr="00820718">
        <w:rPr>
          <w:sz w:val="22"/>
          <w:szCs w:val="22"/>
        </w:rPr>
        <w:t xml:space="preserve"> </w:t>
      </w:r>
      <w:r w:rsidR="00DD42F2" w:rsidRPr="00820718">
        <w:rPr>
          <w:color w:val="000000"/>
          <w:sz w:val="22"/>
          <w:szCs w:val="22"/>
        </w:rPr>
        <w:t xml:space="preserve">Glu-UL = upper layer glutamatergic neurons; Glu-DL = deep layer glutamatergic neurons; NPC = neural progenitor cells; GABA = GABAergic neurons; Endo-Peri = endothelial cells / pericytes; OPC = oligodendrocyte precursor cells; MG = microglia. </w:t>
      </w:r>
    </w:p>
    <w:p w14:paraId="07D32836" w14:textId="77777777" w:rsidR="009F3EC8" w:rsidRDefault="009F3EC8">
      <w:pPr>
        <w:rPr>
          <w:b/>
          <w:bCs/>
        </w:rPr>
      </w:pPr>
    </w:p>
    <w:p w14:paraId="6C262DF4" w14:textId="77777777" w:rsidR="009F3EC8" w:rsidRDefault="009F3EC8">
      <w:pPr>
        <w:rPr>
          <w:b/>
          <w:bCs/>
        </w:rPr>
      </w:pPr>
    </w:p>
    <w:p w14:paraId="2F1699A8" w14:textId="72200C44" w:rsidR="00D27539" w:rsidRDefault="00D27539">
      <w:r>
        <w:rPr>
          <w:noProof/>
        </w:rPr>
        <w:lastRenderedPageBreak/>
        <w:drawing>
          <wp:inline distT="0" distB="0" distL="0" distR="0" wp14:anchorId="52838E67" wp14:editId="04C09CB8">
            <wp:extent cx="4572000" cy="4572000"/>
            <wp:effectExtent l="0" t="0" r="0" b="0"/>
            <wp:docPr id="1502563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63987" name="Picture 150256398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8D3B0" w14:textId="16064B71" w:rsidR="00D27539" w:rsidRDefault="00D27539" w:rsidP="00D27539">
      <w:pPr>
        <w:rPr>
          <w:color w:val="000000" w:themeColor="text1"/>
          <w:sz w:val="22"/>
          <w:szCs w:val="22"/>
        </w:rPr>
      </w:pPr>
      <w:r w:rsidRPr="00D27539">
        <w:rPr>
          <w:b/>
          <w:bCs/>
          <w:color w:val="000000" w:themeColor="text1"/>
          <w:sz w:val="22"/>
          <w:szCs w:val="22"/>
        </w:rPr>
        <w:t>Supplementary Figure 3</w:t>
      </w:r>
      <w:r w:rsidR="00A21814">
        <w:rPr>
          <w:b/>
          <w:bCs/>
          <w:color w:val="000000" w:themeColor="text1"/>
          <w:sz w:val="22"/>
          <w:szCs w:val="22"/>
        </w:rPr>
        <w:t>.</w:t>
      </w:r>
      <w:r w:rsidRPr="00D27539">
        <w:rPr>
          <w:b/>
          <w:bCs/>
          <w:color w:val="000000" w:themeColor="text1"/>
          <w:sz w:val="22"/>
          <w:szCs w:val="22"/>
        </w:rPr>
        <w:t xml:space="preserve"> Scree plot of Principal Component Analysis (PCA) for genotype data. </w:t>
      </w:r>
      <w:r>
        <w:rPr>
          <w:color w:val="000000" w:themeColor="text1"/>
          <w:sz w:val="22"/>
          <w:szCs w:val="22"/>
        </w:rPr>
        <w:t>P</w:t>
      </w:r>
      <w:r w:rsidRPr="00D27539">
        <w:rPr>
          <w:color w:val="000000" w:themeColor="text1"/>
          <w:sz w:val="22"/>
          <w:szCs w:val="22"/>
        </w:rPr>
        <w:t xml:space="preserve">ercentage of total </w:t>
      </w:r>
      <w:r>
        <w:rPr>
          <w:color w:val="000000" w:themeColor="text1"/>
          <w:sz w:val="22"/>
          <w:szCs w:val="22"/>
        </w:rPr>
        <w:t xml:space="preserve">genetic </w:t>
      </w:r>
      <w:r w:rsidRPr="00D27539">
        <w:rPr>
          <w:color w:val="000000" w:themeColor="text1"/>
          <w:sz w:val="22"/>
          <w:szCs w:val="22"/>
        </w:rPr>
        <w:t xml:space="preserve">variance explained by the first ten principal components (PCs) derived from linkage disequilibrium (LD) pruned SNPs. </w:t>
      </w:r>
      <w:r>
        <w:rPr>
          <w:color w:val="000000" w:themeColor="text1"/>
          <w:sz w:val="22"/>
          <w:szCs w:val="22"/>
        </w:rPr>
        <w:t>The</w:t>
      </w:r>
      <w:r w:rsidRPr="00D27539">
        <w:rPr>
          <w:color w:val="000000" w:themeColor="text1"/>
          <w:sz w:val="22"/>
          <w:szCs w:val="22"/>
        </w:rPr>
        <w:t xml:space="preserve"> first four PCs were identified as capturing </w:t>
      </w:r>
      <w:proofErr w:type="gramStart"/>
      <w:r w:rsidRPr="00D27539">
        <w:rPr>
          <w:color w:val="000000" w:themeColor="text1"/>
          <w:sz w:val="22"/>
          <w:szCs w:val="22"/>
        </w:rPr>
        <w:t>the majority of</w:t>
      </w:r>
      <w:proofErr w:type="gramEnd"/>
      <w:r w:rsidRPr="00D27539">
        <w:rPr>
          <w:color w:val="000000" w:themeColor="text1"/>
          <w:sz w:val="22"/>
          <w:szCs w:val="22"/>
        </w:rPr>
        <w:t xml:space="preserve"> the genetic variance, after which the eigenvalues plateau.</w:t>
      </w:r>
    </w:p>
    <w:p w14:paraId="7A4BB130" w14:textId="77777777" w:rsidR="0019237E" w:rsidRDefault="0019237E" w:rsidP="00D27539">
      <w:pPr>
        <w:rPr>
          <w:color w:val="000000" w:themeColor="text1"/>
          <w:sz w:val="22"/>
          <w:szCs w:val="22"/>
        </w:rPr>
      </w:pPr>
    </w:p>
    <w:p w14:paraId="0F27F6C1" w14:textId="77777777" w:rsidR="0019237E" w:rsidRDefault="0019237E" w:rsidP="00D27539">
      <w:pPr>
        <w:rPr>
          <w:color w:val="000000" w:themeColor="text1"/>
          <w:sz w:val="22"/>
          <w:szCs w:val="22"/>
        </w:rPr>
      </w:pPr>
    </w:p>
    <w:p w14:paraId="17E2FB24" w14:textId="77777777" w:rsidR="0019237E" w:rsidRDefault="0019237E" w:rsidP="00D27539">
      <w:pPr>
        <w:rPr>
          <w:color w:val="000000" w:themeColor="text1"/>
          <w:sz w:val="22"/>
          <w:szCs w:val="22"/>
        </w:rPr>
      </w:pPr>
    </w:p>
    <w:p w14:paraId="3D9F1828" w14:textId="77777777" w:rsidR="0019237E" w:rsidRDefault="0019237E" w:rsidP="00D27539">
      <w:pPr>
        <w:rPr>
          <w:color w:val="000000" w:themeColor="text1"/>
          <w:sz w:val="22"/>
          <w:szCs w:val="22"/>
        </w:rPr>
      </w:pPr>
    </w:p>
    <w:p w14:paraId="36091146" w14:textId="77777777" w:rsidR="0019237E" w:rsidRDefault="0019237E" w:rsidP="00D27539">
      <w:pPr>
        <w:rPr>
          <w:color w:val="000000" w:themeColor="text1"/>
          <w:sz w:val="22"/>
          <w:szCs w:val="22"/>
        </w:rPr>
      </w:pPr>
    </w:p>
    <w:p w14:paraId="5C8C115D" w14:textId="77777777" w:rsidR="0019237E" w:rsidRDefault="0019237E" w:rsidP="00D27539"/>
    <w:sectPr w:rsidR="0019237E" w:rsidSect="00863BE1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3F69B9"/>
    <w:multiLevelType w:val="hybridMultilevel"/>
    <w:tmpl w:val="29C4C5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5200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539"/>
    <w:rsid w:val="0006332C"/>
    <w:rsid w:val="00155E7D"/>
    <w:rsid w:val="0019237E"/>
    <w:rsid w:val="002F4CC6"/>
    <w:rsid w:val="002F51A1"/>
    <w:rsid w:val="003311DA"/>
    <w:rsid w:val="003C39A9"/>
    <w:rsid w:val="00545B1A"/>
    <w:rsid w:val="00554548"/>
    <w:rsid w:val="00573D6B"/>
    <w:rsid w:val="005835B1"/>
    <w:rsid w:val="005F0074"/>
    <w:rsid w:val="0062668C"/>
    <w:rsid w:val="00637ADD"/>
    <w:rsid w:val="00685742"/>
    <w:rsid w:val="006D410E"/>
    <w:rsid w:val="0071757F"/>
    <w:rsid w:val="00774E18"/>
    <w:rsid w:val="00787351"/>
    <w:rsid w:val="007F42D3"/>
    <w:rsid w:val="007F5AA5"/>
    <w:rsid w:val="008119F8"/>
    <w:rsid w:val="00820718"/>
    <w:rsid w:val="00824E35"/>
    <w:rsid w:val="00863BE1"/>
    <w:rsid w:val="00866B59"/>
    <w:rsid w:val="0088552B"/>
    <w:rsid w:val="00932EED"/>
    <w:rsid w:val="00933B2D"/>
    <w:rsid w:val="00994736"/>
    <w:rsid w:val="009F3EC8"/>
    <w:rsid w:val="00A21814"/>
    <w:rsid w:val="00B21B44"/>
    <w:rsid w:val="00BA5763"/>
    <w:rsid w:val="00BE683D"/>
    <w:rsid w:val="00CB5C36"/>
    <w:rsid w:val="00CD0823"/>
    <w:rsid w:val="00D27539"/>
    <w:rsid w:val="00DD1928"/>
    <w:rsid w:val="00DD42F2"/>
    <w:rsid w:val="00E02531"/>
    <w:rsid w:val="00E31954"/>
    <w:rsid w:val="00F45FE0"/>
    <w:rsid w:val="00F9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CDCCC8"/>
  <w14:defaultImageDpi w14:val="32767"/>
  <w15:chartTrackingRefBased/>
  <w15:docId w15:val="{25C9F43B-0F0F-0742-AFE2-7B9010FC1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27539"/>
    <w:pPr>
      <w:spacing w:after="160" w:line="278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itation-91">
    <w:name w:val="citation-91"/>
    <w:basedOn w:val="DefaultParagraphFont"/>
    <w:rsid w:val="00DD42F2"/>
  </w:style>
  <w:style w:type="character" w:customStyle="1" w:styleId="apple-converted-space">
    <w:name w:val="apple-converted-space"/>
    <w:basedOn w:val="DefaultParagraphFont"/>
    <w:rsid w:val="00DD42F2"/>
  </w:style>
  <w:style w:type="character" w:customStyle="1" w:styleId="citation-90">
    <w:name w:val="citation-90"/>
    <w:basedOn w:val="DefaultParagraphFont"/>
    <w:rsid w:val="00DD42F2"/>
  </w:style>
  <w:style w:type="character" w:customStyle="1" w:styleId="citation-89">
    <w:name w:val="citation-89"/>
    <w:basedOn w:val="DefaultParagraphFont"/>
    <w:rsid w:val="00DD42F2"/>
  </w:style>
  <w:style w:type="character" w:customStyle="1" w:styleId="citation-88">
    <w:name w:val="citation-88"/>
    <w:basedOn w:val="DefaultParagraphFont"/>
    <w:rsid w:val="00DD42F2"/>
  </w:style>
  <w:style w:type="paragraph" w:styleId="ListParagraph">
    <w:name w:val="List Paragraph"/>
    <w:basedOn w:val="Normal"/>
    <w:uiPriority w:val="34"/>
    <w:qFormat/>
    <w:rsid w:val="001923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23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310</Words>
  <Characters>1818</Characters>
  <Application>Microsoft Office Word</Application>
  <DocSecurity>0</DocSecurity>
  <Lines>28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Cameron</dc:creator>
  <cp:keywords/>
  <dc:description/>
  <cp:lastModifiedBy>Nicholas Bray</cp:lastModifiedBy>
  <cp:revision>24</cp:revision>
  <dcterms:created xsi:type="dcterms:W3CDTF">2026-02-28T16:09:00Z</dcterms:created>
  <dcterms:modified xsi:type="dcterms:W3CDTF">2026-02-28T16:24:00Z</dcterms:modified>
</cp:coreProperties>
</file>