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FB100F" w14:textId="77777777" w:rsidR="00AE37C2" w:rsidRDefault="00AE37C2" w:rsidP="00AE37C2">
      <w:pPr>
        <w:spacing w:line="360" w:lineRule="auto"/>
        <w:rPr>
          <w:b/>
          <w:bCs/>
          <w:sz w:val="24"/>
        </w:rPr>
      </w:pPr>
      <w:r>
        <w:rPr>
          <w:b/>
          <w:bCs/>
          <w:noProof/>
          <w:sz w:val="24"/>
        </w:rPr>
        <w:drawing>
          <wp:anchor distT="0" distB="0" distL="114300" distR="114300" simplePos="0" relativeHeight="251659264" behindDoc="0" locked="0" layoutInCell="1" allowOverlap="1" wp14:anchorId="7EE9F5E7" wp14:editId="708BAB8E">
            <wp:simplePos x="0" y="0"/>
            <wp:positionH relativeFrom="margin">
              <wp:align>left</wp:align>
            </wp:positionH>
            <wp:positionV relativeFrom="paragraph">
              <wp:posOffset>396240</wp:posOffset>
            </wp:positionV>
            <wp:extent cx="4330065" cy="2993390"/>
            <wp:effectExtent l="0" t="0" r="0" b="0"/>
            <wp:wrapTopAndBottom/>
            <wp:docPr id="19780275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416" cy="299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bCs/>
          <w:sz w:val="24"/>
        </w:rPr>
        <w:t>Supplemental Figures</w:t>
      </w:r>
    </w:p>
    <w:p w14:paraId="0AA3CD7E" w14:textId="77777777" w:rsidR="00AE37C2" w:rsidRDefault="00AE37C2" w:rsidP="00AE37C2">
      <w:pPr>
        <w:spacing w:line="360" w:lineRule="auto"/>
        <w:rPr>
          <w:b/>
          <w:bCs/>
          <w:sz w:val="24"/>
        </w:rPr>
      </w:pPr>
      <w:r w:rsidRPr="00447DB0">
        <w:rPr>
          <w:b/>
          <w:bCs/>
          <w:sz w:val="24"/>
        </w:rPr>
        <w:t>Fig</w:t>
      </w:r>
      <w:r>
        <w:rPr>
          <w:rFonts w:hint="eastAsia"/>
          <w:b/>
          <w:bCs/>
          <w:sz w:val="24"/>
        </w:rPr>
        <w:t>.</w:t>
      </w:r>
      <w:r w:rsidRPr="00447DB0">
        <w:rPr>
          <w:b/>
          <w:bCs/>
          <w:sz w:val="24"/>
        </w:rPr>
        <w:t xml:space="preserve"> S1</w:t>
      </w:r>
      <w:r>
        <w:rPr>
          <w:rFonts w:hint="eastAsia"/>
          <w:b/>
          <w:bCs/>
          <w:sz w:val="24"/>
        </w:rPr>
        <w:t xml:space="preserve"> O</w:t>
      </w:r>
      <w:r w:rsidRPr="00447DB0">
        <w:rPr>
          <w:b/>
          <w:bCs/>
          <w:sz w:val="24"/>
        </w:rPr>
        <w:t xml:space="preserve">ptimal number of clusters for </w:t>
      </w:r>
      <w:r w:rsidRPr="00447DB0">
        <w:rPr>
          <w:b/>
          <w:bCs/>
          <w:i/>
          <w:iCs/>
          <w:sz w:val="24"/>
        </w:rPr>
        <w:t>k</w:t>
      </w:r>
      <w:r w:rsidRPr="00447DB0">
        <w:rPr>
          <w:b/>
          <w:bCs/>
          <w:sz w:val="24"/>
        </w:rPr>
        <w:t>-means clustering using the Elbow method.</w:t>
      </w:r>
    </w:p>
    <w:p w14:paraId="490F1D89" w14:textId="77777777" w:rsidR="00AE37C2" w:rsidRDefault="00AE37C2" w:rsidP="00AE37C2">
      <w:pPr>
        <w:spacing w:line="360" w:lineRule="auto"/>
      </w:pPr>
      <w:r w:rsidRPr="00447DB0">
        <w:t xml:space="preserve">The plot </w:t>
      </w:r>
      <w:r>
        <w:rPr>
          <w:rFonts w:hint="eastAsia"/>
        </w:rPr>
        <w:t>shows</w:t>
      </w:r>
      <w:r w:rsidRPr="00447DB0">
        <w:t xml:space="preserve"> the total within-cluster sum of squares (WSS) as a function of the number of clusters (</w:t>
      </w:r>
      <w:r w:rsidRPr="00447DB0">
        <w:rPr>
          <w:i/>
          <w:iCs/>
        </w:rPr>
        <w:t>k</w:t>
      </w:r>
      <w:r w:rsidRPr="00447DB0">
        <w:t>).</w:t>
      </w:r>
    </w:p>
    <w:p w14:paraId="63ECE48A" w14:textId="77777777" w:rsidR="00AE37C2" w:rsidRDefault="00AE37C2" w:rsidP="00AE37C2">
      <w:pPr>
        <w:spacing w:line="360" w:lineRule="auto"/>
      </w:pPr>
    </w:p>
    <w:p w14:paraId="12085ED2" w14:textId="77777777" w:rsidR="00AE37C2" w:rsidRDefault="00AE37C2" w:rsidP="00AE37C2">
      <w:pPr>
        <w:spacing w:line="360" w:lineRule="auto"/>
      </w:pPr>
    </w:p>
    <w:p w14:paraId="662A6C36" w14:textId="77777777" w:rsidR="00AE37C2" w:rsidRDefault="00AE37C2" w:rsidP="00AE37C2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941648B" wp14:editId="1CBAE903">
            <wp:extent cx="6264000" cy="3416814"/>
            <wp:effectExtent l="0" t="0" r="0" b="0"/>
            <wp:docPr id="1902131879" name="図 2" descr="クロスワードパズル, スコアボード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131879" name="図 2" descr="クロスワードパズル, スコアボード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0" cy="341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6503A" w14:textId="77777777" w:rsidR="00AE37C2" w:rsidRPr="00E92D7E" w:rsidRDefault="00AE37C2" w:rsidP="00AE37C2">
      <w:pPr>
        <w:spacing w:line="360" w:lineRule="auto"/>
        <w:rPr>
          <w:b/>
          <w:bCs/>
          <w:sz w:val="24"/>
          <w:szCs w:val="24"/>
        </w:rPr>
      </w:pPr>
      <w:r w:rsidRPr="00E92D7E">
        <w:rPr>
          <w:b/>
          <w:bCs/>
          <w:sz w:val="24"/>
          <w:szCs w:val="24"/>
        </w:rPr>
        <w:t>Fig</w:t>
      </w:r>
      <w:r w:rsidRPr="00E92D7E">
        <w:rPr>
          <w:rFonts w:hint="eastAsia"/>
          <w:b/>
          <w:bCs/>
          <w:sz w:val="24"/>
          <w:szCs w:val="24"/>
        </w:rPr>
        <w:t>.</w:t>
      </w:r>
      <w:r w:rsidRPr="00E92D7E">
        <w:rPr>
          <w:b/>
          <w:bCs/>
          <w:sz w:val="24"/>
          <w:szCs w:val="24"/>
        </w:rPr>
        <w:t xml:space="preserve"> S2 Frequency distributions of barley quality traits.</w:t>
      </w:r>
    </w:p>
    <w:p w14:paraId="2FC0772B" w14:textId="77777777" w:rsidR="00AE37C2" w:rsidRDefault="00AE37C2" w:rsidP="00AE37C2">
      <w:pPr>
        <w:spacing w:line="360" w:lineRule="auto"/>
      </w:pPr>
      <w:r w:rsidRPr="00E92D7E">
        <w:t>The x-axis represents the measured value of each trait, and the y-axis indicates the sample count (frequency)</w:t>
      </w:r>
      <w:r>
        <w:rPr>
          <w:rFonts w:hint="eastAsia"/>
        </w:rPr>
        <w:t>.</w:t>
      </w:r>
    </w:p>
    <w:p w14:paraId="05A88C02" w14:textId="77777777" w:rsidR="00AE37C2" w:rsidRDefault="00AE37C2" w:rsidP="00AE37C2">
      <w:pPr>
        <w:spacing w:line="360" w:lineRule="auto"/>
      </w:pPr>
    </w:p>
    <w:p w14:paraId="2E0FE4F8" w14:textId="77777777" w:rsidR="00AE37C2" w:rsidRDefault="00AE37C2" w:rsidP="00AE37C2">
      <w:pPr>
        <w:spacing w:line="360" w:lineRule="auto"/>
      </w:pPr>
    </w:p>
    <w:p w14:paraId="32CFD96F" w14:textId="77777777" w:rsidR="00AE37C2" w:rsidRDefault="00AE37C2" w:rsidP="00AE37C2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4989DAA0" wp14:editId="4895115A">
            <wp:extent cx="6228000" cy="3354085"/>
            <wp:effectExtent l="0" t="0" r="1905" b="0"/>
            <wp:docPr id="1346793244" name="図 3" descr="グラフ, 散布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793244" name="図 3" descr="グラフ, 散布図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00" cy="335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53AE8" w14:textId="77777777" w:rsidR="00AE37C2" w:rsidRPr="00E92D7E" w:rsidRDefault="00AE37C2" w:rsidP="00AE37C2">
      <w:pPr>
        <w:widowControl/>
        <w:spacing w:before="100" w:beforeAutospacing="1" w:after="100" w:afterAutospacing="1" w:line="240" w:lineRule="auto"/>
        <w:rPr>
          <w:rFonts w:ascii="ＭＳ Ｐゴシック" w:eastAsia="ＭＳ Ｐゴシック" w:hAnsi="ＭＳ Ｐゴシック" w:cs="ＭＳ Ｐゴシック"/>
          <w:kern w:val="0"/>
          <w:sz w:val="24"/>
          <w:szCs w:val="24"/>
          <w14:ligatures w14:val="none"/>
        </w:rPr>
      </w:pPr>
      <w:r w:rsidRPr="00E92D7E">
        <w:rPr>
          <w:b/>
          <w:bCs/>
          <w:sz w:val="24"/>
          <w:szCs w:val="24"/>
        </w:rPr>
        <w:t>Fig</w:t>
      </w:r>
      <w:r w:rsidRPr="00E92D7E">
        <w:rPr>
          <w:rFonts w:hint="eastAsia"/>
          <w:b/>
          <w:bCs/>
          <w:sz w:val="24"/>
          <w:szCs w:val="24"/>
        </w:rPr>
        <w:t>.</w:t>
      </w:r>
      <w:r>
        <w:rPr>
          <w:rFonts w:hint="eastAsia"/>
          <w:b/>
          <w:bCs/>
          <w:sz w:val="24"/>
          <w:szCs w:val="24"/>
        </w:rPr>
        <w:t xml:space="preserve"> S3</w:t>
      </w:r>
      <w:r w:rsidRPr="00E92D7E">
        <w:rPr>
          <w:b/>
          <w:bCs/>
          <w:sz w:val="24"/>
          <w:szCs w:val="24"/>
        </w:rPr>
        <w:t xml:space="preserve"> SHAP summary plots illustrat</w:t>
      </w:r>
      <w:r>
        <w:rPr>
          <w:rFonts w:hint="eastAsia"/>
          <w:b/>
          <w:bCs/>
          <w:sz w:val="24"/>
          <w:szCs w:val="24"/>
        </w:rPr>
        <w:t>ing</w:t>
      </w:r>
      <w:r w:rsidRPr="00E92D7E">
        <w:rPr>
          <w:b/>
          <w:bCs/>
          <w:sz w:val="24"/>
          <w:szCs w:val="24"/>
        </w:rPr>
        <w:t xml:space="preserve"> feature importance for the </w:t>
      </w:r>
      <w:proofErr w:type="spellStart"/>
      <w:r>
        <w:rPr>
          <w:rFonts w:hint="eastAsia"/>
          <w:b/>
          <w:bCs/>
          <w:sz w:val="24"/>
          <w:szCs w:val="24"/>
        </w:rPr>
        <w:t>XGBoost</w:t>
      </w:r>
      <w:proofErr w:type="spellEnd"/>
      <w:r w:rsidRPr="00E92D7E">
        <w:rPr>
          <w:b/>
          <w:bCs/>
          <w:sz w:val="24"/>
          <w:szCs w:val="24"/>
        </w:rPr>
        <w:t xml:space="preserve"> model across growth levels.</w:t>
      </w:r>
    </w:p>
    <w:p w14:paraId="1141D058" w14:textId="77777777" w:rsidR="00AE37C2" w:rsidRPr="00434A7A" w:rsidRDefault="00AE37C2" w:rsidP="00AE37C2">
      <w:pPr>
        <w:spacing w:line="360" w:lineRule="auto"/>
      </w:pPr>
      <w:r w:rsidRPr="00434A7A">
        <w:t xml:space="preserve">The panels correspond to growth levels </w:t>
      </w:r>
      <w:r>
        <w:rPr>
          <w:rFonts w:hint="eastAsia"/>
        </w:rPr>
        <w:t xml:space="preserve">of </w:t>
      </w:r>
      <w:r w:rsidRPr="00434A7A">
        <w:t xml:space="preserve">0, 1, and 2. </w:t>
      </w:r>
      <w:r>
        <w:rPr>
          <w:rFonts w:hint="eastAsia"/>
        </w:rPr>
        <w:t>The f</w:t>
      </w:r>
      <w:r w:rsidRPr="00434A7A">
        <w:t xml:space="preserve">eatures are ranked by </w:t>
      </w:r>
      <w:r>
        <w:t>their</w:t>
      </w:r>
      <w:r>
        <w:rPr>
          <w:rFonts w:hint="eastAsia"/>
        </w:rPr>
        <w:t xml:space="preserve"> </w:t>
      </w:r>
      <w:r w:rsidRPr="00434A7A">
        <w:t xml:space="preserve">importance on the y-axis. The x-axis represents the SHAP value, </w:t>
      </w:r>
      <w:r>
        <w:rPr>
          <w:rFonts w:hint="eastAsia"/>
        </w:rPr>
        <w:t xml:space="preserve">which </w:t>
      </w:r>
      <w:r w:rsidRPr="00434A7A">
        <w:t>indicat</w:t>
      </w:r>
      <w:r>
        <w:rPr>
          <w:rFonts w:hint="eastAsia"/>
        </w:rPr>
        <w:t>es</w:t>
      </w:r>
      <w:r w:rsidRPr="00434A7A">
        <w:t xml:space="preserve"> the </w:t>
      </w:r>
      <w:r>
        <w:rPr>
          <w:rFonts w:hint="eastAsia"/>
        </w:rPr>
        <w:t>effect</w:t>
      </w:r>
      <w:r w:rsidRPr="00434A7A">
        <w:t xml:space="preserve"> of each feature on the prediction probability</w:t>
      </w:r>
      <w:r>
        <w:rPr>
          <w:rFonts w:hint="eastAsia"/>
        </w:rPr>
        <w:t xml:space="preserve"> of the model</w:t>
      </w:r>
      <w:r w:rsidRPr="00434A7A">
        <w:t>. The color gradient denotes the magnitude of the feature value, where lighter colors (green/yellow) represent higher values</w:t>
      </w:r>
      <w:r>
        <w:rPr>
          <w:rFonts w:hint="eastAsia"/>
        </w:rPr>
        <w:t>,</w:t>
      </w:r>
      <w:r w:rsidRPr="00434A7A">
        <w:t xml:space="preserve"> and darker colors (purple/blue) represent lower values.</w:t>
      </w:r>
    </w:p>
    <w:p w14:paraId="24E26F66" w14:textId="77777777" w:rsidR="00AE37C2" w:rsidRDefault="00AE37C2" w:rsidP="00AE37C2">
      <w:pPr>
        <w:spacing w:line="360" w:lineRule="auto"/>
      </w:pPr>
    </w:p>
    <w:p w14:paraId="1DD87512" w14:textId="77777777" w:rsidR="00AE37C2" w:rsidRDefault="00AE37C2" w:rsidP="00AE37C2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9C792BF" wp14:editId="18557631">
            <wp:extent cx="6264000" cy="3373473"/>
            <wp:effectExtent l="0" t="0" r="3810" b="0"/>
            <wp:docPr id="69819146" name="図 5" descr="グラフ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19146" name="図 5" descr="グラフ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0" cy="337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0054A" w14:textId="77777777" w:rsidR="00AE37C2" w:rsidRPr="00E92D7E" w:rsidRDefault="00AE37C2" w:rsidP="00AE37C2">
      <w:pPr>
        <w:widowControl/>
        <w:spacing w:before="100" w:beforeAutospacing="1" w:after="100" w:afterAutospacing="1" w:line="240" w:lineRule="auto"/>
        <w:rPr>
          <w:rFonts w:ascii="ＭＳ Ｐゴシック" w:eastAsia="ＭＳ Ｐゴシック" w:hAnsi="ＭＳ Ｐゴシック" w:cs="ＭＳ Ｐゴシック"/>
          <w:kern w:val="0"/>
          <w:sz w:val="24"/>
          <w:szCs w:val="24"/>
          <w14:ligatures w14:val="none"/>
        </w:rPr>
      </w:pPr>
      <w:r w:rsidRPr="00E92D7E">
        <w:rPr>
          <w:b/>
          <w:bCs/>
          <w:sz w:val="24"/>
          <w:szCs w:val="24"/>
        </w:rPr>
        <w:t>Fig</w:t>
      </w:r>
      <w:r w:rsidRPr="00E92D7E">
        <w:rPr>
          <w:rFonts w:hint="eastAsia"/>
          <w:b/>
          <w:bCs/>
          <w:sz w:val="24"/>
          <w:szCs w:val="24"/>
        </w:rPr>
        <w:t>.</w:t>
      </w:r>
      <w:r>
        <w:rPr>
          <w:rFonts w:hint="eastAsia"/>
          <w:b/>
          <w:bCs/>
          <w:sz w:val="24"/>
          <w:szCs w:val="24"/>
        </w:rPr>
        <w:t xml:space="preserve"> S4</w:t>
      </w:r>
      <w:r w:rsidRPr="00E92D7E">
        <w:rPr>
          <w:b/>
          <w:bCs/>
          <w:sz w:val="24"/>
          <w:szCs w:val="24"/>
        </w:rPr>
        <w:t xml:space="preserve"> SHAP summary plots illustrat</w:t>
      </w:r>
      <w:r>
        <w:rPr>
          <w:rFonts w:hint="eastAsia"/>
          <w:b/>
          <w:bCs/>
          <w:sz w:val="24"/>
          <w:szCs w:val="24"/>
        </w:rPr>
        <w:t>ing</w:t>
      </w:r>
      <w:r w:rsidRPr="00E92D7E">
        <w:rPr>
          <w:b/>
          <w:bCs/>
          <w:sz w:val="24"/>
          <w:szCs w:val="24"/>
        </w:rPr>
        <w:t xml:space="preserve"> feature importance for the </w:t>
      </w:r>
      <w:r>
        <w:rPr>
          <w:rFonts w:hint="eastAsia"/>
          <w:b/>
          <w:bCs/>
          <w:sz w:val="24"/>
          <w:szCs w:val="24"/>
        </w:rPr>
        <w:t>SVM</w:t>
      </w:r>
      <w:r w:rsidRPr="00E92D7E">
        <w:rPr>
          <w:b/>
          <w:bCs/>
          <w:sz w:val="24"/>
          <w:szCs w:val="24"/>
        </w:rPr>
        <w:t xml:space="preserve"> model across growth levels.</w:t>
      </w:r>
    </w:p>
    <w:p w14:paraId="45A7A1E1" w14:textId="77777777" w:rsidR="00AE37C2" w:rsidRPr="00434A7A" w:rsidRDefault="00AE37C2" w:rsidP="00AE37C2">
      <w:pPr>
        <w:spacing w:line="360" w:lineRule="auto"/>
      </w:pPr>
      <w:r w:rsidRPr="00434A7A">
        <w:t xml:space="preserve">The panels correspond to growth levels </w:t>
      </w:r>
      <w:r>
        <w:rPr>
          <w:rFonts w:hint="eastAsia"/>
        </w:rPr>
        <w:t xml:space="preserve">of </w:t>
      </w:r>
      <w:r w:rsidRPr="00434A7A">
        <w:t xml:space="preserve">0, 1, and 2. </w:t>
      </w:r>
      <w:r>
        <w:rPr>
          <w:rFonts w:hint="eastAsia"/>
        </w:rPr>
        <w:t>The f</w:t>
      </w:r>
      <w:r w:rsidRPr="00434A7A">
        <w:t xml:space="preserve">eatures are ranked by </w:t>
      </w:r>
      <w:r>
        <w:t>their</w:t>
      </w:r>
      <w:r>
        <w:rPr>
          <w:rFonts w:hint="eastAsia"/>
        </w:rPr>
        <w:t xml:space="preserve"> </w:t>
      </w:r>
      <w:r w:rsidRPr="00434A7A">
        <w:t xml:space="preserve">importance on the y-axis. The x-axis represents the SHAP value, </w:t>
      </w:r>
      <w:r>
        <w:rPr>
          <w:rFonts w:hint="eastAsia"/>
        </w:rPr>
        <w:t xml:space="preserve">which </w:t>
      </w:r>
      <w:r w:rsidRPr="00434A7A">
        <w:t>indicat</w:t>
      </w:r>
      <w:r>
        <w:rPr>
          <w:rFonts w:hint="eastAsia"/>
        </w:rPr>
        <w:t>es</w:t>
      </w:r>
      <w:r w:rsidRPr="00434A7A">
        <w:t xml:space="preserve"> the </w:t>
      </w:r>
      <w:r>
        <w:rPr>
          <w:rFonts w:hint="eastAsia"/>
        </w:rPr>
        <w:t>effect</w:t>
      </w:r>
      <w:r w:rsidRPr="00434A7A">
        <w:t xml:space="preserve"> of each feature on the</w:t>
      </w:r>
      <w:r>
        <w:rPr>
          <w:rFonts w:hint="eastAsia"/>
        </w:rPr>
        <w:t xml:space="preserve"> </w:t>
      </w:r>
      <w:r w:rsidRPr="00434A7A">
        <w:t>prediction probability</w:t>
      </w:r>
      <w:r>
        <w:rPr>
          <w:rFonts w:hint="eastAsia"/>
        </w:rPr>
        <w:t xml:space="preserve"> of the model</w:t>
      </w:r>
      <w:r w:rsidRPr="00434A7A">
        <w:t>. The color gradient denotes the magnitude of the feature value, where lighter colors (green/yellow) represent higher values</w:t>
      </w:r>
      <w:r>
        <w:rPr>
          <w:rFonts w:hint="eastAsia"/>
        </w:rPr>
        <w:t>,</w:t>
      </w:r>
      <w:r w:rsidRPr="00434A7A">
        <w:t xml:space="preserve"> and darker colors (purple/blue) represent lower values.</w:t>
      </w:r>
    </w:p>
    <w:p w14:paraId="4AF9FED8" w14:textId="77777777" w:rsidR="00AE37C2" w:rsidRDefault="00AE37C2" w:rsidP="00AE37C2">
      <w:pPr>
        <w:spacing w:line="360" w:lineRule="auto"/>
      </w:pPr>
    </w:p>
    <w:p w14:paraId="73B27098" w14:textId="77777777" w:rsidR="00AE37C2" w:rsidRDefault="00AE37C2" w:rsidP="00AE37C2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1A3F03F" wp14:editId="29446E70">
            <wp:extent cx="6120000" cy="4012578"/>
            <wp:effectExtent l="0" t="0" r="0" b="6985"/>
            <wp:docPr id="55530751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01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6660A" w14:textId="77777777" w:rsidR="00AE37C2" w:rsidRDefault="00AE37C2" w:rsidP="00AE37C2">
      <w:pPr>
        <w:widowControl/>
        <w:spacing w:before="100" w:beforeAutospacing="1" w:after="100" w:afterAutospacing="1" w:line="240" w:lineRule="auto"/>
        <w:rPr>
          <w:b/>
          <w:bCs/>
          <w:sz w:val="24"/>
          <w:szCs w:val="24"/>
        </w:rPr>
      </w:pPr>
      <w:r w:rsidRPr="00E92D7E">
        <w:rPr>
          <w:b/>
          <w:bCs/>
          <w:sz w:val="24"/>
          <w:szCs w:val="24"/>
        </w:rPr>
        <w:t>Fig</w:t>
      </w:r>
      <w:r w:rsidRPr="00E92D7E">
        <w:rPr>
          <w:rFonts w:hint="eastAsia"/>
          <w:b/>
          <w:bCs/>
          <w:sz w:val="24"/>
          <w:szCs w:val="24"/>
        </w:rPr>
        <w:t>.</w:t>
      </w:r>
      <w:r>
        <w:rPr>
          <w:rFonts w:hint="eastAsia"/>
          <w:b/>
          <w:bCs/>
          <w:sz w:val="24"/>
          <w:szCs w:val="24"/>
        </w:rPr>
        <w:t xml:space="preserve"> S5</w:t>
      </w:r>
      <w:r w:rsidRPr="00E92D7E">
        <w:rPr>
          <w:b/>
          <w:bCs/>
          <w:sz w:val="24"/>
          <w:szCs w:val="24"/>
        </w:rPr>
        <w:t xml:space="preserve"> </w:t>
      </w:r>
      <w:r w:rsidRPr="00AE2EA6">
        <w:rPr>
          <w:b/>
          <w:bCs/>
          <w:sz w:val="24"/>
          <w:szCs w:val="24"/>
        </w:rPr>
        <w:t>Visual verification of model predictions against actual lodging areas.</w:t>
      </w:r>
    </w:p>
    <w:p w14:paraId="3FE59C00" w14:textId="77090D28" w:rsidR="00AD5E93" w:rsidRPr="00AE37C2" w:rsidRDefault="00AE37C2" w:rsidP="00AE37C2">
      <w:pPr>
        <w:widowControl/>
        <w:spacing w:before="100" w:beforeAutospacing="1" w:after="100" w:afterAutospacing="1" w:line="240" w:lineRule="auto"/>
        <w:rPr>
          <w:rFonts w:hint="eastAsia"/>
        </w:rPr>
      </w:pPr>
      <w:r w:rsidRPr="00AE2EA6">
        <w:t xml:space="preserve">The upper panel </w:t>
      </w:r>
      <w:r>
        <w:rPr>
          <w:rFonts w:hint="eastAsia"/>
        </w:rPr>
        <w:t xml:space="preserve">shows a </w:t>
      </w:r>
      <w:r w:rsidRPr="00AE2EA6">
        <w:t>true-color</w:t>
      </w:r>
      <w:r>
        <w:rPr>
          <w:rFonts w:hint="eastAsia"/>
        </w:rPr>
        <w:t>ed</w:t>
      </w:r>
      <w:r w:rsidRPr="00AE2EA6">
        <w:t xml:space="preserve"> aerial image of the experimental field acquired on April 23. </w:t>
      </w:r>
      <w:r>
        <w:rPr>
          <w:rFonts w:hint="eastAsia"/>
        </w:rPr>
        <w:t>The r</w:t>
      </w:r>
      <w:r w:rsidRPr="00AE2EA6">
        <w:t xml:space="preserve">ed frames indicate </w:t>
      </w:r>
      <w:r>
        <w:rPr>
          <w:rFonts w:hint="eastAsia"/>
        </w:rPr>
        <w:t xml:space="preserve">the </w:t>
      </w:r>
      <w:r w:rsidRPr="00AE2EA6">
        <w:t xml:space="preserve">areas where lodging caused by wet injury was visually confirmed. The lower panel shows the corresponding spatial distribution of </w:t>
      </w:r>
      <w:r>
        <w:rPr>
          <w:rFonts w:hint="eastAsia"/>
        </w:rPr>
        <w:t xml:space="preserve">the </w:t>
      </w:r>
      <w:r w:rsidRPr="00AE2EA6">
        <w:t xml:space="preserve">growth levels estimated by the </w:t>
      </w:r>
      <w:r>
        <w:rPr>
          <w:rFonts w:hint="eastAsia"/>
        </w:rPr>
        <w:t>RF</w:t>
      </w:r>
      <w:r w:rsidRPr="00AE2EA6">
        <w:t xml:space="preserve"> model.</w:t>
      </w:r>
    </w:p>
    <w:sectPr w:rsidR="00AD5E93" w:rsidRPr="00AE37C2" w:rsidSect="00AE37C2">
      <w:pgSz w:w="16838" w:h="11906" w:orient="landscape"/>
      <w:pgMar w:top="1701" w:right="1985" w:bottom="1701" w:left="1701" w:header="851" w:footer="992" w:gutter="0"/>
      <w:lnNumType w:countBy="1" w:restart="continuous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7C2"/>
    <w:rsid w:val="006317AF"/>
    <w:rsid w:val="008B0386"/>
    <w:rsid w:val="00AD5E93"/>
    <w:rsid w:val="00AE37C2"/>
    <w:rsid w:val="00CD2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CDF0320"/>
  <w15:chartTrackingRefBased/>
  <w15:docId w15:val="{168C46AE-BAC1-4073-AADB-70A824FF1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37C2"/>
    <w:pPr>
      <w:widowControl w:val="0"/>
    </w:pPr>
    <w:rPr>
      <w:rFonts w:ascii="Times New Roman" w:hAnsi="Times New Roman" w:cs="Times New Roman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AE37C2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37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37C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37C2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  <w:sz w:val="22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37C2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  <w:sz w:val="22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37C2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  <w:sz w:val="22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37C2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  <w:sz w:val="22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37C2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  <w:sz w:val="22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37C2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E37C2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E37C2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E37C2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AE37C2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E37C2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E37C2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E37C2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E37C2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E37C2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AE37C2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AE37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E37C2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AE37C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E37C2"/>
    <w:pPr>
      <w:spacing w:before="160"/>
      <w:jc w:val="center"/>
    </w:pPr>
    <w:rPr>
      <w:rFonts w:asciiTheme="minorHAnsi" w:hAnsiTheme="minorHAnsi" w:cstheme="minorBidi"/>
      <w:i/>
      <w:iCs/>
      <w:color w:val="404040" w:themeColor="text1" w:themeTint="BF"/>
      <w:sz w:val="22"/>
      <w:szCs w:val="24"/>
    </w:rPr>
  </w:style>
  <w:style w:type="character" w:customStyle="1" w:styleId="a8">
    <w:name w:val="引用文 (文字)"/>
    <w:basedOn w:val="a0"/>
    <w:link w:val="a7"/>
    <w:uiPriority w:val="29"/>
    <w:rsid w:val="00AE37C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E37C2"/>
    <w:pPr>
      <w:ind w:left="720"/>
      <w:contextualSpacing/>
    </w:pPr>
    <w:rPr>
      <w:rFonts w:asciiTheme="minorHAnsi" w:hAnsiTheme="minorHAnsi" w:cstheme="minorBidi"/>
      <w:sz w:val="22"/>
      <w:szCs w:val="24"/>
    </w:rPr>
  </w:style>
  <w:style w:type="character" w:styleId="21">
    <w:name w:val="Intense Emphasis"/>
    <w:basedOn w:val="a0"/>
    <w:uiPriority w:val="21"/>
    <w:qFormat/>
    <w:rsid w:val="00AE37C2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E37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sz w:val="22"/>
      <w:szCs w:val="24"/>
    </w:rPr>
  </w:style>
  <w:style w:type="character" w:customStyle="1" w:styleId="23">
    <w:name w:val="引用文 2 (文字)"/>
    <w:basedOn w:val="a0"/>
    <w:link w:val="22"/>
    <w:uiPriority w:val="30"/>
    <w:rsid w:val="00AE37C2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AE37C2"/>
    <w:rPr>
      <w:b/>
      <w:bCs/>
      <w:smallCaps/>
      <w:color w:val="0F4761" w:themeColor="accent1" w:themeShade="BF"/>
      <w:spacing w:val="5"/>
    </w:rPr>
  </w:style>
  <w:style w:type="character" w:styleId="aa">
    <w:name w:val="line number"/>
    <w:basedOn w:val="a0"/>
    <w:uiPriority w:val="99"/>
    <w:semiHidden/>
    <w:unhideWhenUsed/>
    <w:rsid w:val="00AE37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EEDD6B5888433343942DC2344B5D9444" ma:contentTypeVersion="9" ma:contentTypeDescription="新しいドキュメントを作成します。" ma:contentTypeScope="" ma:versionID="968d044c56667fc06f2d8ebd6afb1e78">
  <xsd:schema xmlns:xsd="http://www.w3.org/2001/XMLSchema" xmlns:xs="http://www.w3.org/2001/XMLSchema" xmlns:p="http://schemas.microsoft.com/office/2006/metadata/properties" xmlns:ns3="03b1f087-4984-48b4-a3d0-8ca37e15843a" targetNamespace="http://schemas.microsoft.com/office/2006/metadata/properties" ma:root="true" ma:fieldsID="4cee39c2c3865641cd9ccc756e01adb3" ns3:_="">
    <xsd:import namespace="03b1f087-4984-48b4-a3d0-8ca37e15843a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GenerationTime" minOccurs="0"/>
                <xsd:element ref="ns3:MediaServiceEventHashCode" minOccurs="0"/>
                <xsd:element ref="ns3:MediaServiceSystemTag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b1f087-4984-48b4-a3d0-8ca37e15843a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CEF1B2-CE1A-4414-8B7F-52A7F0BBC4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b1f087-4984-48b4-a3d0-8ca37e1584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EFEB1A-8516-428C-B880-52D82AC0DE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77847D-5285-4F92-AC1F-F3F3752A885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270</Words>
  <Characters>1542</Characters>
  <Application>Microsoft Office Word</Application>
  <DocSecurity>0</DocSecurity>
  <Lines>12</Lines>
  <Paragraphs>3</Paragraphs>
  <ScaleCrop>false</ScaleCrop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建斗 三尾</dc:creator>
  <cp:keywords/>
  <dc:description/>
  <cp:lastModifiedBy>建斗 三尾</cp:lastModifiedBy>
  <cp:revision>2</cp:revision>
  <dcterms:created xsi:type="dcterms:W3CDTF">2026-02-26T13:26:00Z</dcterms:created>
  <dcterms:modified xsi:type="dcterms:W3CDTF">2026-02-26T13:28:00Z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0x010100EEDD6B5888433343942DC2344B5D9444</vt:lpwstr>
  </property>
</Properties>
</file>