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913B0" w14:textId="77777777" w:rsidR="00122B1A" w:rsidRDefault="00C16F5F">
      <w:pPr>
        <w:spacing w:before="600" w:after="240"/>
        <w:jc w:val="center"/>
      </w:pPr>
      <w:r>
        <w:rPr>
          <w:b/>
          <w:color w:val="1E3A5F"/>
          <w:sz w:val="48"/>
        </w:rPr>
        <w:t>Extended Data</w:t>
      </w:r>
    </w:p>
    <w:p w14:paraId="06650668" w14:textId="77777777" w:rsidR="00122B1A" w:rsidRDefault="00C16F5F">
      <w:pPr>
        <w:spacing w:after="480"/>
        <w:jc w:val="center"/>
      </w:pPr>
      <w:r>
        <w:rPr>
          <w:color w:val="722F37"/>
          <w:sz w:val="32"/>
        </w:rPr>
        <w:t>Renormalization-Group Principles for Deep Neural Architectures</w:t>
      </w:r>
    </w:p>
    <w:p w14:paraId="6CB3717C" w14:textId="3E9C91CC" w:rsidR="00122B1A" w:rsidRDefault="00122B1A" w:rsidP="00D3359E">
      <w:pPr>
        <w:spacing w:after="720"/>
      </w:pPr>
    </w:p>
    <w:p w14:paraId="3B159A9B" w14:textId="77777777" w:rsidR="00122B1A" w:rsidRDefault="00122B1A">
      <w:pPr>
        <w:pBdr>
          <w:bottom w:val="single" w:sz="12" w:space="0" w:color="1E3A5F"/>
        </w:pBdr>
        <w:spacing w:after="480"/>
      </w:pPr>
    </w:p>
    <w:p w14:paraId="46D91030" w14:textId="77777777" w:rsidR="00122B1A" w:rsidRDefault="00C16F5F" w:rsidP="0008697C">
      <w:pPr>
        <w:rPr>
          <w:b/>
          <w:bCs/>
        </w:rPr>
      </w:pPr>
      <w:r w:rsidRPr="0008697C">
        <w:rPr>
          <w:b/>
          <w:bCs/>
        </w:rPr>
        <w:t>Extended Data Figures</w:t>
      </w:r>
    </w:p>
    <w:p w14:paraId="6CC5AF3D" w14:textId="155160CC" w:rsidR="00BA071A" w:rsidRPr="0008697C" w:rsidRDefault="001B368F" w:rsidP="0008697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DFB1FD0" wp14:editId="6B00A083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5581650" cy="3115310"/>
            <wp:effectExtent l="0" t="0" r="0" b="8890"/>
            <wp:wrapTopAndBottom/>
            <wp:docPr id="927650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50374" name="Picture 9276503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EE026" w14:textId="77777777" w:rsidR="00122B1A" w:rsidRPr="0008697C" w:rsidRDefault="00C16F5F" w:rsidP="0008697C">
      <w:pPr>
        <w:rPr>
          <w:b/>
          <w:bCs/>
        </w:rPr>
      </w:pPr>
      <w:r w:rsidRPr="0008697C">
        <w:rPr>
          <w:b/>
          <w:bCs/>
        </w:rPr>
        <w:t>Extended Data Figure 1 | Robustness of Correlation-Length Scaling</w:t>
      </w:r>
    </w:p>
    <w:p w14:paraId="3CF9DC0F" w14:textId="77777777" w:rsidR="00122B1A" w:rsidRDefault="00C16F5F">
      <w:pPr>
        <w:pStyle w:val="Heading3"/>
      </w:pPr>
      <w:r>
        <w:t>Panel A</w:t>
      </w:r>
    </w:p>
    <w:p w14:paraId="587C0583" w14:textId="77777777" w:rsidR="00122B1A" w:rsidRDefault="00C16F5F">
      <w:pPr>
        <w:ind w:firstLine="480"/>
      </w:pPr>
      <w:r>
        <w:t xml:space="preserve">Correlation length ξ(ℓ) as a function of network depth ℓ for five different network widths (N = 128, 256, 512, 1024, 2048). All curves exhibit exponential decay ξ(ℓ) ~ </w:t>
      </w:r>
      <w:proofErr w:type="spellStart"/>
      <w:r>
        <w:t>exp</w:t>
      </w:r>
      <w:proofErr w:type="spellEnd"/>
      <w:r>
        <w:t>(-ℓ/ξ*) with characteristic length scale ξ* ≈ 15.2 ± 0.8 layers, demonstrating width-independence of the fundamental RG flow. Semi-logarithmic scale reveals linear decay consistent with single-exponential relaxation to the infrared fixed point. Error bars (not shown for clarity) represent standard deviation over 100 independent initializations.</w:t>
      </w:r>
    </w:p>
    <w:p w14:paraId="28EC592B" w14:textId="77777777" w:rsidR="00122B1A" w:rsidRDefault="00C16F5F">
      <w:pPr>
        <w:pStyle w:val="Heading3"/>
      </w:pPr>
      <w:r>
        <w:lastRenderedPageBreak/>
        <w:t>Panel B</w:t>
      </w:r>
    </w:p>
    <w:p w14:paraId="0E2593A7" w14:textId="77777777" w:rsidR="00122B1A" w:rsidRDefault="00C16F5F">
      <w:pPr>
        <w:ind w:firstLine="480"/>
      </w:pPr>
      <w:r>
        <w:t>Data collapse demonstrating universality of the RG flow. When depth is rescaled by total network depth L and correlation length is normalized by its initial value ξ₀, all curves collapse onto a single universal function independent of width N. The collapse quality (χ² = 1.02 ± 0.06) confirms that the RG transformation exhibits scale invariance and that finite-width corrections are subdominant.</w:t>
      </w:r>
    </w:p>
    <w:p w14:paraId="529E16A7" w14:textId="77777777" w:rsidR="00122B1A" w:rsidRDefault="00C16F5F">
      <w:pPr>
        <w:pStyle w:val="Heading3"/>
      </w:pPr>
      <w:r>
        <w:t>Panel C</w:t>
      </w:r>
    </w:p>
    <w:p w14:paraId="15D7EC39" w14:textId="77777777" w:rsidR="00122B1A" w:rsidRDefault="00C16F5F">
      <w:pPr>
        <w:ind w:firstLine="480"/>
      </w:pPr>
      <w:r>
        <w:t>Bootstrap analysis of the critical exponent ν extracted from 100 independent network realizations. The measured value ν = 1.02 ± 0.04 (mean ± standard error) is consistent with the theoretical prediction ν = 1.0 from mean-field RG analysis. The 95% confidence interval (shaded region) demonstrates statistical robustness.</w:t>
      </w:r>
    </w:p>
    <w:p w14:paraId="178DFB3C" w14:textId="77777777" w:rsidR="00122B1A" w:rsidRDefault="00C16F5F">
      <w:pPr>
        <w:pStyle w:val="Caption"/>
      </w:pPr>
      <w:r>
        <w:t xml:space="preserve">Statistical Analysis: Correlation lengths were computed via two-point correlation functions C(ℓ, ℓ') = </w:t>
      </w:r>
      <w:r>
        <w:t>⟨</w:t>
      </w:r>
      <w:r>
        <w:t>φ</w:t>
      </w:r>
      <w:r>
        <w:t>ᵢ</w:t>
      </w:r>
      <w:r>
        <w:t>(ℓ)φ</w:t>
      </w:r>
      <w:r>
        <w:t>ᵢ</w:t>
      </w:r>
      <w:r>
        <w:t>(ℓ')</w:t>
      </w:r>
      <w:r>
        <w:t>⟩</w:t>
      </w:r>
      <w:r>
        <w:t xml:space="preserve"> averaged over all neurons </w:t>
      </w:r>
      <w:proofErr w:type="spellStart"/>
      <w:r>
        <w:t>i</w:t>
      </w:r>
      <w:proofErr w:type="spellEnd"/>
      <w:r>
        <w:t xml:space="preserve"> and fitted to exponential form. The characteristic length ξ* was extracted via nonlinear least-squares fitting with R² &gt; 0.985 for all widths.</w:t>
      </w:r>
    </w:p>
    <w:p w14:paraId="7A70D73A" w14:textId="6E641360" w:rsidR="003C399A" w:rsidRPr="0008697C" w:rsidRDefault="00C24D91" w:rsidP="0008697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A5AC44" wp14:editId="018F2164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683885" cy="3171825"/>
            <wp:effectExtent l="0" t="0" r="0" b="9525"/>
            <wp:wrapTopAndBottom/>
            <wp:docPr id="59608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8190" name="Picture 596081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5F" w:rsidRPr="0008697C">
        <w:rPr>
          <w:b/>
          <w:bCs/>
        </w:rPr>
        <w:t>Extended Data Figure 2 | Fisher Metric and Jacobian Spectral Dynamics</w:t>
      </w:r>
    </w:p>
    <w:p w14:paraId="41ED793F" w14:textId="77777777" w:rsidR="00122B1A" w:rsidRDefault="00C16F5F">
      <w:pPr>
        <w:pStyle w:val="Heading3"/>
      </w:pPr>
      <w:r>
        <w:t>Panel A</w:t>
      </w:r>
    </w:p>
    <w:p w14:paraId="4E51395B" w14:textId="77777777" w:rsidR="00122B1A" w:rsidRDefault="00C16F5F">
      <w:pPr>
        <w:ind w:firstLine="480"/>
      </w:pPr>
      <w:r>
        <w:t xml:space="preserve">Evolution of the Jacobian singular value spectrum across network depth. The top k eigenvalues (λ₁, λ₂, ..., λₖ) decay exponentially with depth ℓ, while the bulk spectrum exhibits power-law growth characteristic of chaotic dynamics. The spectral gap </w:t>
      </w:r>
      <w:proofErr w:type="spellStart"/>
      <w:r>
        <w:t>Δλ</w:t>
      </w:r>
      <w:proofErr w:type="spellEnd"/>
      <w:r>
        <w:t xml:space="preserve"> = λ₁ - λ₂ quantifies the separation between the dominant mode and </w:t>
      </w:r>
      <w:proofErr w:type="spellStart"/>
      <w:r>
        <w:t>subleading</w:t>
      </w:r>
      <w:proofErr w:type="spellEnd"/>
      <w:r>
        <w:t xml:space="preserve"> corrections. For RG-principled architectures, </w:t>
      </w:r>
      <w:proofErr w:type="spellStart"/>
      <w:r>
        <w:t>Δλ</w:t>
      </w:r>
      <w:proofErr w:type="spellEnd"/>
      <w:r>
        <w:t xml:space="preserve"> remains approximately constant (</w:t>
      </w:r>
      <w:proofErr w:type="spellStart"/>
      <w:r>
        <w:t>Δλ</w:t>
      </w:r>
      <w:proofErr w:type="spellEnd"/>
      <w:r>
        <w:t xml:space="preserve"> ≈ 5.2 ± 0.3), indicating stable information propagation.</w:t>
      </w:r>
    </w:p>
    <w:p w14:paraId="1D123F3D" w14:textId="77777777" w:rsidR="00122B1A" w:rsidRDefault="00C16F5F">
      <w:pPr>
        <w:pStyle w:val="Heading3"/>
      </w:pPr>
      <w:r>
        <w:lastRenderedPageBreak/>
        <w:t>Panel B</w:t>
      </w:r>
    </w:p>
    <w:p w14:paraId="6010BF34" w14:textId="77777777" w:rsidR="00122B1A" w:rsidRDefault="00C16F5F">
      <w:pPr>
        <w:ind w:firstLine="480"/>
      </w:pPr>
      <w:r>
        <w:t>Depth-dependent evolution of the singular value distribution ρ(σ) for the Jacobian matrix at layers ℓ = 1, 10, 50, L. At shallow depths (ℓ = 1), the distribution is broad and approximately Gaussian, reflecting random initialization. As depth increases, the distribution develops a characteristic bimodal structure: a bulk component near σ ≈ 1 (corresponding to stable propagation modes) and a tail extending to large σ (corresponding to amplified modes).</w:t>
      </w:r>
    </w:p>
    <w:p w14:paraId="7D8428FF" w14:textId="77777777" w:rsidR="00122B1A" w:rsidRDefault="00C16F5F">
      <w:pPr>
        <w:pStyle w:val="Heading3"/>
      </w:pPr>
      <w:r>
        <w:t>Panel C</w:t>
      </w:r>
    </w:p>
    <w:p w14:paraId="5225A92F" w14:textId="77777777" w:rsidR="00122B1A" w:rsidRDefault="00C16F5F">
      <w:pPr>
        <w:ind w:firstLine="480"/>
      </w:pPr>
      <w:r>
        <w:t xml:space="preserve">Comparative analysis of spectral density evolution for standard vs. RG-principled architectures. Standard architectures exhibit rapid spectral diffusion: eigenvalues spread across multiple orders of magnitude, leading to exponential growth of the condition number κ(Jℓ) ~ </w:t>
      </w:r>
      <w:proofErr w:type="spellStart"/>
      <w:r>
        <w:t>exp</w:t>
      </w:r>
      <w:proofErr w:type="spellEnd"/>
      <w:r>
        <w:t>(αℓ) with α ≈ 0.15. In contrast, RG-principled architectures maintain spectral concentration: eigenvalues remain confined to a narrow band around unity, with κ(Jℓ) ~ ℓβ where β ≈ 0.3.</w:t>
      </w:r>
    </w:p>
    <w:p w14:paraId="72966B6F" w14:textId="42A17DDA" w:rsidR="00C25D42" w:rsidRPr="0008697C" w:rsidRDefault="00C16F5F" w:rsidP="0008697C">
      <w:pPr>
        <w:rPr>
          <w:b/>
          <w:bCs/>
        </w:rPr>
      </w:pPr>
      <w:r w:rsidRPr="0008697C">
        <w:rPr>
          <w:b/>
          <w:bCs/>
        </w:rPr>
        <w:t>Extended Data Figure 3 | Scaling Collapse and Dynamical Phase Diagram</w:t>
      </w:r>
      <w:r w:rsidR="00C25D42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DD3AD14" wp14:editId="1E51C93A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731510" cy="3199130"/>
            <wp:effectExtent l="0" t="0" r="2540" b="1270"/>
            <wp:wrapTopAndBottom/>
            <wp:docPr id="1831051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51192" name="Picture 18310511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79448" w14:textId="77777777" w:rsidR="00122B1A" w:rsidRDefault="00C16F5F">
      <w:pPr>
        <w:pStyle w:val="Heading3"/>
      </w:pPr>
      <w:r>
        <w:t>Panel A</w:t>
      </w:r>
    </w:p>
    <w:p w14:paraId="14106334" w14:textId="77777777" w:rsidR="00122B1A" w:rsidRDefault="00C16F5F">
      <w:pPr>
        <w:ind w:firstLine="480"/>
      </w:pPr>
      <w:r>
        <w:t xml:space="preserve">Finite-size scaling collapse of the order parameter </w:t>
      </w:r>
      <w:r>
        <w:t>⟨</w:t>
      </w:r>
      <w:r>
        <w:t>Φ²</w:t>
      </w:r>
      <w:r>
        <w:t>⟩</w:t>
      </w:r>
      <w:r>
        <w:t>ℓ near the critical point. Data from networks of varying depths L = 50, 100, 200, 500 collapse onto a single universal scaling function f(x) when plotted against the rescaled variable x = (ℓ - ℓc)/L^(1/ν), where ℓc is the critical depth and ν = 1.02 is the correlation length exponent. The quality of collapse (mean squared deviation &lt; 0.02) confirms the validity of the finite-size scaling hypothesis.</w:t>
      </w:r>
    </w:p>
    <w:p w14:paraId="53BA7B96" w14:textId="77777777" w:rsidR="00122B1A" w:rsidRDefault="00C16F5F">
      <w:pPr>
        <w:pStyle w:val="Heading3"/>
      </w:pPr>
      <w:r>
        <w:t>Panel B</w:t>
      </w:r>
    </w:p>
    <w:p w14:paraId="3423FE16" w14:textId="77777777" w:rsidR="00122B1A" w:rsidRDefault="00C16F5F">
      <w:pPr>
        <w:ind w:firstLine="480"/>
      </w:pPr>
      <w:proofErr w:type="spellStart"/>
      <w:r>
        <w:t>Lyapunov</w:t>
      </w:r>
      <w:proofErr w:type="spellEnd"/>
      <w:r>
        <w:t xml:space="preserve"> spectrum λ</w:t>
      </w:r>
      <w:r>
        <w:t>ᵢ</w:t>
      </w:r>
      <w:r>
        <w:t xml:space="preserve"> as a function of layer index </w:t>
      </w:r>
      <w:proofErr w:type="spellStart"/>
      <w:r>
        <w:t>i</w:t>
      </w:r>
      <w:proofErr w:type="spellEnd"/>
      <w:r>
        <w:t xml:space="preserve"> for a network of depth L = 200. The spectrum exhibits three distinct regions: (</w:t>
      </w:r>
      <w:proofErr w:type="spellStart"/>
      <w:r>
        <w:t>i</w:t>
      </w:r>
      <w:proofErr w:type="spellEnd"/>
      <w:r>
        <w:t>) a small number of positive exponents (λ</w:t>
      </w:r>
      <w:r>
        <w:t>ᵢ</w:t>
      </w:r>
      <w:r>
        <w:t xml:space="preserve"> &gt; 0, </w:t>
      </w:r>
      <w:proofErr w:type="spellStart"/>
      <w:r>
        <w:t>i</w:t>
      </w:r>
      <w:proofErr w:type="spellEnd"/>
      <w:r>
        <w:t xml:space="preserve"> &lt; </w:t>
      </w:r>
      <w:r>
        <w:lastRenderedPageBreak/>
        <w:t>10) corresponding to chaotic/unstable modes, (ii) a plateau region near zero (|λ</w:t>
      </w:r>
      <w:r>
        <w:t>ᵢ</w:t>
      </w:r>
      <w:r>
        <w:t xml:space="preserve">| &lt; 0.1, 10 &lt; </w:t>
      </w:r>
      <w:proofErr w:type="spellStart"/>
      <w:r>
        <w:t>i</w:t>
      </w:r>
      <w:proofErr w:type="spellEnd"/>
      <w:r>
        <w:t xml:space="preserve"> &lt; 150) corresponding to marginally stable modes, and (iii) a tail of negative exponents (λ</w:t>
      </w:r>
      <w:r>
        <w:t>ᵢ</w:t>
      </w:r>
      <w:r>
        <w:t xml:space="preserve"> &lt; -0.5, </w:t>
      </w:r>
      <w:proofErr w:type="spellStart"/>
      <w:r>
        <w:t>i</w:t>
      </w:r>
      <w:proofErr w:type="spellEnd"/>
      <w:r>
        <w:t xml:space="preserve"> &gt; 150) corresponding to strongly damped modes.</w:t>
      </w:r>
    </w:p>
    <w:p w14:paraId="63D76E9A" w14:textId="77777777" w:rsidR="00122B1A" w:rsidRDefault="00C16F5F">
      <w:pPr>
        <w:pStyle w:val="Heading3"/>
      </w:pPr>
      <w:r>
        <w:t>Panel C</w:t>
      </w:r>
    </w:p>
    <w:p w14:paraId="5ABAF744" w14:textId="77777777" w:rsidR="00122B1A" w:rsidRDefault="00C16F5F">
      <w:pPr>
        <w:ind w:firstLine="480"/>
      </w:pPr>
      <w:r>
        <w:t>Phase diagram in the (σ²w, σ²b) plane of weight and bias variances. Three distinct phases are identified: (1) Ordered phase (blue, lower left): σ²w &lt; σ²c, where correlations decay exponentially. (2) Critical phase (white, along the critical line): σ²w ≈ σ²c(σ²b), where correlations decay algebraically. (3) Chaotic phase (red, upper right): σ²w &gt; σ²c, where correlations grow exponentially.</w:t>
      </w:r>
    </w:p>
    <w:p w14:paraId="0B341C5B" w14:textId="050D0E60" w:rsidR="00C25D42" w:rsidRPr="0008697C" w:rsidRDefault="007B760F" w:rsidP="005E3DC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574A272" wp14:editId="4A7B91A4">
            <wp:simplePos x="0" y="0"/>
            <wp:positionH relativeFrom="column">
              <wp:posOffset>-635</wp:posOffset>
            </wp:positionH>
            <wp:positionV relativeFrom="paragraph">
              <wp:posOffset>345440</wp:posOffset>
            </wp:positionV>
            <wp:extent cx="5705475" cy="4186555"/>
            <wp:effectExtent l="0" t="0" r="9525" b="4445"/>
            <wp:wrapTopAndBottom/>
            <wp:docPr id="2059151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1298" name="Picture 20591512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5F" w:rsidRPr="0008697C">
        <w:rPr>
          <w:b/>
          <w:bCs/>
        </w:rPr>
        <w:t>Extended Data Figure 4 | Finite-Size Scaling Analysis</w:t>
      </w:r>
    </w:p>
    <w:p w14:paraId="6C375643" w14:textId="77777777" w:rsidR="00122B1A" w:rsidRDefault="00C16F5F">
      <w:pPr>
        <w:pStyle w:val="Heading3"/>
      </w:pPr>
      <w:r>
        <w:t>Panel A</w:t>
      </w:r>
    </w:p>
    <w:p w14:paraId="21F52B3F" w14:textId="77777777" w:rsidR="00122B1A" w:rsidRDefault="00C16F5F">
      <w:pPr>
        <w:ind w:firstLine="480"/>
      </w:pPr>
      <w:r>
        <w:t xml:space="preserve">Finite-size scaling of the order parameter </w:t>
      </w:r>
      <w:r>
        <w:t>⟨</w:t>
      </w:r>
      <w:r>
        <w:t>Φ²</w:t>
      </w:r>
      <w:r>
        <w:t>⟩</w:t>
      </w:r>
      <w:r>
        <w:t xml:space="preserve">ℓ as a function of weight variance σ²w for five system sizes L = 50, 100, 200, 500, 1000. Below the critical point (σ²w &lt; σ²c ≈ 1.4), the order parameter vanishes in the thermodynamic limit L → ∞. Above the critical point, </w:t>
      </w:r>
      <w:r>
        <w:t>⟨</w:t>
      </w:r>
      <w:r>
        <w:t>Φ²</w:t>
      </w:r>
      <w:r>
        <w:t>⟩</w:t>
      </w:r>
      <w:r>
        <w:t>ℓ saturates to a finite value that grows as (σ²w - σ²c)β with β = 0.326 ± 0.012.</w:t>
      </w:r>
    </w:p>
    <w:p w14:paraId="5588E0BC" w14:textId="77777777" w:rsidR="00122B1A" w:rsidRDefault="00C16F5F">
      <w:pPr>
        <w:pStyle w:val="Heading3"/>
      </w:pPr>
      <w:r>
        <w:lastRenderedPageBreak/>
        <w:t>Panel B</w:t>
      </w:r>
    </w:p>
    <w:p w14:paraId="7F2265C2" w14:textId="77777777" w:rsidR="00122B1A" w:rsidRDefault="00C16F5F">
      <w:pPr>
        <w:ind w:firstLine="480"/>
      </w:pPr>
      <w:r>
        <w:t xml:space="preserve">Data collapse of the finite-size scaling curves. When the order parameter is rescaled as </w:t>
      </w:r>
      <w:r>
        <w:t>⟨</w:t>
      </w:r>
      <w:r>
        <w:t>Φ²</w:t>
      </w:r>
      <w:r>
        <w:t>⟩</w:t>
      </w:r>
      <w:r>
        <w:t>ℓ L^(β/ν) and plotted against the scaling variable (σ²w - σ²c)L^(1/ν), all curves collapse onto a single universal function.</w:t>
      </w:r>
    </w:p>
    <w:p w14:paraId="65A6BF08" w14:textId="77777777" w:rsidR="00122B1A" w:rsidRDefault="00C16F5F">
      <w:pPr>
        <w:pStyle w:val="Heading3"/>
      </w:pPr>
      <w:r>
        <w:t>Panel C</w:t>
      </w:r>
    </w:p>
    <w:p w14:paraId="48FB83FA" w14:textId="77777777" w:rsidR="00122B1A" w:rsidRDefault="00C16F5F">
      <w:pPr>
        <w:ind w:firstLine="480"/>
      </w:pPr>
      <w:r>
        <w:t>Critical divergence of the correlation length ξ as a function of distance from criticality |σ²w - σ²c|. Log-log plot reveals power-law divergence ξ ~ |σ²w - σ²c|^(-ν) with ν = 1.02 ± 0.04.</w:t>
      </w:r>
    </w:p>
    <w:p w14:paraId="7402E123" w14:textId="77777777" w:rsidR="00122B1A" w:rsidRDefault="00C16F5F">
      <w:pPr>
        <w:pStyle w:val="Heading3"/>
      </w:pPr>
      <w:r>
        <w:t>Panel D</w:t>
      </w:r>
    </w:p>
    <w:p w14:paraId="2D83FB52" w14:textId="77777777" w:rsidR="00122B1A" w:rsidRDefault="00C16F5F">
      <w:pPr>
        <w:ind w:firstLine="480"/>
      </w:pPr>
      <w:r>
        <w:t>Susceptibility divergence χ ~ |σ²w - σ²c|^(-γ) with γ = 1.24 ± 0.08. The susceptibility χ = ∂</w:t>
      </w:r>
      <w:r>
        <w:t>⟨</w:t>
      </w:r>
      <w:r>
        <w:t>Φ²</w:t>
      </w:r>
      <w:r>
        <w:t>⟩</w:t>
      </w:r>
      <w:r>
        <w:t>/∂σ²w quantifies the response of the order parameter to changes in the control parameter.</w:t>
      </w:r>
    </w:p>
    <w:p w14:paraId="3B4D3927" w14:textId="77777777" w:rsidR="00122B1A" w:rsidRDefault="00C16F5F">
      <w:pPr>
        <w:pStyle w:val="Heading3"/>
      </w:pPr>
      <w:r>
        <w:t>Panel E</w:t>
      </w:r>
    </w:p>
    <w:p w14:paraId="1C966822" w14:textId="77777777" w:rsidR="00122B1A" w:rsidRDefault="00C16F5F">
      <w:pPr>
        <w:ind w:firstLine="480"/>
      </w:pPr>
      <w:r>
        <w:t xml:space="preserve">Verification of </w:t>
      </w:r>
      <w:proofErr w:type="spellStart"/>
      <w:r>
        <w:t>hyperscaling</w:t>
      </w:r>
      <w:proofErr w:type="spellEnd"/>
      <w:r>
        <w:t xml:space="preserve"> relations. Four fundamental scaling relations are tested: (1) α + 2β + γ = 2 (</w:t>
      </w:r>
      <w:proofErr w:type="spellStart"/>
      <w:r>
        <w:t>Rushbrooke</w:t>
      </w:r>
      <w:proofErr w:type="spellEnd"/>
      <w:r>
        <w:t xml:space="preserve"> equality), (2) γ = ν(2 - η) (Fisher relation), (3) </w:t>
      </w:r>
      <w:proofErr w:type="spellStart"/>
      <w:r>
        <w:t>dν</w:t>
      </w:r>
      <w:proofErr w:type="spellEnd"/>
      <w:r>
        <w:t xml:space="preserve"> = 2 - α (</w:t>
      </w:r>
      <w:proofErr w:type="spellStart"/>
      <w:r>
        <w:t>hyperscaling</w:t>
      </w:r>
      <w:proofErr w:type="spellEnd"/>
      <w:r>
        <w:t>), and (4) β = ν(d - 2 + η)/2 (Josephson relation), where d = 2 is the effective dimensionality. Measured values agree with theoretical predictions within error bars.</w:t>
      </w:r>
    </w:p>
    <w:p w14:paraId="5125A775" w14:textId="77777777" w:rsidR="00122B1A" w:rsidRDefault="00C16F5F">
      <w:pPr>
        <w:pStyle w:val="Heading3"/>
      </w:pPr>
      <w:r>
        <w:t>Panel F</w:t>
      </w:r>
    </w:p>
    <w:p w14:paraId="2C961BCE" w14:textId="77777777" w:rsidR="00122B1A" w:rsidRDefault="00C16F5F">
      <w:pPr>
        <w:ind w:firstLine="480"/>
      </w:pPr>
      <w:r>
        <w:t xml:space="preserve">Binder </w:t>
      </w:r>
      <w:proofErr w:type="spellStart"/>
      <w:r>
        <w:t>cumulant</w:t>
      </w:r>
      <w:proofErr w:type="spellEnd"/>
      <w:r>
        <w:t xml:space="preserve"> crossing analysis. The Binder </w:t>
      </w:r>
      <w:proofErr w:type="spellStart"/>
      <w:r>
        <w:t>cumulant</w:t>
      </w:r>
      <w:proofErr w:type="spellEnd"/>
      <w:r>
        <w:t xml:space="preserve"> U_L = 1 - </w:t>
      </w:r>
      <w:r>
        <w:t>⟨</w:t>
      </w:r>
      <w:r>
        <w:t>Φ⁴</w:t>
      </w:r>
      <w:r>
        <w:t>⟩</w:t>
      </w:r>
      <w:r>
        <w:t>/(3</w:t>
      </w:r>
      <w:r>
        <w:t>⟨</w:t>
      </w:r>
      <w:r>
        <w:t>Φ²</w:t>
      </w:r>
      <w:r>
        <w:t>⟩</w:t>
      </w:r>
      <w:r>
        <w:t>²) is a dimensionless ratio that exhibits a universal value U* ≈ 2/3 at the critical point, independent of system size L.</w:t>
      </w:r>
    </w:p>
    <w:p w14:paraId="15B581AF" w14:textId="77777777" w:rsidR="00122B1A" w:rsidRDefault="00C16F5F">
      <w:pPr>
        <w:pStyle w:val="Heading3"/>
      </w:pPr>
      <w:r>
        <w:t>Panel G</w:t>
      </w:r>
    </w:p>
    <w:p w14:paraId="6F3CD3DD" w14:textId="77777777" w:rsidR="00122B1A" w:rsidRDefault="00C16F5F">
      <w:pPr>
        <w:ind w:firstLine="480"/>
      </w:pPr>
      <w:r>
        <w:t xml:space="preserve">Effective exponent flow </w:t>
      </w:r>
      <w:proofErr w:type="spellStart"/>
      <w:r>
        <w:t>ν_eff</w:t>
      </w:r>
      <w:proofErr w:type="spellEnd"/>
      <w:r>
        <w:t xml:space="preserve">(L) as a function of system size L. For finite systems, the apparent exponent </w:t>
      </w:r>
      <w:proofErr w:type="spellStart"/>
      <w:r>
        <w:t>ν_eff</w:t>
      </w:r>
      <w:proofErr w:type="spellEnd"/>
      <w:r>
        <w:t xml:space="preserve"> extracted from local fits exhibits systematic deviations from the asymptotic value ν = 1.02 due to finite-size corrections.</w:t>
      </w:r>
    </w:p>
    <w:p w14:paraId="0B98B575" w14:textId="77777777" w:rsidR="00122B1A" w:rsidRDefault="00C16F5F">
      <w:pPr>
        <w:pStyle w:val="Heading3"/>
      </w:pPr>
      <w:r>
        <w:t>Panel H</w:t>
      </w:r>
    </w:p>
    <w:p w14:paraId="7C75F9D4" w14:textId="77777777" w:rsidR="00122B1A" w:rsidRDefault="00C16F5F">
      <w:pPr>
        <w:ind w:firstLine="480"/>
      </w:pPr>
      <w:r>
        <w:t xml:space="preserve">Critical scaling window as a function of system size L. The range of σ²w values over which critical scaling is observable shrinks as </w:t>
      </w:r>
      <w:proofErr w:type="spellStart"/>
      <w:r>
        <w:t>Δσ</w:t>
      </w:r>
      <w:proofErr w:type="spellEnd"/>
      <w:r>
        <w:t xml:space="preserve"> ~ L^(-1/ν). This analysis determines the minimum system size </w:t>
      </w:r>
      <w:proofErr w:type="spellStart"/>
      <w:r>
        <w:t>L_min</w:t>
      </w:r>
      <w:proofErr w:type="spellEnd"/>
      <w:r>
        <w:t xml:space="preserve"> ≈ 50 required for reliable extraction of critical exponents.</w:t>
      </w:r>
    </w:p>
    <w:p w14:paraId="54FE4049" w14:textId="0F9FE14A" w:rsidR="00122B1A" w:rsidRDefault="00F03D0B" w:rsidP="005E3DC1">
      <w:pPr>
        <w:rPr>
          <w:b/>
          <w:bCs/>
        </w:rPr>
      </w:pPr>
      <w:r w:rsidRPr="0008697C">
        <w:rPr>
          <w:b/>
          <w:bCs/>
        </w:rPr>
        <w:t>Extended data figure 5 | Architecture Comparison and Control Experiments</w:t>
      </w:r>
    </w:p>
    <w:p w14:paraId="765C421F" w14:textId="7EE2586A" w:rsidR="001B24E5" w:rsidRPr="0008697C" w:rsidRDefault="00B7388F" w:rsidP="005E3DC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66E713" wp14:editId="45E833C2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731510" cy="3623945"/>
            <wp:effectExtent l="0" t="0" r="2540" b="0"/>
            <wp:wrapTopAndBottom/>
            <wp:docPr id="2664715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71569" name="Picture 2664715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51D8A" w14:textId="77777777" w:rsidR="00122B1A" w:rsidRDefault="00C16F5F">
      <w:pPr>
        <w:pStyle w:val="Heading3"/>
      </w:pPr>
      <w:r>
        <w:t>Panel A</w:t>
      </w:r>
    </w:p>
    <w:p w14:paraId="2E7B1BFD" w14:textId="77777777" w:rsidR="00122B1A" w:rsidRDefault="00C16F5F">
      <w:pPr>
        <w:ind w:firstLine="480"/>
      </w:pPr>
      <w:r>
        <w:t xml:space="preserve">Training dynamics comparison across four architectures: RG-Principled (dark green), Standard-ReLU (steel blue), </w:t>
      </w:r>
      <w:proofErr w:type="spellStart"/>
      <w:r>
        <w:t>ResNet</w:t>
      </w:r>
      <w:proofErr w:type="spellEnd"/>
      <w:r>
        <w:t xml:space="preserve"> (coral), and </w:t>
      </w:r>
      <w:proofErr w:type="spellStart"/>
      <w:r>
        <w:t>BatchNorm</w:t>
      </w:r>
      <w:proofErr w:type="spellEnd"/>
      <w:r>
        <w:t xml:space="preserve"> (purple). Test loss is plotted on a semi-logarithmic scale as a function of training epoch. RG-principled architectures achieve lower final test loss (0.05 vs. 0.15 for standard) and exhibit faster convergence (effective time constant τ ≈ 30 epochs vs. τ ≈ 40 epochs).</w:t>
      </w:r>
    </w:p>
    <w:p w14:paraId="43ED7F1E" w14:textId="77777777" w:rsidR="00122B1A" w:rsidRDefault="00C16F5F">
      <w:pPr>
        <w:pStyle w:val="Heading3"/>
      </w:pPr>
      <w:r>
        <w:t>Panel B</w:t>
      </w:r>
    </w:p>
    <w:p w14:paraId="0932834F" w14:textId="77777777" w:rsidR="00122B1A" w:rsidRDefault="00C16F5F">
      <w:pPr>
        <w:ind w:firstLine="480"/>
      </w:pPr>
      <w:r>
        <w:t>Generalization performance quantified by train and test accuracy. RG-principled architectures exhibit the smallest generalization gap (train - test = 2.3% vs. 5.7% for standard), indicating superior regularization properties.</w:t>
      </w:r>
    </w:p>
    <w:p w14:paraId="71E42644" w14:textId="77777777" w:rsidR="00122B1A" w:rsidRDefault="00C16F5F">
      <w:pPr>
        <w:pStyle w:val="Heading3"/>
      </w:pPr>
      <w:r>
        <w:t>Panel C</w:t>
      </w:r>
    </w:p>
    <w:p w14:paraId="589D0439" w14:textId="77777777" w:rsidR="00122B1A" w:rsidRDefault="00C16F5F">
      <w:pPr>
        <w:ind w:firstLine="480"/>
      </w:pPr>
      <w:r>
        <w:t>Parameter efficiency: test accuracy vs. number of trainable parameters. RG-principled architectures achieve higher accuracy with fewer parameters (96.2% with 1.2M parameters) compared to standard architectures (93.5% with 1.5M parameters), demonstrating a 20% improvement in parameter efficiency.</w:t>
      </w:r>
    </w:p>
    <w:p w14:paraId="1AB7F2C6" w14:textId="77777777" w:rsidR="00122B1A" w:rsidRDefault="00C16F5F">
      <w:pPr>
        <w:pStyle w:val="Heading3"/>
      </w:pPr>
      <w:r>
        <w:t>Panel D</w:t>
      </w:r>
    </w:p>
    <w:p w14:paraId="1DE95745" w14:textId="77777777" w:rsidR="00122B1A" w:rsidRDefault="00C16F5F">
      <w:pPr>
        <w:ind w:firstLine="480"/>
      </w:pPr>
      <w:r>
        <w:t xml:space="preserve">Depth scaling robustness. Test accuracy as a function of network depth L for depths ranging from 10 to 100 layers. RG-principled architectures maintain stable performance across </w:t>
      </w:r>
      <w:r>
        <w:lastRenderedPageBreak/>
        <w:t>all depths (96.2 ± 0.5%), while standard architectures exhibit significant degradation for L &gt; 50 (accuracy drops from 93.5% to 88.2%).</w:t>
      </w:r>
    </w:p>
    <w:p w14:paraId="1BC5B488" w14:textId="77777777" w:rsidR="00122B1A" w:rsidRDefault="00C16F5F">
      <w:pPr>
        <w:pStyle w:val="Heading3"/>
      </w:pPr>
      <w:r>
        <w:t>Panel E</w:t>
      </w:r>
    </w:p>
    <w:p w14:paraId="0AAB7D4E" w14:textId="77777777" w:rsidR="00122B1A" w:rsidRDefault="00C16F5F">
      <w:pPr>
        <w:ind w:firstLine="480"/>
      </w:pPr>
      <w:r>
        <w:t xml:space="preserve">Width scaling. Test accuracy increases logarithmically with width N as </w:t>
      </w:r>
      <w:proofErr w:type="spellStart"/>
      <w:r>
        <w:t>acc</w:t>
      </w:r>
      <w:proofErr w:type="spellEnd"/>
      <w:r>
        <w:t xml:space="preserve"> ~ log(N) for both architectures, but RG-principled networks achieve higher accuracy at all widths. The scaling coefficient is β_RG = 4.0 vs. β_</w:t>
      </w:r>
      <w:proofErr w:type="spellStart"/>
      <w:r>
        <w:t>std</w:t>
      </w:r>
      <w:proofErr w:type="spellEnd"/>
      <w:r>
        <w:t xml:space="preserve"> = 3.0.</w:t>
      </w:r>
    </w:p>
    <w:p w14:paraId="6FF2E024" w14:textId="77777777" w:rsidR="00122B1A" w:rsidRDefault="00C16F5F">
      <w:pPr>
        <w:pStyle w:val="Heading3"/>
      </w:pPr>
      <w:r>
        <w:t>Panel F</w:t>
      </w:r>
    </w:p>
    <w:p w14:paraId="538DB7DE" w14:textId="77777777" w:rsidR="00122B1A" w:rsidRDefault="00C16F5F">
      <w:pPr>
        <w:ind w:firstLine="480"/>
      </w:pPr>
      <w:r>
        <w:t xml:space="preserve">Activation function ablation study. Five activation functions (ReLU, </w:t>
      </w:r>
      <w:proofErr w:type="spellStart"/>
      <w:r>
        <w:t>Tanh</w:t>
      </w:r>
      <w:proofErr w:type="spellEnd"/>
      <w:r>
        <w:t>, GELU, Swish, RG-Scaled) are tested with standard initialization (light blue) and RG-principled initialization (dark green). RG-principled initialization improves performance for all activation functions by 1-2%.</w:t>
      </w:r>
    </w:p>
    <w:p w14:paraId="7ED3A3F9" w14:textId="77777777" w:rsidR="00122B1A" w:rsidRDefault="00C16F5F">
      <w:pPr>
        <w:pStyle w:val="Heading3"/>
      </w:pPr>
      <w:r>
        <w:t>Panel G</w:t>
      </w:r>
    </w:p>
    <w:p w14:paraId="18468FFB" w14:textId="77777777" w:rsidR="00122B1A" w:rsidRDefault="00C16F5F">
      <w:pPr>
        <w:ind w:firstLine="480"/>
      </w:pPr>
      <w:r>
        <w:t>Initialization sensitivity. Test accuracy as a function of initialization scale (relative to standard deviation). RG-principled architectures exhibit a broad plateau around the optimal scale (0.5 &lt; scale &lt; 2.0), while standard architectures show sharp degradation outside a narrow range (0.8 &lt; scale &lt; 1.2).</w:t>
      </w:r>
    </w:p>
    <w:p w14:paraId="660E41B6" w14:textId="77777777" w:rsidR="00122B1A" w:rsidRDefault="00C16F5F">
      <w:pPr>
        <w:pStyle w:val="Heading3"/>
      </w:pPr>
      <w:r>
        <w:t>Panel H</w:t>
      </w:r>
    </w:p>
    <w:p w14:paraId="4BFBBF6E" w14:textId="77777777" w:rsidR="00122B1A" w:rsidRDefault="00C16F5F">
      <w:pPr>
        <w:ind w:firstLine="480"/>
      </w:pPr>
      <w:r>
        <w:t>Learning rate robustness. Test accuracy as a function of learning rate on a logarithmic scale. RG-principled architectures maintain high performance over a wider range of learning rates (10^(-3.5) to 10^(-1.5)), while standard architectures require careful tuning (10^(-3) to 10^(-2)).</w:t>
      </w:r>
    </w:p>
    <w:p w14:paraId="13EBB069" w14:textId="77777777" w:rsidR="00122B1A" w:rsidRDefault="00C16F5F" w:rsidP="005E3DC1">
      <w:pPr>
        <w:rPr>
          <w:b/>
          <w:bCs/>
        </w:rPr>
      </w:pPr>
      <w:r w:rsidRPr="0008697C">
        <w:rPr>
          <w:b/>
          <w:bCs/>
        </w:rPr>
        <w:t>Extended Data Figure 6 | Information Geometry and Flow Analysis</w:t>
      </w:r>
    </w:p>
    <w:p w14:paraId="13AEFB2F" w14:textId="4327F320" w:rsidR="00B7388F" w:rsidRPr="0008697C" w:rsidRDefault="004C3DCA" w:rsidP="005E3DC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EA6E4D2" wp14:editId="1C214D5A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731510" cy="4394200"/>
            <wp:effectExtent l="0" t="0" r="2540" b="6350"/>
            <wp:wrapTopAndBottom/>
            <wp:docPr id="1361333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3378" name="Picture 1361333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70A1" w14:textId="77777777" w:rsidR="00122B1A" w:rsidRDefault="00C16F5F">
      <w:pPr>
        <w:pStyle w:val="Heading3"/>
      </w:pPr>
      <w:r>
        <w:t>Panel A</w:t>
      </w:r>
    </w:p>
    <w:p w14:paraId="247CAB14" w14:textId="77777777" w:rsidR="00122B1A" w:rsidRDefault="00C16F5F">
      <w:pPr>
        <w:ind w:firstLine="480"/>
      </w:pPr>
      <w:r>
        <w:t xml:space="preserve">Evolution of the Fisher information matrix trace </w:t>
      </w:r>
      <w:proofErr w:type="spellStart"/>
      <w:r>
        <w:t>Tr</w:t>
      </w:r>
      <w:proofErr w:type="spellEnd"/>
      <w:r>
        <w:t xml:space="preserve">(g_ℓ) as a function of depth ℓ. For RG-principled architectures (dark green), the trace decays exponentially as </w:t>
      </w:r>
      <w:proofErr w:type="spellStart"/>
      <w:r>
        <w:t>Tr</w:t>
      </w:r>
      <w:proofErr w:type="spellEnd"/>
      <w:r>
        <w:t xml:space="preserve">(g_ℓ) ~ </w:t>
      </w:r>
      <w:proofErr w:type="spellStart"/>
      <w:r>
        <w:t>exp</w:t>
      </w:r>
      <w:proofErr w:type="spellEnd"/>
      <w:r>
        <w:t>(-ℓ/</w:t>
      </w:r>
      <w:proofErr w:type="spellStart"/>
      <w:r>
        <w:t>ξ_g</w:t>
      </w:r>
      <w:proofErr w:type="spellEnd"/>
      <w:r>
        <w:t xml:space="preserve">) with characteristic length </w:t>
      </w:r>
      <w:proofErr w:type="spellStart"/>
      <w:r>
        <w:t>ξ_g</w:t>
      </w:r>
      <w:proofErr w:type="spellEnd"/>
      <w:r>
        <w:t xml:space="preserve"> ≈ 50 layers, approaching a finite asymptotic value </w:t>
      </w:r>
      <w:proofErr w:type="spellStart"/>
      <w:r>
        <w:t>Tr</w:t>
      </w:r>
      <w:proofErr w:type="spellEnd"/>
      <w:r>
        <w:t>(g_∞) ≈ 10.</w:t>
      </w:r>
    </w:p>
    <w:p w14:paraId="5DBBE8E5" w14:textId="77777777" w:rsidR="00122B1A" w:rsidRDefault="00C16F5F">
      <w:pPr>
        <w:pStyle w:val="Heading3"/>
      </w:pPr>
      <w:r>
        <w:t>Panel B</w:t>
      </w:r>
    </w:p>
    <w:p w14:paraId="0CE26FBD" w14:textId="77777777" w:rsidR="00122B1A" w:rsidRDefault="00C16F5F">
      <w:pPr>
        <w:ind w:firstLine="480"/>
      </w:pPr>
      <w:r>
        <w:t xml:space="preserve">Condition number κ(g_ℓ) = </w:t>
      </w:r>
      <w:proofErr w:type="spellStart"/>
      <w:r>
        <w:t>λ_max</w:t>
      </w:r>
      <w:proofErr w:type="spellEnd"/>
      <w:r>
        <w:t>/</w:t>
      </w:r>
      <w:proofErr w:type="spellStart"/>
      <w:r>
        <w:t>λ_min</w:t>
      </w:r>
      <w:proofErr w:type="spellEnd"/>
      <w:r>
        <w:t xml:space="preserve"> of the Fisher metric as a function of depth. RG-principled architectures maintain logarithmic growth κ ~ log(ℓ) with coefficient α ≈ 5, while standard architectures exhibit exponential growth κ ~ </w:t>
      </w:r>
      <w:proofErr w:type="spellStart"/>
      <w:r>
        <w:t>exp</w:t>
      </w:r>
      <w:proofErr w:type="spellEnd"/>
      <w:r>
        <w:t>(βℓ) with β ≈ 0.05.</w:t>
      </w:r>
    </w:p>
    <w:p w14:paraId="65E55144" w14:textId="77777777" w:rsidR="00122B1A" w:rsidRDefault="00C16F5F">
      <w:pPr>
        <w:pStyle w:val="Heading3"/>
      </w:pPr>
      <w:r>
        <w:t>Panel C</w:t>
      </w:r>
    </w:p>
    <w:p w14:paraId="296B92F8" w14:textId="77777777" w:rsidR="00122B1A" w:rsidRDefault="00C16F5F">
      <w:pPr>
        <w:ind w:firstLine="480"/>
      </w:pPr>
      <w:r>
        <w:t>Effective dimensionality quantified by the participation ratio PR = (</w:t>
      </w:r>
      <w:proofErr w:type="spellStart"/>
      <w:r>
        <w:t>Σλ</w:t>
      </w:r>
      <w:proofErr w:type="spellEnd"/>
      <w:r>
        <w:t>ᵢ</w:t>
      </w:r>
      <w:r>
        <w:t>)²/Σλ</w:t>
      </w:r>
      <w:r>
        <w:t>ᵢ</w:t>
      </w:r>
      <w:r>
        <w:t>² of the Fisher metric eigenvalue spectrum. RG-principled architectures maintain higher effective dimensionality (PR ≈ 45 at L = 100) compared to standard architectures (PR ≈ 25).</w:t>
      </w:r>
    </w:p>
    <w:p w14:paraId="1EF1F1D6" w14:textId="77777777" w:rsidR="00122B1A" w:rsidRDefault="00C16F5F">
      <w:pPr>
        <w:pStyle w:val="Heading3"/>
      </w:pPr>
      <w:r>
        <w:lastRenderedPageBreak/>
        <w:t>Panel D</w:t>
      </w:r>
    </w:p>
    <w:p w14:paraId="42D76BFE" w14:textId="77777777" w:rsidR="00122B1A" w:rsidRDefault="00C16F5F">
      <w:pPr>
        <w:ind w:firstLine="480"/>
      </w:pPr>
      <w:r>
        <w:t>Geodesic distance scaling in the parameter space manifold. For shallow networks (ℓ = 10), geodesic distances are approximately Euclidean (</w:t>
      </w:r>
      <w:proofErr w:type="spellStart"/>
      <w:r>
        <w:t>d_geo</w:t>
      </w:r>
      <w:proofErr w:type="spellEnd"/>
      <w:r>
        <w:t xml:space="preserve"> ≈ </w:t>
      </w:r>
      <w:proofErr w:type="spellStart"/>
      <w:r>
        <w:t>d_Euc</w:t>
      </w:r>
      <w:proofErr w:type="spellEnd"/>
      <w:r>
        <w:t>). As depth increases, the manifold curvature induces deviations from Euclidean geometry.</w:t>
      </w:r>
    </w:p>
    <w:p w14:paraId="5D56D387" w14:textId="77777777" w:rsidR="00122B1A" w:rsidRDefault="00C16F5F">
      <w:pPr>
        <w:pStyle w:val="Heading3"/>
      </w:pPr>
      <w:r>
        <w:t>Panel E</w:t>
      </w:r>
    </w:p>
    <w:p w14:paraId="66FDBD3B" w14:textId="77777777" w:rsidR="00122B1A" w:rsidRDefault="00C16F5F">
      <w:pPr>
        <w:ind w:firstLine="480"/>
      </w:pPr>
      <w:r>
        <w:t>Ricci curvature evolution as a function of depth. The Ricci curvature R_ℓ quantifies the local geometry of the parameter manifold. For RG-principled architectures, R_ℓ remains small and negative (R_ℓ ≈ -0.1), indicating mild negative curvature characteristic of hyperbolic geometry.</w:t>
      </w:r>
    </w:p>
    <w:p w14:paraId="2F515C72" w14:textId="77777777" w:rsidR="00122B1A" w:rsidRDefault="00C16F5F">
      <w:pPr>
        <w:pStyle w:val="Heading3"/>
      </w:pPr>
      <w:r>
        <w:t>Panel F</w:t>
      </w:r>
    </w:p>
    <w:p w14:paraId="5F545D59" w14:textId="77777777" w:rsidR="00122B1A" w:rsidRDefault="00C16F5F">
      <w:pPr>
        <w:ind w:firstLine="480"/>
      </w:pPr>
      <w:r>
        <w:t>Volume element √</w:t>
      </w:r>
      <w:proofErr w:type="spellStart"/>
      <w:r>
        <w:t>det</w:t>
      </w:r>
      <w:proofErr w:type="spellEnd"/>
      <w:r>
        <w:t>(g_ℓ) growth as a function of depth. The volume element quantifies the local 'size' of parameter space. Exponential growth √</w:t>
      </w:r>
      <w:proofErr w:type="spellStart"/>
      <w:r>
        <w:t>det</w:t>
      </w:r>
      <w:proofErr w:type="spellEnd"/>
      <w:r>
        <w:t xml:space="preserve">(g_ℓ) ~ </w:t>
      </w:r>
      <w:proofErr w:type="spellStart"/>
      <w:r>
        <w:t>exp</w:t>
      </w:r>
      <w:proofErr w:type="spellEnd"/>
      <w:r>
        <w:t>(αℓ) indicates expansion of the parameter manifold, with RG-principled architectures exhibiting slower growth (α_RG = 0.5) compared to standard architectures (α_</w:t>
      </w:r>
      <w:proofErr w:type="spellStart"/>
      <w:r>
        <w:t>std</w:t>
      </w:r>
      <w:proofErr w:type="spellEnd"/>
      <w:r>
        <w:t xml:space="preserve"> = 0.8).</w:t>
      </w:r>
    </w:p>
    <w:p w14:paraId="428E1AAA" w14:textId="77777777" w:rsidR="00122B1A" w:rsidRDefault="00C16F5F">
      <w:pPr>
        <w:pStyle w:val="Heading3"/>
      </w:pPr>
      <w:r>
        <w:t>Panel G</w:t>
      </w:r>
    </w:p>
    <w:p w14:paraId="60A1C4D9" w14:textId="77777777" w:rsidR="00122B1A" w:rsidRDefault="00C16F5F">
      <w:pPr>
        <w:ind w:firstLine="480"/>
      </w:pPr>
      <w:r>
        <w:t>RG flow trajectories in a two-dimensional projection of parameter space (θ₁, θ₂). Multiple trajectories starting from different initial conditions spiral inward toward a common fixed point at the origin (red star). The convergence to a single fixed point demonstrates the universality of the infrared behavior.</w:t>
      </w:r>
    </w:p>
    <w:p w14:paraId="3909918C" w14:textId="77777777" w:rsidR="00122B1A" w:rsidRDefault="00C16F5F">
      <w:pPr>
        <w:pStyle w:val="Heading3"/>
      </w:pPr>
      <w:r>
        <w:t>Panel H</w:t>
      </w:r>
    </w:p>
    <w:p w14:paraId="3F218419" w14:textId="77777777" w:rsidR="00122B1A" w:rsidRDefault="00C16F5F">
      <w:pPr>
        <w:ind w:firstLine="480"/>
      </w:pPr>
      <w:r>
        <w:t>Beta function β(g) = dg/dℓ as a function of the effective coupling g. The beta function exhibits two fixed points: a trivial fixed point at g = 0 (unstable) and a non-trivial fixed point at g* ≈ 2.0 (stable).</w:t>
      </w:r>
    </w:p>
    <w:p w14:paraId="03D57D91" w14:textId="77777777" w:rsidR="00122B1A" w:rsidRDefault="00C16F5F">
      <w:pPr>
        <w:pStyle w:val="Heading3"/>
      </w:pPr>
      <w:r>
        <w:t>Panel I</w:t>
      </w:r>
    </w:p>
    <w:p w14:paraId="303EC5EB" w14:textId="77777777" w:rsidR="00122B1A" w:rsidRDefault="00C16F5F">
      <w:pPr>
        <w:ind w:firstLine="480"/>
      </w:pPr>
      <w:r>
        <w:t xml:space="preserve">Scaling dimensions of various operators. The scaling dimension Δ quantifies how an operator scales under RG transformations: O → </w:t>
      </w:r>
      <w:proofErr w:type="spellStart"/>
      <w:r>
        <w:t>b^Δ</w:t>
      </w:r>
      <w:proofErr w:type="spellEnd"/>
      <w:r>
        <w:t xml:space="preserve"> O under coarse-graining by factor b. Operators with Δ &lt; 1 are relevant (green bars), operators with Δ ≈ 1 are marginal (orange bars), and operators with Δ &gt; 1 are irrelevant (red bars).</w:t>
      </w:r>
    </w:p>
    <w:p w14:paraId="733BA295" w14:textId="77777777" w:rsidR="00122B1A" w:rsidRDefault="00C16F5F" w:rsidP="0008697C">
      <w:pPr>
        <w:rPr>
          <w:b/>
          <w:bCs/>
        </w:rPr>
      </w:pPr>
      <w:r w:rsidRPr="0008697C">
        <w:rPr>
          <w:b/>
          <w:bCs/>
        </w:rPr>
        <w:t>Extended Data Figure 7 | Entanglement and Complexity Measures</w:t>
      </w:r>
    </w:p>
    <w:p w14:paraId="3DCF401D" w14:textId="76C59979" w:rsidR="004C3DCA" w:rsidRPr="0008697C" w:rsidRDefault="00307A6D" w:rsidP="0008697C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9D9F7C" wp14:editId="4224E2E5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731510" cy="4162425"/>
            <wp:effectExtent l="0" t="0" r="2540" b="9525"/>
            <wp:wrapTopAndBottom/>
            <wp:docPr id="7622139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13940" name="Picture 7622139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922A4" w14:textId="77777777" w:rsidR="00122B1A" w:rsidRDefault="00C16F5F">
      <w:pPr>
        <w:pStyle w:val="Heading3"/>
      </w:pPr>
      <w:r>
        <w:t>Panel A</w:t>
      </w:r>
    </w:p>
    <w:p w14:paraId="1212D8CE" w14:textId="77777777" w:rsidR="00122B1A" w:rsidRDefault="00C16F5F">
      <w:pPr>
        <w:ind w:firstLine="480"/>
      </w:pPr>
      <w:r>
        <w:t>Entanglement entropy scaling S(ℓ) as a function of depth ℓ for four network widths N = 64, 128, 256, 512. The entropy grows logarithmically as S ~ (1/2)log(N)log(ℓ), consistent with the area law for entanglement in 1D quantum systems.</w:t>
      </w:r>
    </w:p>
    <w:p w14:paraId="78140789" w14:textId="77777777" w:rsidR="00122B1A" w:rsidRDefault="00C16F5F">
      <w:pPr>
        <w:pStyle w:val="Heading3"/>
      </w:pPr>
      <w:r>
        <w:t>Panel B</w:t>
      </w:r>
    </w:p>
    <w:p w14:paraId="33721585" w14:textId="77777777" w:rsidR="00122B1A" w:rsidRDefault="00C16F5F">
      <w:pPr>
        <w:ind w:firstLine="480"/>
      </w:pPr>
      <w:r>
        <w:t>Area law vs. volume law comparison. For RG-principled architectures (dark green circles), entanglement entropy scales as S ~ log(L) (area law). For standard architectures (steel blue squares), entropy scales as S ~ L (volume law).</w:t>
      </w:r>
    </w:p>
    <w:p w14:paraId="3AB067CF" w14:textId="77777777" w:rsidR="00122B1A" w:rsidRDefault="00C16F5F">
      <w:pPr>
        <w:pStyle w:val="Heading3"/>
      </w:pPr>
      <w:r>
        <w:t>Panel C</w:t>
      </w:r>
    </w:p>
    <w:p w14:paraId="1C8B3789" w14:textId="77777777" w:rsidR="00122B1A" w:rsidRDefault="00C16F5F">
      <w:pPr>
        <w:ind w:firstLine="480"/>
      </w:pPr>
      <w:r>
        <w:t xml:space="preserve">Mutual information decay I(ℓ, ℓ') = S(ℓ) + S(ℓ') - S(ℓ, ℓ') as a function of spatial separation |ℓ - ℓ'|. The mutual information decays exponentially as I ~ </w:t>
      </w:r>
      <w:proofErr w:type="spellStart"/>
      <w:r>
        <w:t>exp</w:t>
      </w:r>
      <w:proofErr w:type="spellEnd"/>
      <w:r>
        <w:t>(-|ℓ - ℓ'|/ξ) with correlation length ξ that decreases with depth.</w:t>
      </w:r>
    </w:p>
    <w:p w14:paraId="23DE3340" w14:textId="77777777" w:rsidR="00122B1A" w:rsidRDefault="00C16F5F">
      <w:pPr>
        <w:pStyle w:val="Heading3"/>
      </w:pPr>
      <w:r>
        <w:t>Panel D</w:t>
      </w:r>
    </w:p>
    <w:p w14:paraId="1E60E5BC" w14:textId="77777777" w:rsidR="00122B1A" w:rsidRDefault="00C16F5F">
      <w:pPr>
        <w:ind w:firstLine="480"/>
      </w:pPr>
      <w:r>
        <w:t xml:space="preserve">Quantum circuit complexity C(ℓ) as a function of depth ℓ. Circuit complexity quantifies the minimum number of elementary gates required to prepare the representation at layer ℓ from </w:t>
      </w:r>
      <w:r>
        <w:lastRenderedPageBreak/>
        <w:t>the input. For RG-principled architectures, C grows as C ~ ℓ log(ℓ), while for standard architectures, C ~ ℓ^1.5.</w:t>
      </w:r>
    </w:p>
    <w:p w14:paraId="065A1BB7" w14:textId="77777777" w:rsidR="00122B1A" w:rsidRDefault="00C16F5F">
      <w:pPr>
        <w:pStyle w:val="Heading3"/>
      </w:pPr>
      <w:r>
        <w:t>Panel E</w:t>
      </w:r>
    </w:p>
    <w:p w14:paraId="49E5FAB8" w14:textId="77777777" w:rsidR="00122B1A" w:rsidRDefault="00C16F5F">
      <w:pPr>
        <w:ind w:firstLine="480"/>
      </w:pPr>
      <w:r>
        <w:t>Kolmogorov complexity proxy measured by compression ratio (compressed size / original size) as a function of depth. RG-principled architectures maintain lower complexity (compression ratio ≈ 0.3-0.4) compared to standard architectures (0.5-0.7).</w:t>
      </w:r>
    </w:p>
    <w:p w14:paraId="16D04A60" w14:textId="77777777" w:rsidR="00122B1A" w:rsidRDefault="00C16F5F">
      <w:pPr>
        <w:pStyle w:val="Heading3"/>
      </w:pPr>
      <w:r>
        <w:t>Panel F</w:t>
      </w:r>
    </w:p>
    <w:p w14:paraId="4FC1FD12" w14:textId="77777777" w:rsidR="00122B1A" w:rsidRDefault="00C16F5F">
      <w:pPr>
        <w:ind w:firstLine="480"/>
      </w:pPr>
      <w:r>
        <w:t xml:space="preserve">Effective rank evolution. The effective rank </w:t>
      </w:r>
      <w:proofErr w:type="spellStart"/>
      <w:r>
        <w:t>r_eff</w:t>
      </w:r>
      <w:proofErr w:type="spellEnd"/>
      <w:r>
        <w:t xml:space="preserve"> = </w:t>
      </w:r>
      <w:proofErr w:type="spellStart"/>
      <w:r>
        <w:t>exp</w:t>
      </w:r>
      <w:proofErr w:type="spellEnd"/>
      <w:r>
        <w:t>(</w:t>
      </w:r>
      <w:proofErr w:type="spellStart"/>
      <w:r>
        <w:t>S_vN</w:t>
      </w:r>
      <w:proofErr w:type="spellEnd"/>
      <w:r>
        <w:t xml:space="preserve">) where </w:t>
      </w:r>
      <w:proofErr w:type="spellStart"/>
      <w:r>
        <w:t>S_vN</w:t>
      </w:r>
      <w:proofErr w:type="spellEnd"/>
      <w:r>
        <w:t xml:space="preserve"> is the von Neumann entropy of the normalized singular value distribution. RG-principled architectures exhibit saturation at </w:t>
      </w:r>
      <w:proofErr w:type="spellStart"/>
      <w:r>
        <w:t>r_eff</w:t>
      </w:r>
      <w:proofErr w:type="spellEnd"/>
      <w:r>
        <w:t xml:space="preserve"> ≈ 50, while standard architectures saturate at </w:t>
      </w:r>
      <w:proofErr w:type="spellStart"/>
      <w:r>
        <w:t>r_eff</w:t>
      </w:r>
      <w:proofErr w:type="spellEnd"/>
      <w:r>
        <w:t xml:space="preserve"> ≈ 80.</w:t>
      </w:r>
    </w:p>
    <w:p w14:paraId="60167E38" w14:textId="77777777" w:rsidR="00122B1A" w:rsidRDefault="00C16F5F">
      <w:pPr>
        <w:pStyle w:val="Heading3"/>
      </w:pPr>
      <w:r>
        <w:t>Panel G</w:t>
      </w:r>
    </w:p>
    <w:p w14:paraId="59F50CA6" w14:textId="77777777" w:rsidR="00122B1A" w:rsidRDefault="00C16F5F">
      <w:pPr>
        <w:ind w:firstLine="480"/>
      </w:pPr>
      <w:proofErr w:type="spellStart"/>
      <w:r>
        <w:t>Renyi</w:t>
      </w:r>
      <w:proofErr w:type="spellEnd"/>
      <w:r>
        <w:t xml:space="preserve"> entropy spectrum S_α = (1/(1-α))log(</w:t>
      </w:r>
      <w:proofErr w:type="spellStart"/>
      <w:r>
        <w:t>Σp_i</w:t>
      </w:r>
      <w:proofErr w:type="spellEnd"/>
      <w:r>
        <w:t xml:space="preserve">^α) as a function of </w:t>
      </w:r>
      <w:proofErr w:type="spellStart"/>
      <w:r>
        <w:t>Renyi</w:t>
      </w:r>
      <w:proofErr w:type="spellEnd"/>
      <w:r>
        <w:t xml:space="preserve"> index α. For α = 1, the </w:t>
      </w:r>
      <w:proofErr w:type="spellStart"/>
      <w:r>
        <w:t>Renyi</w:t>
      </w:r>
      <w:proofErr w:type="spellEnd"/>
      <w:r>
        <w:t xml:space="preserve"> entropy reduces to the von Neumann entropy. The spectrum provides a fine-grained characterization of the entanglement structure.</w:t>
      </w:r>
    </w:p>
    <w:p w14:paraId="28F32222" w14:textId="77777777" w:rsidR="00122B1A" w:rsidRDefault="00C16F5F">
      <w:pPr>
        <w:pStyle w:val="Heading3"/>
      </w:pPr>
      <w:r>
        <w:t>Panel H</w:t>
      </w:r>
    </w:p>
    <w:p w14:paraId="1271466D" w14:textId="77777777" w:rsidR="00122B1A" w:rsidRDefault="00C16F5F">
      <w:pPr>
        <w:ind w:firstLine="480"/>
      </w:pPr>
      <w:r>
        <w:t xml:space="preserve">Topological entanglement entropy γ extracted from the scaling S = </w:t>
      </w:r>
      <w:proofErr w:type="spellStart"/>
      <w:r>
        <w:t>aL</w:t>
      </w:r>
      <w:proofErr w:type="spellEnd"/>
      <w:r>
        <w:t xml:space="preserve"> - γ of entanglement entropy with subsystem size L. The topological term γ = 1.2 ± 0.2 is independent of L and characterizes the global topological properties of the entanglement structure.</w:t>
      </w:r>
    </w:p>
    <w:p w14:paraId="1EA76F6F" w14:textId="77777777" w:rsidR="00122B1A" w:rsidRPr="0008697C" w:rsidRDefault="00C16F5F">
      <w:pPr>
        <w:pStyle w:val="Heading3"/>
      </w:pPr>
      <w:r w:rsidRPr="0008697C">
        <w:t>Panel I</w:t>
      </w:r>
    </w:p>
    <w:p w14:paraId="186AB2C5" w14:textId="77777777" w:rsidR="00122B1A" w:rsidRDefault="00C16F5F">
      <w:pPr>
        <w:ind w:firstLine="480"/>
      </w:pPr>
      <w:r>
        <w:t>Complexity-entropy relation. Circuit complexity C is plotted against entanglement entropy S for multiple network configurations. RG-principled architectures (dark green) lie below standard architectures (steel blue), indicating that they achieve the same entanglement with lower complexity.</w:t>
      </w:r>
    </w:p>
    <w:p w14:paraId="5058E0F2" w14:textId="77777777" w:rsidR="00122B1A" w:rsidRPr="00CA571F" w:rsidRDefault="00C16F5F" w:rsidP="00CA571F">
      <w:pPr>
        <w:rPr>
          <w:b/>
          <w:bCs/>
        </w:rPr>
      </w:pPr>
      <w:r w:rsidRPr="00CA571F">
        <w:rPr>
          <w:b/>
          <w:bCs/>
        </w:rPr>
        <w:t>Extended Data Tables</w:t>
      </w:r>
    </w:p>
    <w:p w14:paraId="7CBA7249" w14:textId="77777777" w:rsidR="00122B1A" w:rsidRPr="0008697C" w:rsidRDefault="00C16F5F" w:rsidP="00E31B11">
      <w:pPr>
        <w:rPr>
          <w:b/>
          <w:bCs/>
        </w:rPr>
      </w:pPr>
      <w:r w:rsidRPr="0008697C">
        <w:rPr>
          <w:b/>
          <w:bCs/>
        </w:rPr>
        <w:t>Extended Data Table 1 | Depth-Scaling Coefficients and Fit Quality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1890"/>
        <w:gridCol w:w="2309"/>
        <w:gridCol w:w="1889"/>
        <w:gridCol w:w="1469"/>
        <w:gridCol w:w="1469"/>
      </w:tblGrid>
      <w:tr w:rsidR="00122B1A" w14:paraId="78B51FD4" w14:textId="77777777">
        <w:trPr>
          <w:trHeight w:val="400"/>
          <w:tblHeader/>
        </w:trPr>
        <w:tc>
          <w:tcPr>
            <w:tcW w:w="18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7BF5A93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Width N</w:t>
            </w:r>
          </w:p>
        </w:tc>
        <w:tc>
          <w:tcPr>
            <w:tcW w:w="22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23027D37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ξ* (layers)</w:t>
            </w:r>
          </w:p>
        </w:tc>
        <w:tc>
          <w:tcPr>
            <w:tcW w:w="18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318A6938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ν</w:t>
            </w:r>
          </w:p>
        </w:tc>
        <w:tc>
          <w:tcPr>
            <w:tcW w:w="1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25F352B3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χ²</w:t>
            </w:r>
          </w:p>
        </w:tc>
        <w:tc>
          <w:tcPr>
            <w:tcW w:w="1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02B87034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R²</w:t>
            </w:r>
          </w:p>
        </w:tc>
      </w:tr>
      <w:tr w:rsidR="00122B1A" w14:paraId="508EC05F" w14:textId="77777777">
        <w:trPr>
          <w:trHeight w:val="360"/>
        </w:trPr>
        <w:tc>
          <w:tcPr>
            <w:tcW w:w="1800" w:type="dxa"/>
            <w:vAlign w:val="center"/>
          </w:tcPr>
          <w:p w14:paraId="5792F6E9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128</w:t>
            </w:r>
          </w:p>
        </w:tc>
        <w:tc>
          <w:tcPr>
            <w:tcW w:w="2200" w:type="dxa"/>
            <w:vAlign w:val="center"/>
          </w:tcPr>
          <w:p w14:paraId="3C1732D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15.20 ± 0.30</w:t>
            </w:r>
          </w:p>
        </w:tc>
        <w:tc>
          <w:tcPr>
            <w:tcW w:w="1800" w:type="dxa"/>
            <w:vAlign w:val="center"/>
          </w:tcPr>
          <w:p w14:paraId="6105648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1.02 ± 0.03</w:t>
            </w:r>
          </w:p>
        </w:tc>
        <w:tc>
          <w:tcPr>
            <w:tcW w:w="1400" w:type="dxa"/>
            <w:vAlign w:val="center"/>
          </w:tcPr>
          <w:p w14:paraId="26EE586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0.98</w:t>
            </w:r>
          </w:p>
        </w:tc>
        <w:tc>
          <w:tcPr>
            <w:tcW w:w="1400" w:type="dxa"/>
            <w:vAlign w:val="center"/>
          </w:tcPr>
          <w:p w14:paraId="20C2143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0.989</w:t>
            </w:r>
          </w:p>
        </w:tc>
      </w:tr>
      <w:tr w:rsidR="00122B1A" w14:paraId="7738CEFA" w14:textId="77777777">
        <w:trPr>
          <w:trHeight w:val="360"/>
        </w:trPr>
        <w:tc>
          <w:tcPr>
            <w:tcW w:w="1800" w:type="dxa"/>
            <w:vAlign w:val="center"/>
          </w:tcPr>
          <w:p w14:paraId="0F76EB69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256</w:t>
            </w:r>
          </w:p>
        </w:tc>
        <w:tc>
          <w:tcPr>
            <w:tcW w:w="2200" w:type="dxa"/>
            <w:vAlign w:val="center"/>
          </w:tcPr>
          <w:p w14:paraId="6031C80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15.84 ± 0.28</w:t>
            </w:r>
          </w:p>
        </w:tc>
        <w:tc>
          <w:tcPr>
            <w:tcW w:w="1800" w:type="dxa"/>
            <w:vAlign w:val="center"/>
          </w:tcPr>
          <w:p w14:paraId="70D386D0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1.05 ± 0.03</w:t>
            </w:r>
          </w:p>
        </w:tc>
        <w:tc>
          <w:tcPr>
            <w:tcW w:w="1400" w:type="dxa"/>
            <w:vAlign w:val="center"/>
          </w:tcPr>
          <w:p w14:paraId="7DE7C455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1.03</w:t>
            </w:r>
          </w:p>
        </w:tc>
        <w:tc>
          <w:tcPr>
            <w:tcW w:w="1400" w:type="dxa"/>
            <w:vAlign w:val="center"/>
          </w:tcPr>
          <w:p w14:paraId="3F63EAF0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0.987</w:t>
            </w:r>
          </w:p>
        </w:tc>
      </w:tr>
      <w:tr w:rsidR="00122B1A" w14:paraId="3C17CB97" w14:textId="77777777">
        <w:trPr>
          <w:trHeight w:val="360"/>
        </w:trPr>
        <w:tc>
          <w:tcPr>
            <w:tcW w:w="1800" w:type="dxa"/>
            <w:vAlign w:val="center"/>
          </w:tcPr>
          <w:p w14:paraId="59694C32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512</w:t>
            </w:r>
          </w:p>
        </w:tc>
        <w:tc>
          <w:tcPr>
            <w:tcW w:w="2200" w:type="dxa"/>
            <w:vAlign w:val="center"/>
          </w:tcPr>
          <w:p w14:paraId="379D124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16.36 ± 0.32</w:t>
            </w:r>
          </w:p>
        </w:tc>
        <w:tc>
          <w:tcPr>
            <w:tcW w:w="1800" w:type="dxa"/>
            <w:vAlign w:val="center"/>
          </w:tcPr>
          <w:p w14:paraId="1FD2E7C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1.00 ± 0.03</w:t>
            </w:r>
          </w:p>
        </w:tc>
        <w:tc>
          <w:tcPr>
            <w:tcW w:w="1400" w:type="dxa"/>
            <w:vAlign w:val="center"/>
          </w:tcPr>
          <w:p w14:paraId="7912FA7C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0.95</w:t>
            </w:r>
          </w:p>
        </w:tc>
        <w:tc>
          <w:tcPr>
            <w:tcW w:w="1400" w:type="dxa"/>
            <w:vAlign w:val="center"/>
          </w:tcPr>
          <w:p w14:paraId="6820598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0.991</w:t>
            </w:r>
          </w:p>
        </w:tc>
      </w:tr>
      <w:tr w:rsidR="00122B1A" w14:paraId="0DD662B2" w14:textId="77777777">
        <w:trPr>
          <w:trHeight w:val="360"/>
        </w:trPr>
        <w:tc>
          <w:tcPr>
            <w:tcW w:w="1800" w:type="dxa"/>
            <w:vAlign w:val="center"/>
          </w:tcPr>
          <w:p w14:paraId="77EA2C21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1024</w:t>
            </w:r>
          </w:p>
        </w:tc>
        <w:tc>
          <w:tcPr>
            <w:tcW w:w="2200" w:type="dxa"/>
            <w:vAlign w:val="center"/>
          </w:tcPr>
          <w:p w14:paraId="6DABEAB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16.76 ± 0.35</w:t>
            </w:r>
          </w:p>
        </w:tc>
        <w:tc>
          <w:tcPr>
            <w:tcW w:w="1800" w:type="dxa"/>
            <w:vAlign w:val="center"/>
          </w:tcPr>
          <w:p w14:paraId="7759657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1.01 ± 0.03</w:t>
            </w:r>
          </w:p>
        </w:tc>
        <w:tc>
          <w:tcPr>
            <w:tcW w:w="1400" w:type="dxa"/>
            <w:vAlign w:val="center"/>
          </w:tcPr>
          <w:p w14:paraId="3B97975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1.06</w:t>
            </w:r>
          </w:p>
        </w:tc>
        <w:tc>
          <w:tcPr>
            <w:tcW w:w="1400" w:type="dxa"/>
            <w:vAlign w:val="center"/>
          </w:tcPr>
          <w:p w14:paraId="41950B1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0.985</w:t>
            </w:r>
          </w:p>
        </w:tc>
      </w:tr>
      <w:tr w:rsidR="00122B1A" w14:paraId="7B66E0D8" w14:textId="77777777">
        <w:trPr>
          <w:trHeight w:val="360"/>
        </w:trPr>
        <w:tc>
          <w:tcPr>
            <w:tcW w:w="1800" w:type="dxa"/>
            <w:vAlign w:val="center"/>
          </w:tcPr>
          <w:p w14:paraId="74950022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lastRenderedPageBreak/>
              <w:t>2048</w:t>
            </w:r>
          </w:p>
        </w:tc>
        <w:tc>
          <w:tcPr>
            <w:tcW w:w="2200" w:type="dxa"/>
            <w:vAlign w:val="center"/>
          </w:tcPr>
          <w:p w14:paraId="1332FE68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17.08 ± 0.38</w:t>
            </w:r>
          </w:p>
        </w:tc>
        <w:tc>
          <w:tcPr>
            <w:tcW w:w="1800" w:type="dxa"/>
            <w:vAlign w:val="center"/>
          </w:tcPr>
          <w:p w14:paraId="26569E65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1.03 ± 0.03</w:t>
            </w:r>
          </w:p>
        </w:tc>
        <w:tc>
          <w:tcPr>
            <w:tcW w:w="1400" w:type="dxa"/>
            <w:vAlign w:val="center"/>
          </w:tcPr>
          <w:p w14:paraId="64074E8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1.02</w:t>
            </w:r>
          </w:p>
        </w:tc>
        <w:tc>
          <w:tcPr>
            <w:tcW w:w="1400" w:type="dxa"/>
            <w:vAlign w:val="center"/>
          </w:tcPr>
          <w:p w14:paraId="075C4F9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0.988</w:t>
            </w:r>
          </w:p>
        </w:tc>
      </w:tr>
    </w:tbl>
    <w:p w14:paraId="34CCC21E" w14:textId="77777777" w:rsidR="00122B1A" w:rsidRDefault="00C16F5F">
      <w:pPr>
        <w:pStyle w:val="Caption"/>
      </w:pPr>
      <w:r>
        <w:t xml:space="preserve">Correlation length ξ* and critical exponent ν extracted from exponential fits to correlation functions C(ℓ) ~ </w:t>
      </w:r>
      <w:proofErr w:type="spellStart"/>
      <w:r>
        <w:t>exp</w:t>
      </w:r>
      <w:proofErr w:type="spellEnd"/>
      <w:r>
        <w:t>(-ℓ/ξ*) for five network widths. The critical exponent ν = 1.02 ± 0.03 (weighted mean over all widths) is independent of width within error bars, confirming universality. Fit quality is quantified by reduced chi-squared χ² ≈ 1 and coefficient of determination R² &gt; 0.985.</w:t>
      </w:r>
    </w:p>
    <w:p w14:paraId="2E3FD849" w14:textId="77777777" w:rsidR="00122B1A" w:rsidRPr="00CA571F" w:rsidRDefault="00C16F5F" w:rsidP="00E31B11">
      <w:pPr>
        <w:rPr>
          <w:b/>
          <w:bCs/>
        </w:rPr>
      </w:pPr>
      <w:r w:rsidRPr="00CA571F">
        <w:rPr>
          <w:b/>
          <w:bCs/>
        </w:rPr>
        <w:t>Extended Data Table 2 | Fisher Metric Scaling Across Architectures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2043"/>
        <w:gridCol w:w="1573"/>
        <w:gridCol w:w="1799"/>
        <w:gridCol w:w="1834"/>
        <w:gridCol w:w="1777"/>
      </w:tblGrid>
      <w:tr w:rsidR="00122B1A" w14:paraId="3778B822" w14:textId="77777777">
        <w:trPr>
          <w:trHeight w:val="400"/>
          <w:tblHeader/>
        </w:trPr>
        <w:tc>
          <w:tcPr>
            <w:tcW w:w="22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25924C3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Architecture</w:t>
            </w:r>
          </w:p>
        </w:tc>
        <w:tc>
          <w:tcPr>
            <w:tcW w:w="18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0E4282E" w14:textId="77777777" w:rsidR="00122B1A" w:rsidRDefault="00C16F5F">
            <w:pPr>
              <w:spacing w:after="0"/>
              <w:jc w:val="center"/>
            </w:pPr>
            <w:proofErr w:type="spellStart"/>
            <w:r>
              <w:rPr>
                <w:b/>
                <w:color w:val="1E3A5F"/>
                <w:sz w:val="22"/>
              </w:rPr>
              <w:t>g_eff</w:t>
            </w:r>
            <w:proofErr w:type="spellEnd"/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BE6304C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 xml:space="preserve">Spectral Gap </w:t>
            </w:r>
            <w:proofErr w:type="spellStart"/>
            <w:r>
              <w:rPr>
                <w:b/>
                <w:color w:val="1E3A5F"/>
                <w:sz w:val="22"/>
              </w:rPr>
              <w:t>Δλ</w:t>
            </w:r>
            <w:proofErr w:type="spellEnd"/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8D7A74D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Condition Number κ</w:t>
            </w:r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343A310E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Trace Scaling α</w:t>
            </w:r>
          </w:p>
        </w:tc>
      </w:tr>
      <w:tr w:rsidR="00122B1A" w14:paraId="44414654" w14:textId="77777777">
        <w:trPr>
          <w:trHeight w:val="360"/>
        </w:trPr>
        <w:tc>
          <w:tcPr>
            <w:tcW w:w="2200" w:type="dxa"/>
            <w:vAlign w:val="center"/>
          </w:tcPr>
          <w:p w14:paraId="2D3CC639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Standard-ReLU</w:t>
            </w:r>
          </w:p>
        </w:tc>
        <w:tc>
          <w:tcPr>
            <w:tcW w:w="1800" w:type="dxa"/>
            <w:vAlign w:val="center"/>
          </w:tcPr>
          <w:p w14:paraId="0F8D3255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2.12 ± 0.08</w:t>
            </w:r>
          </w:p>
        </w:tc>
        <w:tc>
          <w:tcPr>
            <w:tcW w:w="2000" w:type="dxa"/>
            <w:vAlign w:val="center"/>
          </w:tcPr>
          <w:p w14:paraId="36D08E2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0.15 ± 0.02</w:t>
            </w:r>
          </w:p>
        </w:tc>
        <w:tc>
          <w:tcPr>
            <w:tcW w:w="2000" w:type="dxa"/>
            <w:vAlign w:val="center"/>
          </w:tcPr>
          <w:p w14:paraId="79E9DBCF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 × 10²</w:t>
            </w:r>
          </w:p>
        </w:tc>
        <w:tc>
          <w:tcPr>
            <w:tcW w:w="2000" w:type="dxa"/>
            <w:vAlign w:val="center"/>
          </w:tcPr>
          <w:p w14:paraId="1BA2812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1.82 ± 0.04</w:t>
            </w:r>
          </w:p>
        </w:tc>
      </w:tr>
      <w:tr w:rsidR="00122B1A" w14:paraId="21D5899F" w14:textId="77777777">
        <w:trPr>
          <w:trHeight w:val="360"/>
        </w:trPr>
        <w:tc>
          <w:tcPr>
            <w:tcW w:w="2200" w:type="dxa"/>
            <w:vAlign w:val="center"/>
          </w:tcPr>
          <w:p w14:paraId="1733CED9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Standard-</w:t>
            </w:r>
            <w:proofErr w:type="spellStart"/>
            <w:r>
              <w:rPr>
                <w:sz w:val="22"/>
              </w:rPr>
              <w:t>Tanh</w:t>
            </w:r>
            <w:proofErr w:type="spellEnd"/>
          </w:p>
        </w:tc>
        <w:tc>
          <w:tcPr>
            <w:tcW w:w="1800" w:type="dxa"/>
            <w:vAlign w:val="center"/>
          </w:tcPr>
          <w:p w14:paraId="39931580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2.42 ± 0.11</w:t>
            </w:r>
          </w:p>
        </w:tc>
        <w:tc>
          <w:tcPr>
            <w:tcW w:w="2000" w:type="dxa"/>
            <w:vAlign w:val="center"/>
          </w:tcPr>
          <w:p w14:paraId="5AACB1F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0.19 ± 0.02</w:t>
            </w:r>
          </w:p>
        </w:tc>
        <w:tc>
          <w:tcPr>
            <w:tcW w:w="2000" w:type="dxa"/>
            <w:vAlign w:val="center"/>
          </w:tcPr>
          <w:p w14:paraId="2E33D168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2.8 × 10²</w:t>
            </w:r>
          </w:p>
        </w:tc>
        <w:tc>
          <w:tcPr>
            <w:tcW w:w="2000" w:type="dxa"/>
            <w:vAlign w:val="center"/>
          </w:tcPr>
          <w:p w14:paraId="14F54E9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1.91 ± 0.05</w:t>
            </w:r>
          </w:p>
        </w:tc>
      </w:tr>
      <w:tr w:rsidR="00122B1A" w14:paraId="3BB286D4" w14:textId="77777777">
        <w:trPr>
          <w:trHeight w:val="360"/>
        </w:trPr>
        <w:tc>
          <w:tcPr>
            <w:tcW w:w="2200" w:type="dxa"/>
            <w:vAlign w:val="center"/>
          </w:tcPr>
          <w:p w14:paraId="180D4F2A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RG-Principled</w:t>
            </w:r>
          </w:p>
        </w:tc>
        <w:tc>
          <w:tcPr>
            <w:tcW w:w="1800" w:type="dxa"/>
            <w:vAlign w:val="center"/>
          </w:tcPr>
          <w:p w14:paraId="51A2ACC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2.68 ± 0.09</w:t>
            </w:r>
          </w:p>
        </w:tc>
        <w:tc>
          <w:tcPr>
            <w:tcW w:w="2000" w:type="dxa"/>
            <w:vAlign w:val="center"/>
          </w:tcPr>
          <w:p w14:paraId="68CB938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0.24 ± 0.02</w:t>
            </w:r>
          </w:p>
        </w:tc>
        <w:tc>
          <w:tcPr>
            <w:tcW w:w="2000" w:type="dxa"/>
            <w:vAlign w:val="center"/>
          </w:tcPr>
          <w:p w14:paraId="64E698B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3.5 × 10¹</w:t>
            </w:r>
          </w:p>
        </w:tc>
        <w:tc>
          <w:tcPr>
            <w:tcW w:w="2000" w:type="dxa"/>
            <w:vAlign w:val="center"/>
          </w:tcPr>
          <w:p w14:paraId="7D7CE6E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2.01 ± 0.04</w:t>
            </w:r>
          </w:p>
        </w:tc>
      </w:tr>
      <w:tr w:rsidR="00122B1A" w14:paraId="5FDCF572" w14:textId="77777777">
        <w:trPr>
          <w:trHeight w:val="360"/>
        </w:trPr>
        <w:tc>
          <w:tcPr>
            <w:tcW w:w="2200" w:type="dxa"/>
            <w:vAlign w:val="center"/>
          </w:tcPr>
          <w:p w14:paraId="4AEB504D" w14:textId="77777777" w:rsidR="00122B1A" w:rsidRDefault="00C16F5F">
            <w:pPr>
              <w:spacing w:after="0"/>
              <w:jc w:val="left"/>
            </w:pPr>
            <w:proofErr w:type="spellStart"/>
            <w:r>
              <w:rPr>
                <w:sz w:val="22"/>
              </w:rPr>
              <w:t>ResNet</w:t>
            </w:r>
            <w:proofErr w:type="spellEnd"/>
            <w:r>
              <w:rPr>
                <w:sz w:val="22"/>
              </w:rPr>
              <w:t>-like</w:t>
            </w:r>
          </w:p>
        </w:tc>
        <w:tc>
          <w:tcPr>
            <w:tcW w:w="1800" w:type="dxa"/>
            <w:vAlign w:val="center"/>
          </w:tcPr>
          <w:p w14:paraId="40747948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2.95 ± 0.12</w:t>
            </w:r>
          </w:p>
        </w:tc>
        <w:tc>
          <w:tcPr>
            <w:tcW w:w="2000" w:type="dxa"/>
            <w:vAlign w:val="center"/>
          </w:tcPr>
          <w:p w14:paraId="4F5D9AC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0.29 ± 0.03</w:t>
            </w:r>
          </w:p>
        </w:tc>
        <w:tc>
          <w:tcPr>
            <w:tcW w:w="2000" w:type="dxa"/>
            <w:vAlign w:val="center"/>
          </w:tcPr>
          <w:p w14:paraId="55083D3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8.2 × 10¹</w:t>
            </w:r>
          </w:p>
        </w:tc>
        <w:tc>
          <w:tcPr>
            <w:tcW w:w="2000" w:type="dxa"/>
            <w:vAlign w:val="center"/>
          </w:tcPr>
          <w:p w14:paraId="3820DD7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2.12 ± 0.06</w:t>
            </w:r>
          </w:p>
        </w:tc>
      </w:tr>
      <w:tr w:rsidR="00122B1A" w14:paraId="77799C98" w14:textId="77777777">
        <w:trPr>
          <w:trHeight w:val="360"/>
        </w:trPr>
        <w:tc>
          <w:tcPr>
            <w:tcW w:w="2200" w:type="dxa"/>
            <w:vAlign w:val="center"/>
          </w:tcPr>
          <w:p w14:paraId="3AC100BD" w14:textId="77777777" w:rsidR="00122B1A" w:rsidRDefault="00C16F5F">
            <w:pPr>
              <w:spacing w:after="0"/>
              <w:jc w:val="left"/>
            </w:pPr>
            <w:proofErr w:type="spellStart"/>
            <w:r>
              <w:rPr>
                <w:sz w:val="22"/>
              </w:rPr>
              <w:t>DenseNet</w:t>
            </w:r>
            <w:proofErr w:type="spellEnd"/>
            <w:r>
              <w:rPr>
                <w:sz w:val="22"/>
              </w:rPr>
              <w:t>-like</w:t>
            </w:r>
          </w:p>
        </w:tc>
        <w:tc>
          <w:tcPr>
            <w:tcW w:w="1800" w:type="dxa"/>
            <w:vAlign w:val="center"/>
          </w:tcPr>
          <w:p w14:paraId="194622D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3.21 ± 0.14</w:t>
            </w:r>
          </w:p>
        </w:tc>
        <w:tc>
          <w:tcPr>
            <w:tcW w:w="2000" w:type="dxa"/>
            <w:vAlign w:val="center"/>
          </w:tcPr>
          <w:p w14:paraId="32B32CD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0.34 ± 0.03</w:t>
            </w:r>
          </w:p>
        </w:tc>
        <w:tc>
          <w:tcPr>
            <w:tcW w:w="2000" w:type="dxa"/>
            <w:vAlign w:val="center"/>
          </w:tcPr>
          <w:p w14:paraId="1ECCA17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1.5 × 10²</w:t>
            </w:r>
          </w:p>
        </w:tc>
        <w:tc>
          <w:tcPr>
            <w:tcW w:w="2000" w:type="dxa"/>
            <w:vAlign w:val="center"/>
          </w:tcPr>
          <w:p w14:paraId="2B5BAFF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2.21 ± 0.07</w:t>
            </w:r>
          </w:p>
        </w:tc>
      </w:tr>
    </w:tbl>
    <w:p w14:paraId="0F797094" w14:textId="77777777" w:rsidR="00122B1A" w:rsidRDefault="00C16F5F">
      <w:pPr>
        <w:pStyle w:val="Caption"/>
      </w:pPr>
      <w:r>
        <w:t xml:space="preserve">Information-geometric quantities for five architecture classes. </w:t>
      </w:r>
      <w:proofErr w:type="spellStart"/>
      <w:r>
        <w:t>g_eff</w:t>
      </w:r>
      <w:proofErr w:type="spellEnd"/>
      <w:r>
        <w:t xml:space="preserve"> = </w:t>
      </w:r>
      <w:proofErr w:type="spellStart"/>
      <w:r>
        <w:t>Tr</w:t>
      </w:r>
      <w:proofErr w:type="spellEnd"/>
      <w:r>
        <w:t>(</w:t>
      </w:r>
      <w:proofErr w:type="spellStart"/>
      <w:r>
        <w:t>g_L</w:t>
      </w:r>
      <w:proofErr w:type="spellEnd"/>
      <w:r>
        <w:t xml:space="preserve">)/N is the effective coupling at final layer L = 100. Spectral Gap </w:t>
      </w:r>
      <w:proofErr w:type="spellStart"/>
      <w:r>
        <w:t>Δλ</w:t>
      </w:r>
      <w:proofErr w:type="spellEnd"/>
      <w:r>
        <w:t xml:space="preserve"> measures the separation between the two largest eigenvalues. Condition Number κ quantifies numerical conditioning. Trace Scaling α is the exponent in </w:t>
      </w:r>
      <w:proofErr w:type="spellStart"/>
      <w:r>
        <w:t>Tr</w:t>
      </w:r>
      <w:proofErr w:type="spellEnd"/>
      <w:r>
        <w:t>(g_ℓ) ~ ℓ^α.</w:t>
      </w:r>
    </w:p>
    <w:p w14:paraId="40E08CE5" w14:textId="77777777" w:rsidR="00122B1A" w:rsidRPr="00CA571F" w:rsidRDefault="00C16F5F" w:rsidP="00CA571F">
      <w:pPr>
        <w:rPr>
          <w:b/>
          <w:bCs/>
        </w:rPr>
      </w:pPr>
      <w:r w:rsidRPr="00CA571F">
        <w:rPr>
          <w:b/>
          <w:bCs/>
        </w:rPr>
        <w:t>Extended Data Table 3 | Critical Exponents and Universality Class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1859"/>
        <w:gridCol w:w="1638"/>
        <w:gridCol w:w="1384"/>
        <w:gridCol w:w="1820"/>
        <w:gridCol w:w="2325"/>
      </w:tblGrid>
      <w:tr w:rsidR="00122B1A" w14:paraId="117D1CA0" w14:textId="77777777">
        <w:trPr>
          <w:trHeight w:val="400"/>
          <w:tblHeader/>
        </w:trPr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018A10B3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Exponent</w:t>
            </w:r>
          </w:p>
        </w:tc>
        <w:tc>
          <w:tcPr>
            <w:tcW w:w="18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28AF5EE6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Measured Value</w:t>
            </w:r>
          </w:p>
        </w:tc>
        <w:tc>
          <w:tcPr>
            <w:tcW w:w="16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AD8560D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Std. Error</w:t>
            </w:r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086A146B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Theoretical Value</w:t>
            </w:r>
          </w:p>
        </w:tc>
        <w:tc>
          <w:tcPr>
            <w:tcW w:w="26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89E06F0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Physical Interpretation</w:t>
            </w:r>
          </w:p>
        </w:tc>
      </w:tr>
      <w:tr w:rsidR="00122B1A" w14:paraId="6BE51D03" w14:textId="77777777">
        <w:trPr>
          <w:trHeight w:val="360"/>
        </w:trPr>
        <w:tc>
          <w:tcPr>
            <w:tcW w:w="2000" w:type="dxa"/>
            <w:vAlign w:val="center"/>
          </w:tcPr>
          <w:p w14:paraId="07BFEE23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Order Parameter β</w:t>
            </w:r>
          </w:p>
        </w:tc>
        <w:tc>
          <w:tcPr>
            <w:tcW w:w="1800" w:type="dxa"/>
            <w:vAlign w:val="center"/>
          </w:tcPr>
          <w:p w14:paraId="691F572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0.326</w:t>
            </w:r>
          </w:p>
        </w:tc>
        <w:tc>
          <w:tcPr>
            <w:tcW w:w="1600" w:type="dxa"/>
            <w:vAlign w:val="center"/>
          </w:tcPr>
          <w:p w14:paraId="72606ED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0.012</w:t>
            </w:r>
          </w:p>
        </w:tc>
        <w:tc>
          <w:tcPr>
            <w:tcW w:w="2000" w:type="dxa"/>
            <w:vAlign w:val="center"/>
          </w:tcPr>
          <w:p w14:paraId="7888A32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0.333</w:t>
            </w:r>
          </w:p>
        </w:tc>
        <w:tc>
          <w:tcPr>
            <w:tcW w:w="2600" w:type="dxa"/>
            <w:vAlign w:val="center"/>
          </w:tcPr>
          <w:p w14:paraId="2CE86E88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Mean-field universality</w:t>
            </w:r>
          </w:p>
        </w:tc>
      </w:tr>
      <w:tr w:rsidR="00122B1A" w14:paraId="67105DB1" w14:textId="77777777">
        <w:trPr>
          <w:trHeight w:val="360"/>
        </w:trPr>
        <w:tc>
          <w:tcPr>
            <w:tcW w:w="2000" w:type="dxa"/>
            <w:vAlign w:val="center"/>
          </w:tcPr>
          <w:p w14:paraId="4F96F27A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Correlation Length ν</w:t>
            </w:r>
          </w:p>
        </w:tc>
        <w:tc>
          <w:tcPr>
            <w:tcW w:w="1800" w:type="dxa"/>
            <w:vAlign w:val="center"/>
          </w:tcPr>
          <w:p w14:paraId="6CE10BD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1.02</w:t>
            </w:r>
          </w:p>
        </w:tc>
        <w:tc>
          <w:tcPr>
            <w:tcW w:w="1600" w:type="dxa"/>
            <w:vAlign w:val="center"/>
          </w:tcPr>
          <w:p w14:paraId="1090D31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0.04</w:t>
            </w:r>
          </w:p>
        </w:tc>
        <w:tc>
          <w:tcPr>
            <w:tcW w:w="2000" w:type="dxa"/>
            <w:vAlign w:val="center"/>
          </w:tcPr>
          <w:p w14:paraId="1EFEB68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1.0</w:t>
            </w:r>
          </w:p>
        </w:tc>
        <w:tc>
          <w:tcPr>
            <w:tcW w:w="2600" w:type="dxa"/>
            <w:vAlign w:val="center"/>
          </w:tcPr>
          <w:p w14:paraId="2CAC3F9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RG prediction</w:t>
            </w:r>
          </w:p>
        </w:tc>
      </w:tr>
      <w:tr w:rsidR="00122B1A" w14:paraId="11531ED6" w14:textId="77777777">
        <w:trPr>
          <w:trHeight w:val="360"/>
        </w:trPr>
        <w:tc>
          <w:tcPr>
            <w:tcW w:w="2000" w:type="dxa"/>
            <w:vAlign w:val="center"/>
          </w:tcPr>
          <w:p w14:paraId="79E74755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Susceptibility γ</w:t>
            </w:r>
          </w:p>
        </w:tc>
        <w:tc>
          <w:tcPr>
            <w:tcW w:w="1800" w:type="dxa"/>
            <w:vAlign w:val="center"/>
          </w:tcPr>
          <w:p w14:paraId="38A887A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1.24</w:t>
            </w:r>
          </w:p>
        </w:tc>
        <w:tc>
          <w:tcPr>
            <w:tcW w:w="1600" w:type="dxa"/>
            <w:vAlign w:val="center"/>
          </w:tcPr>
          <w:p w14:paraId="3468202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0.08</w:t>
            </w:r>
          </w:p>
        </w:tc>
        <w:tc>
          <w:tcPr>
            <w:tcW w:w="2000" w:type="dxa"/>
            <w:vAlign w:val="center"/>
          </w:tcPr>
          <w:p w14:paraId="19A64AE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1.25</w:t>
            </w:r>
          </w:p>
        </w:tc>
        <w:tc>
          <w:tcPr>
            <w:tcW w:w="2600" w:type="dxa"/>
            <w:vAlign w:val="center"/>
          </w:tcPr>
          <w:p w14:paraId="1B93D4B0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Scaling relation</w:t>
            </w:r>
          </w:p>
        </w:tc>
      </w:tr>
      <w:tr w:rsidR="00122B1A" w14:paraId="09552AC8" w14:textId="77777777">
        <w:trPr>
          <w:trHeight w:val="360"/>
        </w:trPr>
        <w:tc>
          <w:tcPr>
            <w:tcW w:w="2000" w:type="dxa"/>
            <w:vAlign w:val="center"/>
          </w:tcPr>
          <w:p w14:paraId="3CD2A260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Specific Heat α</w:t>
            </w:r>
          </w:p>
        </w:tc>
        <w:tc>
          <w:tcPr>
            <w:tcW w:w="1800" w:type="dxa"/>
            <w:vAlign w:val="center"/>
          </w:tcPr>
          <w:p w14:paraId="77AC244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0.11</w:t>
            </w:r>
          </w:p>
        </w:tc>
        <w:tc>
          <w:tcPr>
            <w:tcW w:w="1600" w:type="dxa"/>
            <w:vAlign w:val="center"/>
          </w:tcPr>
          <w:p w14:paraId="21F884BF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0.06</w:t>
            </w:r>
          </w:p>
        </w:tc>
        <w:tc>
          <w:tcPr>
            <w:tcW w:w="2000" w:type="dxa"/>
            <w:vAlign w:val="center"/>
          </w:tcPr>
          <w:p w14:paraId="56095BD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</w:t>
            </w:r>
          </w:p>
        </w:tc>
        <w:tc>
          <w:tcPr>
            <w:tcW w:w="2600" w:type="dxa"/>
            <w:vAlign w:val="center"/>
          </w:tcPr>
          <w:p w14:paraId="401539BF" w14:textId="77777777" w:rsidR="00122B1A" w:rsidRDefault="00C16F5F">
            <w:pPr>
              <w:spacing w:after="0"/>
              <w:jc w:val="center"/>
            </w:pPr>
            <w:proofErr w:type="spellStart"/>
            <w:r>
              <w:rPr>
                <w:sz w:val="22"/>
              </w:rPr>
              <w:t>Hyperscaling</w:t>
            </w:r>
            <w:proofErr w:type="spellEnd"/>
          </w:p>
        </w:tc>
      </w:tr>
      <w:tr w:rsidR="00122B1A" w14:paraId="691B24CD" w14:textId="77777777">
        <w:trPr>
          <w:trHeight w:val="360"/>
        </w:trPr>
        <w:tc>
          <w:tcPr>
            <w:tcW w:w="2000" w:type="dxa"/>
            <w:vAlign w:val="center"/>
          </w:tcPr>
          <w:p w14:paraId="2356FEB1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Anomalous Dimension η</w:t>
            </w:r>
          </w:p>
        </w:tc>
        <w:tc>
          <w:tcPr>
            <w:tcW w:w="1800" w:type="dxa"/>
            <w:vAlign w:val="center"/>
          </w:tcPr>
          <w:p w14:paraId="5B75A37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0.03</w:t>
            </w:r>
          </w:p>
        </w:tc>
        <w:tc>
          <w:tcPr>
            <w:tcW w:w="1600" w:type="dxa"/>
            <w:vAlign w:val="center"/>
          </w:tcPr>
          <w:p w14:paraId="4B0C0968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0.02</w:t>
            </w:r>
          </w:p>
        </w:tc>
        <w:tc>
          <w:tcPr>
            <w:tcW w:w="2000" w:type="dxa"/>
            <w:vAlign w:val="center"/>
          </w:tcPr>
          <w:p w14:paraId="27D1AF1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</w:t>
            </w:r>
          </w:p>
        </w:tc>
        <w:tc>
          <w:tcPr>
            <w:tcW w:w="2600" w:type="dxa"/>
            <w:vAlign w:val="center"/>
          </w:tcPr>
          <w:p w14:paraId="3236530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Gaussian fixed point</w:t>
            </w:r>
          </w:p>
        </w:tc>
      </w:tr>
    </w:tbl>
    <w:p w14:paraId="515FCBB3" w14:textId="77777777" w:rsidR="00122B1A" w:rsidRDefault="00C16F5F">
      <w:pPr>
        <w:pStyle w:val="Caption"/>
      </w:pPr>
      <w:r>
        <w:lastRenderedPageBreak/>
        <w:t>Critical exponents characterizing the phase transition in deep neural networks, compared with theoretical predictions from renormalization group analysis. All exponents were extracted using multiple independent methods and results were averaged.</w:t>
      </w:r>
    </w:p>
    <w:p w14:paraId="63167C33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 xml:space="preserve">Extended Data Table 4 | </w:t>
      </w:r>
      <w:proofErr w:type="spellStart"/>
      <w:r w:rsidRPr="00E72DE3">
        <w:rPr>
          <w:b/>
          <w:bCs/>
        </w:rPr>
        <w:t>Hyperparameter</w:t>
      </w:r>
      <w:proofErr w:type="spellEnd"/>
      <w:r w:rsidRPr="00E72DE3">
        <w:rPr>
          <w:b/>
          <w:bCs/>
        </w:rPr>
        <w:t xml:space="preserve"> Sensitivity Analysis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2286"/>
        <w:gridCol w:w="2461"/>
        <w:gridCol w:w="2129"/>
        <w:gridCol w:w="2150"/>
      </w:tblGrid>
      <w:tr w:rsidR="00122B1A" w14:paraId="54943D06" w14:textId="77777777">
        <w:trPr>
          <w:trHeight w:val="400"/>
          <w:tblHeader/>
        </w:trPr>
        <w:tc>
          <w:tcPr>
            <w:tcW w:w="2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70A79920" w14:textId="77777777" w:rsidR="00122B1A" w:rsidRDefault="00C16F5F">
            <w:pPr>
              <w:spacing w:after="0"/>
              <w:jc w:val="center"/>
            </w:pPr>
            <w:proofErr w:type="spellStart"/>
            <w:r>
              <w:rPr>
                <w:b/>
                <w:color w:val="1E3A5F"/>
                <w:sz w:val="22"/>
              </w:rPr>
              <w:t>Hyperparameter</w:t>
            </w:r>
            <w:proofErr w:type="spellEnd"/>
          </w:p>
        </w:tc>
        <w:tc>
          <w:tcPr>
            <w:tcW w:w="28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8AA5057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RG-Principled Range</w:t>
            </w:r>
          </w:p>
        </w:tc>
        <w:tc>
          <w:tcPr>
            <w:tcW w:w="2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8D91336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Standard Range</w:t>
            </w:r>
          </w:p>
        </w:tc>
        <w:tc>
          <w:tcPr>
            <w:tcW w:w="2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AC2F740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Sensitivity Ratio</w:t>
            </w:r>
          </w:p>
        </w:tc>
      </w:tr>
      <w:tr w:rsidR="00122B1A" w14:paraId="33D2BB27" w14:textId="77777777">
        <w:trPr>
          <w:trHeight w:val="360"/>
        </w:trPr>
        <w:tc>
          <w:tcPr>
            <w:tcW w:w="2400" w:type="dxa"/>
            <w:vAlign w:val="center"/>
          </w:tcPr>
          <w:p w14:paraId="55F5E2CC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Learning Rate</w:t>
            </w:r>
          </w:p>
        </w:tc>
        <w:tc>
          <w:tcPr>
            <w:tcW w:w="2800" w:type="dxa"/>
            <w:vAlign w:val="center"/>
          </w:tcPr>
          <w:p w14:paraId="550AA13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10^(-3.5) - 10^(-1.5)</w:t>
            </w:r>
          </w:p>
        </w:tc>
        <w:tc>
          <w:tcPr>
            <w:tcW w:w="2400" w:type="dxa"/>
            <w:vAlign w:val="center"/>
          </w:tcPr>
          <w:p w14:paraId="13D7DDE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10^(-3.2) - 10^(-2.3)</w:t>
            </w:r>
          </w:p>
        </w:tc>
        <w:tc>
          <w:tcPr>
            <w:tcW w:w="2400" w:type="dxa"/>
            <w:vAlign w:val="center"/>
          </w:tcPr>
          <w:p w14:paraId="5B67AFD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3.2× wider</w:t>
            </w:r>
          </w:p>
        </w:tc>
      </w:tr>
      <w:tr w:rsidR="00122B1A" w14:paraId="6D3FDFA9" w14:textId="77777777">
        <w:trPr>
          <w:trHeight w:val="360"/>
        </w:trPr>
        <w:tc>
          <w:tcPr>
            <w:tcW w:w="2400" w:type="dxa"/>
            <w:vAlign w:val="center"/>
          </w:tcPr>
          <w:p w14:paraId="3662A966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Initialization Scale</w:t>
            </w:r>
          </w:p>
        </w:tc>
        <w:tc>
          <w:tcPr>
            <w:tcW w:w="2800" w:type="dxa"/>
            <w:vAlign w:val="center"/>
          </w:tcPr>
          <w:p w14:paraId="02098CE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0.5 - 2.0</w:t>
            </w:r>
          </w:p>
        </w:tc>
        <w:tc>
          <w:tcPr>
            <w:tcW w:w="2400" w:type="dxa"/>
            <w:vAlign w:val="center"/>
          </w:tcPr>
          <w:p w14:paraId="436FC53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0.8 - 1.2</w:t>
            </w:r>
          </w:p>
        </w:tc>
        <w:tc>
          <w:tcPr>
            <w:tcW w:w="2400" w:type="dxa"/>
            <w:vAlign w:val="center"/>
          </w:tcPr>
          <w:p w14:paraId="31ED075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3.8× wider</w:t>
            </w:r>
          </w:p>
        </w:tc>
      </w:tr>
      <w:tr w:rsidR="00122B1A" w14:paraId="708E2460" w14:textId="77777777">
        <w:trPr>
          <w:trHeight w:val="360"/>
        </w:trPr>
        <w:tc>
          <w:tcPr>
            <w:tcW w:w="2400" w:type="dxa"/>
            <w:vAlign w:val="center"/>
          </w:tcPr>
          <w:p w14:paraId="467439AD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Batch Size</w:t>
            </w:r>
          </w:p>
        </w:tc>
        <w:tc>
          <w:tcPr>
            <w:tcW w:w="2800" w:type="dxa"/>
            <w:vAlign w:val="center"/>
          </w:tcPr>
          <w:p w14:paraId="73D56F3F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16 - 512</w:t>
            </w:r>
          </w:p>
        </w:tc>
        <w:tc>
          <w:tcPr>
            <w:tcW w:w="2400" w:type="dxa"/>
            <w:vAlign w:val="center"/>
          </w:tcPr>
          <w:p w14:paraId="5E19B61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32 - 128</w:t>
            </w:r>
          </w:p>
        </w:tc>
        <w:tc>
          <w:tcPr>
            <w:tcW w:w="2400" w:type="dxa"/>
            <w:vAlign w:val="center"/>
          </w:tcPr>
          <w:p w14:paraId="1B6AF03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4.0× wider</w:t>
            </w:r>
          </w:p>
        </w:tc>
      </w:tr>
      <w:tr w:rsidR="00122B1A" w14:paraId="6EE95BDF" w14:textId="77777777">
        <w:trPr>
          <w:trHeight w:val="360"/>
        </w:trPr>
        <w:tc>
          <w:tcPr>
            <w:tcW w:w="2400" w:type="dxa"/>
            <w:vAlign w:val="center"/>
          </w:tcPr>
          <w:p w14:paraId="18167223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Weight Decay</w:t>
            </w:r>
          </w:p>
        </w:tc>
        <w:tc>
          <w:tcPr>
            <w:tcW w:w="2800" w:type="dxa"/>
            <w:vAlign w:val="center"/>
          </w:tcPr>
          <w:p w14:paraId="3025548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10^(-5) - 10^(-3)</w:t>
            </w:r>
          </w:p>
        </w:tc>
        <w:tc>
          <w:tcPr>
            <w:tcW w:w="2400" w:type="dxa"/>
            <w:vAlign w:val="center"/>
          </w:tcPr>
          <w:p w14:paraId="232962A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10^(-4.5) - 10^(-3.5)</w:t>
            </w:r>
          </w:p>
        </w:tc>
        <w:tc>
          <w:tcPr>
            <w:tcW w:w="2400" w:type="dxa"/>
            <w:vAlign w:val="center"/>
          </w:tcPr>
          <w:p w14:paraId="05BAEB8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3.2× wider</w:t>
            </w:r>
          </w:p>
        </w:tc>
      </w:tr>
      <w:tr w:rsidR="00122B1A" w14:paraId="05A4D812" w14:textId="77777777">
        <w:trPr>
          <w:trHeight w:val="360"/>
        </w:trPr>
        <w:tc>
          <w:tcPr>
            <w:tcW w:w="2400" w:type="dxa"/>
            <w:vAlign w:val="center"/>
          </w:tcPr>
          <w:p w14:paraId="09767A11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Dropout Rate</w:t>
            </w:r>
          </w:p>
        </w:tc>
        <w:tc>
          <w:tcPr>
            <w:tcW w:w="2800" w:type="dxa"/>
            <w:vAlign w:val="center"/>
          </w:tcPr>
          <w:p w14:paraId="2135A1F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0.0 - 0.5</w:t>
            </w:r>
          </w:p>
        </w:tc>
        <w:tc>
          <w:tcPr>
            <w:tcW w:w="2400" w:type="dxa"/>
            <w:vAlign w:val="center"/>
          </w:tcPr>
          <w:p w14:paraId="2194292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0.1 - 0.3</w:t>
            </w:r>
          </w:p>
        </w:tc>
        <w:tc>
          <w:tcPr>
            <w:tcW w:w="2400" w:type="dxa"/>
            <w:vAlign w:val="center"/>
          </w:tcPr>
          <w:p w14:paraId="4BFB602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2.5× wider</w:t>
            </w:r>
          </w:p>
        </w:tc>
      </w:tr>
    </w:tbl>
    <w:p w14:paraId="2001CF7B" w14:textId="77777777" w:rsidR="00122B1A" w:rsidRDefault="00C16F5F">
      <w:pPr>
        <w:pStyle w:val="Caption"/>
      </w:pPr>
      <w:r>
        <w:t xml:space="preserve">Robustness analysis quantifying the range of </w:t>
      </w:r>
      <w:proofErr w:type="spellStart"/>
      <w:r>
        <w:t>hyperparameter</w:t>
      </w:r>
      <w:proofErr w:type="spellEnd"/>
      <w:r>
        <w:t xml:space="preserve"> values that achieve within 1% of optimal test accuracy. RG-principled architectures exhibit 2.5-4.0× wider acceptable ranges across all </w:t>
      </w:r>
      <w:proofErr w:type="spellStart"/>
      <w:r>
        <w:t>hyperparameters</w:t>
      </w:r>
      <w:proofErr w:type="spellEnd"/>
      <w:r>
        <w:t>.</w:t>
      </w:r>
    </w:p>
    <w:p w14:paraId="00816A38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Extended Data Table 5 | Computational Efficiency Metrics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2824"/>
        <w:gridCol w:w="2157"/>
        <w:gridCol w:w="2136"/>
        <w:gridCol w:w="1909"/>
      </w:tblGrid>
      <w:tr w:rsidR="00122B1A" w14:paraId="691B0BD5" w14:textId="77777777">
        <w:trPr>
          <w:trHeight w:val="400"/>
          <w:tblHeader/>
        </w:trPr>
        <w:tc>
          <w:tcPr>
            <w:tcW w:w="32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7FD49339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Metric</w:t>
            </w:r>
          </w:p>
        </w:tc>
        <w:tc>
          <w:tcPr>
            <w:tcW w:w="2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920EA58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RG-Principled</w:t>
            </w:r>
          </w:p>
        </w:tc>
        <w:tc>
          <w:tcPr>
            <w:tcW w:w="24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ECB01EB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Standard</w:t>
            </w:r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D1566F1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Improvement</w:t>
            </w:r>
          </w:p>
        </w:tc>
      </w:tr>
      <w:tr w:rsidR="00122B1A" w14:paraId="6A48B3E7" w14:textId="77777777">
        <w:trPr>
          <w:trHeight w:val="360"/>
        </w:trPr>
        <w:tc>
          <w:tcPr>
            <w:tcW w:w="3200" w:type="dxa"/>
            <w:vAlign w:val="center"/>
          </w:tcPr>
          <w:p w14:paraId="4DA1D3F4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 xml:space="preserve">Training Time (epochs to 95% </w:t>
            </w:r>
            <w:proofErr w:type="spellStart"/>
            <w:r>
              <w:rPr>
                <w:sz w:val="22"/>
              </w:rPr>
              <w:t>acc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2400" w:type="dxa"/>
            <w:vAlign w:val="center"/>
          </w:tcPr>
          <w:p w14:paraId="544D0ED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82 ± 5</w:t>
            </w:r>
          </w:p>
        </w:tc>
        <w:tc>
          <w:tcPr>
            <w:tcW w:w="2400" w:type="dxa"/>
            <w:vAlign w:val="center"/>
          </w:tcPr>
          <w:p w14:paraId="2B3FD1E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127 ± 8</w:t>
            </w:r>
          </w:p>
        </w:tc>
        <w:tc>
          <w:tcPr>
            <w:tcW w:w="2000" w:type="dxa"/>
            <w:vAlign w:val="center"/>
          </w:tcPr>
          <w:p w14:paraId="4A639B4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1.55× faster</w:t>
            </w:r>
          </w:p>
        </w:tc>
      </w:tr>
      <w:tr w:rsidR="00122B1A" w14:paraId="20C49828" w14:textId="77777777">
        <w:trPr>
          <w:trHeight w:val="360"/>
        </w:trPr>
        <w:tc>
          <w:tcPr>
            <w:tcW w:w="3200" w:type="dxa"/>
            <w:vAlign w:val="center"/>
          </w:tcPr>
          <w:p w14:paraId="022A9F34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FLOPs per Forward Pass</w:t>
            </w:r>
          </w:p>
        </w:tc>
        <w:tc>
          <w:tcPr>
            <w:tcW w:w="2400" w:type="dxa"/>
            <w:vAlign w:val="center"/>
          </w:tcPr>
          <w:p w14:paraId="382A522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 × 10⁹</w:t>
            </w:r>
          </w:p>
        </w:tc>
        <w:tc>
          <w:tcPr>
            <w:tcW w:w="2400" w:type="dxa"/>
            <w:vAlign w:val="center"/>
          </w:tcPr>
          <w:p w14:paraId="4A9E67D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1.5 × 10⁹</w:t>
            </w:r>
          </w:p>
        </w:tc>
        <w:tc>
          <w:tcPr>
            <w:tcW w:w="2000" w:type="dxa"/>
            <w:vAlign w:val="center"/>
          </w:tcPr>
          <w:p w14:paraId="3A03043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1.25× fewer</w:t>
            </w:r>
          </w:p>
        </w:tc>
      </w:tr>
      <w:tr w:rsidR="00122B1A" w14:paraId="6E9EB2BF" w14:textId="77777777">
        <w:trPr>
          <w:trHeight w:val="360"/>
        </w:trPr>
        <w:tc>
          <w:tcPr>
            <w:tcW w:w="3200" w:type="dxa"/>
            <w:vAlign w:val="center"/>
          </w:tcPr>
          <w:p w14:paraId="310DED88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Memory Footprint (MB)</w:t>
            </w:r>
          </w:p>
        </w:tc>
        <w:tc>
          <w:tcPr>
            <w:tcW w:w="2400" w:type="dxa"/>
            <w:vAlign w:val="center"/>
          </w:tcPr>
          <w:p w14:paraId="7E5E3A5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245</w:t>
            </w:r>
          </w:p>
        </w:tc>
        <w:tc>
          <w:tcPr>
            <w:tcW w:w="2400" w:type="dxa"/>
            <w:vAlign w:val="center"/>
          </w:tcPr>
          <w:p w14:paraId="7FF0334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312</w:t>
            </w:r>
          </w:p>
        </w:tc>
        <w:tc>
          <w:tcPr>
            <w:tcW w:w="2000" w:type="dxa"/>
            <w:vAlign w:val="center"/>
          </w:tcPr>
          <w:p w14:paraId="3CED172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1.27× smaller</w:t>
            </w:r>
          </w:p>
        </w:tc>
      </w:tr>
      <w:tr w:rsidR="00122B1A" w14:paraId="443194E7" w14:textId="77777777">
        <w:trPr>
          <w:trHeight w:val="360"/>
        </w:trPr>
        <w:tc>
          <w:tcPr>
            <w:tcW w:w="3200" w:type="dxa"/>
            <w:vAlign w:val="center"/>
          </w:tcPr>
          <w:p w14:paraId="593C3954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Gradient Norm Stability (σ/μ)</w:t>
            </w:r>
          </w:p>
        </w:tc>
        <w:tc>
          <w:tcPr>
            <w:tcW w:w="2400" w:type="dxa"/>
            <w:vAlign w:val="center"/>
          </w:tcPr>
          <w:p w14:paraId="7670339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0.15</w:t>
            </w:r>
          </w:p>
        </w:tc>
        <w:tc>
          <w:tcPr>
            <w:tcW w:w="2400" w:type="dxa"/>
            <w:vAlign w:val="center"/>
          </w:tcPr>
          <w:p w14:paraId="49780D2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0.48</w:t>
            </w:r>
          </w:p>
        </w:tc>
        <w:tc>
          <w:tcPr>
            <w:tcW w:w="2000" w:type="dxa"/>
            <w:vAlign w:val="center"/>
          </w:tcPr>
          <w:p w14:paraId="1D9DA78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3.2× more stable</w:t>
            </w:r>
          </w:p>
        </w:tc>
      </w:tr>
      <w:tr w:rsidR="00122B1A" w14:paraId="20AC983F" w14:textId="77777777">
        <w:trPr>
          <w:trHeight w:val="360"/>
        </w:trPr>
        <w:tc>
          <w:tcPr>
            <w:tcW w:w="3200" w:type="dxa"/>
            <w:vAlign w:val="center"/>
          </w:tcPr>
          <w:p w14:paraId="3D2A431A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Convergence Rate (loss decay)</w:t>
            </w:r>
          </w:p>
        </w:tc>
        <w:tc>
          <w:tcPr>
            <w:tcW w:w="2400" w:type="dxa"/>
            <w:vAlign w:val="center"/>
          </w:tcPr>
          <w:p w14:paraId="195D067A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0.033</w:t>
            </w:r>
          </w:p>
        </w:tc>
        <w:tc>
          <w:tcPr>
            <w:tcW w:w="2400" w:type="dxa"/>
            <w:vAlign w:val="center"/>
          </w:tcPr>
          <w:p w14:paraId="20CE3B7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0.025</w:t>
            </w:r>
          </w:p>
        </w:tc>
        <w:tc>
          <w:tcPr>
            <w:tcW w:w="2000" w:type="dxa"/>
            <w:vAlign w:val="center"/>
          </w:tcPr>
          <w:p w14:paraId="22CCAA4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1.32× faster</w:t>
            </w:r>
          </w:p>
        </w:tc>
      </w:tr>
    </w:tbl>
    <w:p w14:paraId="18595C71" w14:textId="77777777" w:rsidR="00122B1A" w:rsidRDefault="00C16F5F">
      <w:pPr>
        <w:pStyle w:val="Caption"/>
      </w:pPr>
      <w:r>
        <w:t>Computational efficiency comparison between RG-principled and standard architectures. All measurements performed on CIFAR-10 with ResNet-50 architecture (L = 50, N = 512) using a single NVIDIA V100 GPU, averaged over 10 independent runs.</w:t>
      </w:r>
    </w:p>
    <w:p w14:paraId="373C0D54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Extended Data Table 6 | Cross-Dataset Generalization</w:t>
      </w:r>
    </w:p>
    <w:tbl>
      <w:tblPr>
        <w:tblW w:w="5000" w:type="pct"/>
        <w:tblBorders>
          <w:top w:val="single" w:sz="12" w:space="0" w:color="1E3A5F"/>
          <w:left w:val="nil"/>
          <w:bottom w:val="single" w:sz="12" w:space="0" w:color="1E3A5F"/>
          <w:right w:val="nil"/>
          <w:insideH w:val="nil"/>
          <w:insideV w:val="nil"/>
        </w:tblBorders>
        <w:tblCellMar>
          <w:top w:w="100" w:type="dxa"/>
          <w:left w:w="150" w:type="dxa"/>
          <w:bottom w:w="100" w:type="dxa"/>
          <w:right w:w="150" w:type="dxa"/>
        </w:tblCellMar>
        <w:tblLook w:val="0000" w:firstRow="0" w:lastRow="0" w:firstColumn="0" w:lastColumn="0" w:noHBand="0" w:noVBand="0"/>
      </w:tblPr>
      <w:tblGrid>
        <w:gridCol w:w="1754"/>
        <w:gridCol w:w="1995"/>
        <w:gridCol w:w="1926"/>
        <w:gridCol w:w="1757"/>
        <w:gridCol w:w="1594"/>
      </w:tblGrid>
      <w:tr w:rsidR="00122B1A" w14:paraId="4B5800D4" w14:textId="77777777">
        <w:trPr>
          <w:trHeight w:val="400"/>
          <w:tblHeader/>
        </w:trPr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15D824C9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lastRenderedPageBreak/>
              <w:t>Dataset</w:t>
            </w:r>
          </w:p>
        </w:tc>
        <w:tc>
          <w:tcPr>
            <w:tcW w:w="22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2008019F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Task</w:t>
            </w:r>
          </w:p>
        </w:tc>
        <w:tc>
          <w:tcPr>
            <w:tcW w:w="22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6E32F8FD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RG-Principled Acc.</w:t>
            </w:r>
          </w:p>
        </w:tc>
        <w:tc>
          <w:tcPr>
            <w:tcW w:w="20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34870602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Standard Acc.</w:t>
            </w:r>
          </w:p>
        </w:tc>
        <w:tc>
          <w:tcPr>
            <w:tcW w:w="1600" w:type="dxa"/>
            <w:tcBorders>
              <w:bottom w:val="single" w:sz="6" w:space="0" w:color="1E3A5F"/>
            </w:tcBorders>
            <w:shd w:val="clear" w:color="auto" w:fill="E8EDF2"/>
            <w:vAlign w:val="center"/>
          </w:tcPr>
          <w:p w14:paraId="3AFE5D8F" w14:textId="77777777" w:rsidR="00122B1A" w:rsidRDefault="00C16F5F">
            <w:pPr>
              <w:spacing w:after="0"/>
              <w:jc w:val="center"/>
            </w:pPr>
            <w:r>
              <w:rPr>
                <w:b/>
                <w:color w:val="1E3A5F"/>
                <w:sz w:val="22"/>
              </w:rPr>
              <w:t>Improvement</w:t>
            </w:r>
          </w:p>
        </w:tc>
      </w:tr>
      <w:tr w:rsidR="00122B1A" w14:paraId="5DBEEB25" w14:textId="77777777">
        <w:trPr>
          <w:trHeight w:val="360"/>
        </w:trPr>
        <w:tc>
          <w:tcPr>
            <w:tcW w:w="2000" w:type="dxa"/>
            <w:vAlign w:val="center"/>
          </w:tcPr>
          <w:p w14:paraId="0A24A29B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CIFAR-10</w:t>
            </w:r>
          </w:p>
        </w:tc>
        <w:tc>
          <w:tcPr>
            <w:tcW w:w="2200" w:type="dxa"/>
            <w:vAlign w:val="center"/>
          </w:tcPr>
          <w:p w14:paraId="3A7EC2C4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2C02A45C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96.2 ± 0.3%</w:t>
            </w:r>
          </w:p>
        </w:tc>
        <w:tc>
          <w:tcPr>
            <w:tcW w:w="2000" w:type="dxa"/>
            <w:vAlign w:val="center"/>
          </w:tcPr>
          <w:p w14:paraId="7C681803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93.5 ± 0.5%</w:t>
            </w:r>
          </w:p>
        </w:tc>
        <w:tc>
          <w:tcPr>
            <w:tcW w:w="1600" w:type="dxa"/>
            <w:vAlign w:val="center"/>
          </w:tcPr>
          <w:p w14:paraId="406E2CF1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+2.7%</w:t>
            </w:r>
          </w:p>
        </w:tc>
      </w:tr>
      <w:tr w:rsidR="00122B1A" w14:paraId="52820486" w14:textId="77777777">
        <w:trPr>
          <w:trHeight w:val="360"/>
        </w:trPr>
        <w:tc>
          <w:tcPr>
            <w:tcW w:w="2000" w:type="dxa"/>
            <w:vAlign w:val="center"/>
          </w:tcPr>
          <w:p w14:paraId="004FE33B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CIFAR-100</w:t>
            </w:r>
          </w:p>
        </w:tc>
        <w:tc>
          <w:tcPr>
            <w:tcW w:w="2200" w:type="dxa"/>
            <w:vAlign w:val="center"/>
          </w:tcPr>
          <w:p w14:paraId="13CCFA6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39AFA640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81.5 ± 0.5%</w:t>
            </w:r>
          </w:p>
        </w:tc>
        <w:tc>
          <w:tcPr>
            <w:tcW w:w="2000" w:type="dxa"/>
            <w:vAlign w:val="center"/>
          </w:tcPr>
          <w:p w14:paraId="2289C31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77.8 ± 0.7%</w:t>
            </w:r>
          </w:p>
        </w:tc>
        <w:tc>
          <w:tcPr>
            <w:tcW w:w="1600" w:type="dxa"/>
            <w:vAlign w:val="center"/>
          </w:tcPr>
          <w:p w14:paraId="1A0F281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+3.7%</w:t>
            </w:r>
          </w:p>
        </w:tc>
      </w:tr>
      <w:tr w:rsidR="00122B1A" w14:paraId="682B84C0" w14:textId="77777777">
        <w:trPr>
          <w:trHeight w:val="360"/>
        </w:trPr>
        <w:tc>
          <w:tcPr>
            <w:tcW w:w="2000" w:type="dxa"/>
            <w:vAlign w:val="center"/>
          </w:tcPr>
          <w:p w14:paraId="60F4606B" w14:textId="77777777" w:rsidR="00122B1A" w:rsidRDefault="00C16F5F">
            <w:pPr>
              <w:spacing w:after="0"/>
              <w:jc w:val="left"/>
            </w:pPr>
            <w:proofErr w:type="spellStart"/>
            <w:r>
              <w:rPr>
                <w:sz w:val="22"/>
              </w:rPr>
              <w:t>ImageNet</w:t>
            </w:r>
            <w:proofErr w:type="spellEnd"/>
          </w:p>
        </w:tc>
        <w:tc>
          <w:tcPr>
            <w:tcW w:w="2200" w:type="dxa"/>
            <w:vAlign w:val="center"/>
          </w:tcPr>
          <w:p w14:paraId="1A23DD9D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6CF9835C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78.3 ± 0.4%</w:t>
            </w:r>
          </w:p>
        </w:tc>
        <w:tc>
          <w:tcPr>
            <w:tcW w:w="2000" w:type="dxa"/>
            <w:vAlign w:val="center"/>
          </w:tcPr>
          <w:p w14:paraId="3B314A85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75.1 ± 0.6%</w:t>
            </w:r>
          </w:p>
        </w:tc>
        <w:tc>
          <w:tcPr>
            <w:tcW w:w="1600" w:type="dxa"/>
            <w:vAlign w:val="center"/>
          </w:tcPr>
          <w:p w14:paraId="6D04B1F2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+3.2%</w:t>
            </w:r>
          </w:p>
        </w:tc>
      </w:tr>
      <w:tr w:rsidR="00122B1A" w14:paraId="3632BAC4" w14:textId="77777777">
        <w:trPr>
          <w:trHeight w:val="360"/>
        </w:trPr>
        <w:tc>
          <w:tcPr>
            <w:tcW w:w="2000" w:type="dxa"/>
            <w:vAlign w:val="center"/>
          </w:tcPr>
          <w:p w14:paraId="6890B2E8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MNIST</w:t>
            </w:r>
          </w:p>
        </w:tc>
        <w:tc>
          <w:tcPr>
            <w:tcW w:w="2200" w:type="dxa"/>
            <w:vAlign w:val="center"/>
          </w:tcPr>
          <w:p w14:paraId="122C6379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4BF0CFB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99.6 ± 0.1%</w:t>
            </w:r>
          </w:p>
        </w:tc>
        <w:tc>
          <w:tcPr>
            <w:tcW w:w="2000" w:type="dxa"/>
            <w:vAlign w:val="center"/>
          </w:tcPr>
          <w:p w14:paraId="705E0A4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99.4 ± 0.1%</w:t>
            </w:r>
          </w:p>
        </w:tc>
        <w:tc>
          <w:tcPr>
            <w:tcW w:w="1600" w:type="dxa"/>
            <w:vAlign w:val="center"/>
          </w:tcPr>
          <w:p w14:paraId="62BE363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+0.2%</w:t>
            </w:r>
          </w:p>
        </w:tc>
      </w:tr>
      <w:tr w:rsidR="00122B1A" w14:paraId="33F4F3F3" w14:textId="77777777">
        <w:trPr>
          <w:trHeight w:val="360"/>
        </w:trPr>
        <w:tc>
          <w:tcPr>
            <w:tcW w:w="2000" w:type="dxa"/>
            <w:vAlign w:val="center"/>
          </w:tcPr>
          <w:p w14:paraId="5333C26D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Fashion-MNIST</w:t>
            </w:r>
          </w:p>
        </w:tc>
        <w:tc>
          <w:tcPr>
            <w:tcW w:w="2200" w:type="dxa"/>
            <w:vAlign w:val="center"/>
          </w:tcPr>
          <w:p w14:paraId="03B6A58B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10F98616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94.8 ± 0.2%</w:t>
            </w:r>
          </w:p>
        </w:tc>
        <w:tc>
          <w:tcPr>
            <w:tcW w:w="2000" w:type="dxa"/>
            <w:vAlign w:val="center"/>
          </w:tcPr>
          <w:p w14:paraId="4F99C37F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92.9 ± 0.4%</w:t>
            </w:r>
          </w:p>
        </w:tc>
        <w:tc>
          <w:tcPr>
            <w:tcW w:w="1600" w:type="dxa"/>
            <w:vAlign w:val="center"/>
          </w:tcPr>
          <w:p w14:paraId="58EDC03E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+1.9%</w:t>
            </w:r>
          </w:p>
        </w:tc>
      </w:tr>
      <w:tr w:rsidR="00122B1A" w14:paraId="7978E552" w14:textId="77777777">
        <w:trPr>
          <w:trHeight w:val="360"/>
        </w:trPr>
        <w:tc>
          <w:tcPr>
            <w:tcW w:w="2000" w:type="dxa"/>
            <w:vAlign w:val="center"/>
          </w:tcPr>
          <w:p w14:paraId="573F7A8E" w14:textId="77777777" w:rsidR="00122B1A" w:rsidRDefault="00C16F5F">
            <w:pPr>
              <w:spacing w:after="0"/>
              <w:jc w:val="left"/>
            </w:pPr>
            <w:r>
              <w:rPr>
                <w:sz w:val="22"/>
              </w:rPr>
              <w:t>SVHN</w:t>
            </w:r>
          </w:p>
        </w:tc>
        <w:tc>
          <w:tcPr>
            <w:tcW w:w="2200" w:type="dxa"/>
            <w:vAlign w:val="center"/>
          </w:tcPr>
          <w:p w14:paraId="394D8C2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Image Classification</w:t>
            </w:r>
          </w:p>
        </w:tc>
        <w:tc>
          <w:tcPr>
            <w:tcW w:w="2200" w:type="dxa"/>
            <w:vAlign w:val="center"/>
          </w:tcPr>
          <w:p w14:paraId="6F06839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97.1 ± 0.3%</w:t>
            </w:r>
          </w:p>
        </w:tc>
        <w:tc>
          <w:tcPr>
            <w:tcW w:w="2000" w:type="dxa"/>
            <w:vAlign w:val="center"/>
          </w:tcPr>
          <w:p w14:paraId="67F3265F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95.2 ± 0.5%</w:t>
            </w:r>
          </w:p>
        </w:tc>
        <w:tc>
          <w:tcPr>
            <w:tcW w:w="1600" w:type="dxa"/>
            <w:vAlign w:val="center"/>
          </w:tcPr>
          <w:p w14:paraId="761407B7" w14:textId="77777777" w:rsidR="00122B1A" w:rsidRDefault="00C16F5F">
            <w:pPr>
              <w:spacing w:after="0"/>
              <w:jc w:val="center"/>
            </w:pPr>
            <w:r>
              <w:rPr>
                <w:sz w:val="22"/>
              </w:rPr>
              <w:t>+1.9%</w:t>
            </w:r>
          </w:p>
        </w:tc>
      </w:tr>
    </w:tbl>
    <w:p w14:paraId="2E0285EF" w14:textId="77777777" w:rsidR="00122B1A" w:rsidRDefault="00C16F5F">
      <w:pPr>
        <w:pStyle w:val="Caption"/>
      </w:pPr>
      <w:r>
        <w:t>Cross-dataset generalization performance demonstrating that RG-principled architectures achieve consistent improvements across diverse image classification benchmarks. All experiments used identical architectures and training protocols to ensure fair comparison.</w:t>
      </w:r>
    </w:p>
    <w:p w14:paraId="31D8E124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Statistical Validation and Reproducibility</w:t>
      </w:r>
    </w:p>
    <w:p w14:paraId="6841E835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Significance Testing</w:t>
      </w:r>
    </w:p>
    <w:p w14:paraId="43763A0E" w14:textId="77777777" w:rsidR="00122B1A" w:rsidRDefault="00C16F5F">
      <w:pPr>
        <w:ind w:firstLine="480"/>
      </w:pPr>
      <w:r>
        <w:t xml:space="preserve">All reported improvements were validated using paired t-tests with </w:t>
      </w:r>
      <w:proofErr w:type="spellStart"/>
      <w:r>
        <w:t>Bonferroni</w:t>
      </w:r>
      <w:proofErr w:type="spellEnd"/>
      <w:r>
        <w:t xml:space="preserve"> correction for multiple comparisons (α = 0.05/</w:t>
      </w:r>
      <w:proofErr w:type="spellStart"/>
      <w:r>
        <w:t>n_comparisons</w:t>
      </w:r>
      <w:proofErr w:type="spellEnd"/>
      <w:r>
        <w:t>). P-values for all architecture comparisons are p &lt; 0.001, indicating high statistical significance.</w:t>
      </w:r>
    </w:p>
    <w:p w14:paraId="299E0E25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Reproducibility</w:t>
      </w:r>
    </w:p>
    <w:p w14:paraId="2F9159DD" w14:textId="77777777" w:rsidR="00122B1A" w:rsidRDefault="00C16F5F">
      <w:pPr>
        <w:ind w:firstLine="480"/>
      </w:pPr>
      <w:r>
        <w:t xml:space="preserve">All experiments were conducted with fixed random seeds and deterministic algorithms. Code, trained models, and complete </w:t>
      </w:r>
      <w:proofErr w:type="spellStart"/>
      <w:r>
        <w:t>hyperparameter</w:t>
      </w:r>
      <w:proofErr w:type="spellEnd"/>
      <w:r>
        <w:t xml:space="preserve"> configurations are available at the GitHub repository. Hardware specifications: NVIDIA V100 GPUs (32GB), Intel Xeon Gold 6248R CPUs, 512GB RAM.</w:t>
      </w:r>
    </w:p>
    <w:p w14:paraId="76314481" w14:textId="77777777" w:rsidR="00122B1A" w:rsidRPr="00E72DE3" w:rsidRDefault="00C16F5F" w:rsidP="00E72DE3">
      <w:pPr>
        <w:rPr>
          <w:b/>
          <w:bCs/>
        </w:rPr>
      </w:pPr>
      <w:r w:rsidRPr="00E72DE3">
        <w:rPr>
          <w:b/>
          <w:bCs/>
        </w:rPr>
        <w:t>Data Availability</w:t>
      </w:r>
    </w:p>
    <w:p w14:paraId="5B1E052B" w14:textId="77777777" w:rsidR="00122B1A" w:rsidRDefault="00C16F5F">
      <w:pPr>
        <w:ind w:firstLine="480"/>
      </w:pPr>
      <w:r>
        <w:t xml:space="preserve">All datasets used are publicly available. CIFAR-10/100, MNIST, Fashion-MNIST, and SVHN were obtained from standard repositories. </w:t>
      </w:r>
      <w:proofErr w:type="spellStart"/>
      <w:r>
        <w:t>ImageNet</w:t>
      </w:r>
      <w:proofErr w:type="spellEnd"/>
      <w:r>
        <w:t xml:space="preserve"> was obtained under academic license.</w:t>
      </w:r>
    </w:p>
    <w:p w14:paraId="29B929A6" w14:textId="77777777" w:rsidR="00122B1A" w:rsidRPr="00E31B11" w:rsidRDefault="00C16F5F" w:rsidP="00E31B11">
      <w:pPr>
        <w:rPr>
          <w:b/>
          <w:bCs/>
        </w:rPr>
      </w:pPr>
      <w:r w:rsidRPr="00E31B11">
        <w:rPr>
          <w:b/>
          <w:bCs/>
        </w:rPr>
        <w:t>Finite-Size Analysis</w:t>
      </w:r>
    </w:p>
    <w:p w14:paraId="3F7F95C7" w14:textId="77777777" w:rsidR="00122B1A" w:rsidRDefault="00C16F5F">
      <w:pPr>
        <w:ind w:firstLine="480"/>
      </w:pPr>
      <w:r>
        <w:lastRenderedPageBreak/>
        <w:t>All critical exponents were extracted using finite-size scaling analysis with system sizes L ∈ {50, 100, 200, 500, 1000}. Extrapolation to the thermodynamic limit (L → ∞) was performed using correction-to-scaling analysis with leading correction exponent ω ≈ 0.5.</w:t>
      </w:r>
    </w:p>
    <w:p w14:paraId="1CA1D048" w14:textId="77777777" w:rsidR="00122B1A" w:rsidRPr="00E31B11" w:rsidRDefault="00C16F5F" w:rsidP="00E31B11">
      <w:pPr>
        <w:rPr>
          <w:b/>
          <w:bCs/>
        </w:rPr>
      </w:pPr>
      <w:r w:rsidRPr="00E31B11">
        <w:rPr>
          <w:b/>
          <w:bCs/>
        </w:rPr>
        <w:t>Error Estimation</w:t>
      </w:r>
    </w:p>
    <w:p w14:paraId="06C01D98" w14:textId="77777777" w:rsidR="00122B1A" w:rsidRDefault="00C16F5F">
      <w:pPr>
        <w:ind w:firstLine="480"/>
      </w:pPr>
      <w:r>
        <w:t>All error bars represent standard errors (SE = σ/√n) unless otherwise specified. For critical exponents, error bars include both statistical uncertainties from bootstrap resampling and systematic uncertainties from finite-size corrections.</w:t>
      </w:r>
    </w:p>
    <w:p w14:paraId="133C15FB" w14:textId="2686E1A1" w:rsidR="00122B1A" w:rsidRPr="00E72DE3" w:rsidRDefault="009C0B66" w:rsidP="00E31B11">
      <w:pPr>
        <w:rPr>
          <w:b/>
          <w:bCs/>
        </w:rPr>
      </w:pPr>
      <w:r w:rsidRPr="00E72DE3">
        <w:rPr>
          <w:b/>
          <w:bCs/>
        </w:rPr>
        <w:t xml:space="preserve">THEORETICAL FRAMEWORKS </w:t>
      </w:r>
    </w:p>
    <w:p w14:paraId="0323F5C9" w14:textId="6E8D5256" w:rsidR="00122B1A" w:rsidRDefault="00C16F5F">
      <w:pPr>
        <w:ind w:firstLine="480"/>
      </w:pPr>
      <w:r>
        <w:t>The extended data presented here provide comprehensive empirical validation of the renormalization-group (RG) framework for deep neural networks. The key theoretical predictions</w:t>
      </w:r>
      <w:r w:rsidR="00D3359E">
        <w:t xml:space="preserve"> </w:t>
      </w:r>
      <w:r>
        <w:t xml:space="preserve">universality of scaling exponents, finite-size scaling collapse, </w:t>
      </w:r>
      <w:proofErr w:type="spellStart"/>
      <w:r>
        <w:t>hyperscaling</w:t>
      </w:r>
      <w:proofErr w:type="spellEnd"/>
      <w:r>
        <w:t xml:space="preserve"> relations, and information-geometric flow</w:t>
      </w:r>
      <w:r w:rsidR="00D3359E">
        <w:t xml:space="preserve"> </w:t>
      </w:r>
      <w:r>
        <w:t>are confirmed across multiple independent measurements. The critical exponents place deep neural networks in the mean-field universality class with effective dimensionality d = 2, consistent with the layer-by-layer structure of feedforward architectures. The RG-principled architectures demonstrate superior performance across all metrics (accuracy, robustness, efficiency, generalization) while maintaining theoretical interpretability through the lens of statistical field theory.</w:t>
      </w:r>
    </w:p>
    <w:p w14:paraId="1598CAF5" w14:textId="77777777" w:rsidR="00122B1A" w:rsidRPr="00E72DE3" w:rsidRDefault="00C16F5F" w:rsidP="00E31B11">
      <w:pPr>
        <w:rPr>
          <w:b/>
          <w:bCs/>
        </w:rPr>
      </w:pPr>
      <w:r w:rsidRPr="00E72DE3">
        <w:rPr>
          <w:b/>
          <w:bCs/>
        </w:rPr>
        <w:t>References</w:t>
      </w:r>
    </w:p>
    <w:p w14:paraId="21AECF8E" w14:textId="77777777" w:rsidR="00122B1A" w:rsidRDefault="00C16F5F">
      <w:pPr>
        <w:spacing w:after="120"/>
        <w:ind w:left="360" w:hanging="360"/>
      </w:pPr>
      <w:r>
        <w:rPr>
          <w:sz w:val="22"/>
        </w:rPr>
        <w:t xml:space="preserve">1. </w:t>
      </w:r>
      <w:proofErr w:type="spellStart"/>
      <w:r>
        <w:rPr>
          <w:sz w:val="22"/>
        </w:rPr>
        <w:t>Cardy</w:t>
      </w:r>
      <w:proofErr w:type="spellEnd"/>
      <w:r>
        <w:rPr>
          <w:sz w:val="22"/>
        </w:rPr>
        <w:t>, J. Scaling and Renormalization in Statistical Physics (Cambridge University Press, 1996).</w:t>
      </w:r>
    </w:p>
    <w:p w14:paraId="4A5D4E0E" w14:textId="77777777" w:rsidR="00122B1A" w:rsidRDefault="00C16F5F">
      <w:pPr>
        <w:spacing w:after="120"/>
        <w:ind w:left="360" w:hanging="360"/>
      </w:pPr>
      <w:r>
        <w:rPr>
          <w:sz w:val="22"/>
        </w:rPr>
        <w:t xml:space="preserve">2. </w:t>
      </w:r>
      <w:proofErr w:type="spellStart"/>
      <w:r>
        <w:rPr>
          <w:sz w:val="22"/>
        </w:rPr>
        <w:t>Goldenfeld</w:t>
      </w:r>
      <w:proofErr w:type="spellEnd"/>
      <w:r>
        <w:rPr>
          <w:sz w:val="22"/>
        </w:rPr>
        <w:t>, N. Lectures on Phase Transitions and the Renormalization Group (Addison-Wesley, 1992).</w:t>
      </w:r>
    </w:p>
    <w:p w14:paraId="78885642" w14:textId="77777777" w:rsidR="00122B1A" w:rsidRDefault="00C16F5F">
      <w:pPr>
        <w:spacing w:after="120"/>
        <w:ind w:left="360" w:hanging="360"/>
      </w:pPr>
      <w:r>
        <w:rPr>
          <w:sz w:val="22"/>
        </w:rPr>
        <w:t>3. Poole, B. et al. Exponential expressivity in deep neural networks through transient chaos. Adv. Neural Inf. Process. Syst. 29, 3360-3368 (2016).</w:t>
      </w:r>
    </w:p>
    <w:p w14:paraId="216226C0" w14:textId="77777777" w:rsidR="00122B1A" w:rsidRDefault="00C16F5F">
      <w:pPr>
        <w:spacing w:after="120"/>
        <w:ind w:left="360" w:hanging="360"/>
      </w:pPr>
      <w:r>
        <w:rPr>
          <w:sz w:val="22"/>
        </w:rPr>
        <w:t xml:space="preserve">4. Roberts, D. A., </w:t>
      </w:r>
      <w:proofErr w:type="spellStart"/>
      <w:r>
        <w:rPr>
          <w:sz w:val="22"/>
        </w:rPr>
        <w:t>Yaida</w:t>
      </w:r>
      <w:proofErr w:type="spellEnd"/>
      <w:r>
        <w:rPr>
          <w:sz w:val="22"/>
        </w:rPr>
        <w:t xml:space="preserve">, S. &amp; </w:t>
      </w:r>
      <w:proofErr w:type="spellStart"/>
      <w:r>
        <w:rPr>
          <w:sz w:val="22"/>
        </w:rPr>
        <w:t>Hanin</w:t>
      </w:r>
      <w:proofErr w:type="spellEnd"/>
      <w:r>
        <w:rPr>
          <w:sz w:val="22"/>
        </w:rPr>
        <w:t>, B. The Principles of Deep Learning Theory (Cambridge University Press, 2022).</w:t>
      </w:r>
    </w:p>
    <w:p w14:paraId="4D75687E" w14:textId="77777777" w:rsidR="00122B1A" w:rsidRDefault="00C16F5F">
      <w:pPr>
        <w:spacing w:after="120"/>
        <w:ind w:left="360" w:hanging="360"/>
      </w:pPr>
      <w:r>
        <w:rPr>
          <w:sz w:val="22"/>
        </w:rPr>
        <w:t xml:space="preserve">5. </w:t>
      </w:r>
      <w:proofErr w:type="spellStart"/>
      <w:r>
        <w:rPr>
          <w:sz w:val="22"/>
        </w:rPr>
        <w:t>Bahri</w:t>
      </w:r>
      <w:proofErr w:type="spellEnd"/>
      <w:r>
        <w:rPr>
          <w:sz w:val="22"/>
        </w:rPr>
        <w:t xml:space="preserve">, Y. et al. Statistical mechanics of deep learning. </w:t>
      </w:r>
      <w:proofErr w:type="spellStart"/>
      <w:r>
        <w:rPr>
          <w:sz w:val="22"/>
        </w:rPr>
        <w:t>Annu</w:t>
      </w:r>
      <w:proofErr w:type="spellEnd"/>
      <w:r>
        <w:rPr>
          <w:sz w:val="22"/>
        </w:rPr>
        <w:t xml:space="preserve">. Rev. </w:t>
      </w:r>
      <w:proofErr w:type="spellStart"/>
      <w:r>
        <w:rPr>
          <w:sz w:val="22"/>
        </w:rPr>
        <w:t>Condens</w:t>
      </w:r>
      <w:proofErr w:type="spellEnd"/>
      <w:r>
        <w:rPr>
          <w:sz w:val="22"/>
        </w:rPr>
        <w:t>. Matter Phys. 15, 421-447 (2024).</w:t>
      </w:r>
    </w:p>
    <w:sectPr w:rsidR="00122B1A">
      <w:headerReference w:type="default" r:id="rId14"/>
      <w:footerReference w:type="default" r:id="rId15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E9C9E" w14:textId="77777777" w:rsidR="009345A0" w:rsidRDefault="009345A0">
      <w:pPr>
        <w:spacing w:after="0" w:line="240" w:lineRule="auto"/>
      </w:pPr>
      <w:r>
        <w:separator/>
      </w:r>
    </w:p>
  </w:endnote>
  <w:endnote w:type="continuationSeparator" w:id="0">
    <w:p w14:paraId="7326CCCB" w14:textId="77777777" w:rsidR="009345A0" w:rsidRDefault="0093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D2D94" w14:textId="77777777" w:rsidR="00122B1A" w:rsidRDefault="00C16F5F">
    <w:pPr>
      <w:jc w:val="center"/>
    </w:pPr>
    <w:r>
      <w:rPr>
        <w:color w:val="7A7A7A"/>
        <w:sz w:val="20"/>
      </w:rP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ADF26" w14:textId="77777777" w:rsidR="009345A0" w:rsidRDefault="009345A0">
      <w:pPr>
        <w:spacing w:after="0" w:line="240" w:lineRule="auto"/>
      </w:pPr>
      <w:r>
        <w:separator/>
      </w:r>
    </w:p>
  </w:footnote>
  <w:footnote w:type="continuationSeparator" w:id="0">
    <w:p w14:paraId="33BD41BE" w14:textId="77777777" w:rsidR="009345A0" w:rsidRDefault="00934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63F7E" w14:textId="77777777" w:rsidR="00122B1A" w:rsidRDefault="00C16F5F">
    <w:pPr>
      <w:spacing w:after="0"/>
      <w:jc w:val="right"/>
    </w:pPr>
    <w:r>
      <w:rPr>
        <w:i/>
        <w:color w:val="7A7A7A"/>
        <w:sz w:val="20"/>
      </w:rPr>
      <w:t>Extended Data | Renormalization-Group Principles for Deep Neural Architectures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B750F"/>
    <w:multiLevelType w:val="multilevel"/>
    <w:tmpl w:val="FFFFFFFF"/>
    <w:lvl w:ilvl="0"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9304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1A"/>
    <w:rsid w:val="0008697C"/>
    <w:rsid w:val="00122B1A"/>
    <w:rsid w:val="001B24E5"/>
    <w:rsid w:val="001B368F"/>
    <w:rsid w:val="00307A6D"/>
    <w:rsid w:val="00351EBD"/>
    <w:rsid w:val="003C399A"/>
    <w:rsid w:val="004C3DCA"/>
    <w:rsid w:val="005E3DC1"/>
    <w:rsid w:val="006B10C2"/>
    <w:rsid w:val="00783087"/>
    <w:rsid w:val="007B760F"/>
    <w:rsid w:val="009345A0"/>
    <w:rsid w:val="009C0B66"/>
    <w:rsid w:val="00B7388F"/>
    <w:rsid w:val="00B749B9"/>
    <w:rsid w:val="00BA071A"/>
    <w:rsid w:val="00C16F5F"/>
    <w:rsid w:val="00C24D91"/>
    <w:rsid w:val="00C25D42"/>
    <w:rsid w:val="00CA571F"/>
    <w:rsid w:val="00D3359E"/>
    <w:rsid w:val="00E31B11"/>
    <w:rsid w:val="00E72DE3"/>
    <w:rsid w:val="00F0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BC7BFA"/>
  <w15:docId w15:val="{4A6229A6-A51A-B94D-9AB2-A86A52B12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88" w:lineRule="auto"/>
      <w:jc w:val="both"/>
    </w:pPr>
    <w:rPr>
      <w:rFonts w:ascii="Times New Roman" w:hAnsi="Times New Roman"/>
      <w:color w:val="1A1A1A"/>
    </w:rPr>
  </w:style>
  <w:style w:type="paragraph" w:styleId="Heading1">
    <w:name w:val="heading 1"/>
    <w:basedOn w:val="Normal"/>
    <w:uiPriority w:val="9"/>
    <w:qFormat/>
    <w:pPr>
      <w:keepNext/>
      <w:keepLines/>
      <w:pageBreakBefore/>
      <w:spacing w:before="480" w:after="240" w:line="240" w:lineRule="auto"/>
      <w:outlineLvl w:val="0"/>
    </w:pPr>
    <w:rPr>
      <w:b/>
      <w:caps/>
      <w:color w:val="1E3A5F"/>
      <w:sz w:val="36"/>
    </w:rPr>
  </w:style>
  <w:style w:type="paragraph" w:styleId="Heading2">
    <w:name w:val="heading 2"/>
    <w:basedOn w:val="Normal"/>
    <w:uiPriority w:val="9"/>
    <w:unhideWhenUsed/>
    <w:qFormat/>
    <w:pPr>
      <w:keepNext/>
      <w:keepLines/>
      <w:spacing w:before="360" w:after="160"/>
      <w:outlineLvl w:val="1"/>
    </w:pPr>
    <w:rPr>
      <w:b/>
      <w:color w:val="1E3A5F"/>
      <w:sz w:val="28"/>
    </w:rPr>
  </w:style>
  <w:style w:type="paragraph" w:styleId="Heading3">
    <w:name w:val="heading 3"/>
    <w:basedOn w:val="Normal"/>
    <w:uiPriority w:val="9"/>
    <w:unhideWhenUsed/>
    <w:qFormat/>
    <w:pPr>
      <w:keepNext/>
      <w:keepLines/>
      <w:spacing w:before="280" w:after="120"/>
      <w:outlineLvl w:val="2"/>
    </w:pPr>
    <w:rPr>
      <w:b/>
      <w:i/>
      <w:color w:val="4A4A4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pPr>
      <w:keepLines/>
      <w:spacing w:before="120" w:after="360"/>
    </w:pPr>
    <w:rPr>
      <w:i/>
      <w:color w:val="7A7A7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3142</Words>
  <Characters>17913</Characters>
  <Application>Microsoft Office Word</Application>
  <DocSecurity>0</DocSecurity>
  <Lines>149</Lines>
  <Paragraphs>42</Paragraphs>
  <ScaleCrop>false</ScaleCrop>
  <Company/>
  <LinksUpToDate>false</LinksUpToDate>
  <CharactersWithSpaces>21013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 Bisht</cp:lastModifiedBy>
  <cp:revision>2</cp:revision>
  <dcterms:created xsi:type="dcterms:W3CDTF">2026-03-01T11:29:00Z</dcterms:created>
  <dcterms:modified xsi:type="dcterms:W3CDTF">2026-03-01T11:29:00Z</dcterms:modified>
</cp:coreProperties>
</file>