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44B82" w14:textId="31BFDC5F" w:rsidR="00B34AA8" w:rsidRPr="0085169C" w:rsidRDefault="00B34AA8" w:rsidP="00B34AA8">
      <w:pPr>
        <w:rPr>
          <w:rFonts w:ascii="Times New Roman" w:hAnsi="Times New Roman" w:cs="Times New Roman"/>
          <w:sz w:val="22"/>
          <w:szCs w:val="22"/>
        </w:rPr>
      </w:pPr>
      <w:r w:rsidRPr="0085169C">
        <w:rPr>
          <w:rFonts w:ascii="Times New Roman" w:hAnsi="Times New Roman" w:cs="Times New Roman"/>
          <w:b/>
          <w:bCs/>
          <w:sz w:val="22"/>
          <w:szCs w:val="22"/>
        </w:rPr>
        <w:t xml:space="preserve">Supplementary Table </w:t>
      </w:r>
      <w:r w:rsidR="00185E72">
        <w:rPr>
          <w:rFonts w:ascii="Times New Roman" w:hAnsi="Times New Roman" w:cs="Times New Roman" w:hint="eastAsia"/>
          <w:b/>
          <w:bCs/>
          <w:sz w:val="22"/>
          <w:szCs w:val="22"/>
        </w:rPr>
        <w:t>S</w:t>
      </w:r>
      <w:r w:rsidRPr="0085169C">
        <w:rPr>
          <w:rFonts w:ascii="Times New Roman" w:hAnsi="Times New Roman" w:cs="Times New Roman"/>
          <w:b/>
          <w:bCs/>
          <w:sz w:val="22"/>
          <w:szCs w:val="22"/>
        </w:rPr>
        <w:t>1. Univariable associations with hospital-associated disability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0"/>
        <w:gridCol w:w="1196"/>
        <w:gridCol w:w="2010"/>
        <w:gridCol w:w="754"/>
      </w:tblGrid>
      <w:tr w:rsidR="00B34AA8" w:rsidRPr="0085169C" w14:paraId="50096B55" w14:textId="77777777" w:rsidTr="00B72B7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9169CE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6B94EAC9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coefficient</w:t>
            </w:r>
          </w:p>
        </w:tc>
        <w:tc>
          <w:tcPr>
            <w:tcW w:w="0" w:type="auto"/>
            <w:vAlign w:val="center"/>
            <w:hideMark/>
          </w:tcPr>
          <w:p w14:paraId="4B0010E3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Odds ratio (95% CI)</w:t>
            </w:r>
          </w:p>
        </w:tc>
        <w:tc>
          <w:tcPr>
            <w:tcW w:w="0" w:type="auto"/>
            <w:vAlign w:val="center"/>
            <w:hideMark/>
          </w:tcPr>
          <w:p w14:paraId="5C94B5A5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value</w:t>
            </w:r>
          </w:p>
        </w:tc>
      </w:tr>
      <w:tr w:rsidR="00B34AA8" w:rsidRPr="0085169C" w14:paraId="586EFD00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78767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Age (per year)</w:t>
            </w:r>
          </w:p>
        </w:tc>
        <w:tc>
          <w:tcPr>
            <w:tcW w:w="0" w:type="auto"/>
            <w:vAlign w:val="center"/>
            <w:hideMark/>
          </w:tcPr>
          <w:p w14:paraId="62C246FE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0.098</w:t>
            </w:r>
          </w:p>
        </w:tc>
        <w:tc>
          <w:tcPr>
            <w:tcW w:w="0" w:type="auto"/>
            <w:vAlign w:val="center"/>
            <w:hideMark/>
          </w:tcPr>
          <w:p w14:paraId="522A708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1.10 (1.08–1.12)</w:t>
            </w:r>
          </w:p>
        </w:tc>
        <w:tc>
          <w:tcPr>
            <w:tcW w:w="0" w:type="auto"/>
            <w:vAlign w:val="center"/>
            <w:hideMark/>
          </w:tcPr>
          <w:p w14:paraId="412C380C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72108FCA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ECBE45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Barthel Index at admission (per point)</w:t>
            </w:r>
          </w:p>
        </w:tc>
        <w:tc>
          <w:tcPr>
            <w:tcW w:w="0" w:type="auto"/>
            <w:vAlign w:val="center"/>
            <w:hideMark/>
          </w:tcPr>
          <w:p w14:paraId="794C2BA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−0.017</w:t>
            </w:r>
          </w:p>
        </w:tc>
        <w:tc>
          <w:tcPr>
            <w:tcW w:w="0" w:type="auto"/>
            <w:vAlign w:val="center"/>
            <w:hideMark/>
          </w:tcPr>
          <w:p w14:paraId="7A340759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0.98 (0.98–0.99)</w:t>
            </w:r>
          </w:p>
        </w:tc>
        <w:tc>
          <w:tcPr>
            <w:tcW w:w="0" w:type="auto"/>
            <w:vAlign w:val="center"/>
            <w:hideMark/>
          </w:tcPr>
          <w:p w14:paraId="390AE56E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3EAD3123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6928A1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Clinical Frailty Scale (per point)</w:t>
            </w:r>
          </w:p>
        </w:tc>
        <w:tc>
          <w:tcPr>
            <w:tcW w:w="0" w:type="auto"/>
            <w:vAlign w:val="center"/>
            <w:hideMark/>
          </w:tcPr>
          <w:p w14:paraId="5D485FDC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0.487</w:t>
            </w:r>
          </w:p>
        </w:tc>
        <w:tc>
          <w:tcPr>
            <w:tcW w:w="0" w:type="auto"/>
            <w:vAlign w:val="center"/>
            <w:hideMark/>
          </w:tcPr>
          <w:p w14:paraId="3C925DAE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1.63 (1.49–1.78)</w:t>
            </w:r>
          </w:p>
        </w:tc>
        <w:tc>
          <w:tcPr>
            <w:tcW w:w="0" w:type="auto"/>
            <w:vAlign w:val="center"/>
            <w:hideMark/>
          </w:tcPr>
          <w:p w14:paraId="5620AD82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4A72CDE8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2EE8C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MMSE (per point)</w:t>
            </w:r>
          </w:p>
        </w:tc>
        <w:tc>
          <w:tcPr>
            <w:tcW w:w="0" w:type="auto"/>
            <w:vAlign w:val="center"/>
            <w:hideMark/>
          </w:tcPr>
          <w:p w14:paraId="43C63ABD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−0.098</w:t>
            </w:r>
          </w:p>
        </w:tc>
        <w:tc>
          <w:tcPr>
            <w:tcW w:w="0" w:type="auto"/>
            <w:vAlign w:val="center"/>
            <w:hideMark/>
          </w:tcPr>
          <w:p w14:paraId="26C8423F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0.91 (0.89–0.93)</w:t>
            </w:r>
          </w:p>
        </w:tc>
        <w:tc>
          <w:tcPr>
            <w:tcW w:w="0" w:type="auto"/>
            <w:vAlign w:val="center"/>
            <w:hideMark/>
          </w:tcPr>
          <w:p w14:paraId="6BA23FB4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43576B6E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521E51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Instrumental ADL (per point)</w:t>
            </w:r>
          </w:p>
        </w:tc>
        <w:tc>
          <w:tcPr>
            <w:tcW w:w="0" w:type="auto"/>
            <w:vAlign w:val="center"/>
            <w:hideMark/>
          </w:tcPr>
          <w:p w14:paraId="3661C585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−0.252</w:t>
            </w:r>
          </w:p>
        </w:tc>
        <w:tc>
          <w:tcPr>
            <w:tcW w:w="0" w:type="auto"/>
            <w:vAlign w:val="center"/>
            <w:hideMark/>
          </w:tcPr>
          <w:p w14:paraId="5FE34CB7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0.78 (0.74–0.81)</w:t>
            </w:r>
          </w:p>
        </w:tc>
        <w:tc>
          <w:tcPr>
            <w:tcW w:w="0" w:type="auto"/>
            <w:vAlign w:val="center"/>
            <w:hideMark/>
          </w:tcPr>
          <w:p w14:paraId="2E02FAAC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2FEFB474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C137B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Body mass index (per kg/m²)</w:t>
            </w:r>
          </w:p>
        </w:tc>
        <w:tc>
          <w:tcPr>
            <w:tcW w:w="0" w:type="auto"/>
            <w:vAlign w:val="center"/>
            <w:hideMark/>
          </w:tcPr>
          <w:p w14:paraId="0E83891B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−0.078</w:t>
            </w:r>
          </w:p>
        </w:tc>
        <w:tc>
          <w:tcPr>
            <w:tcW w:w="0" w:type="auto"/>
            <w:vAlign w:val="center"/>
            <w:hideMark/>
          </w:tcPr>
          <w:p w14:paraId="672F7C91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0.93 (0.90–0.96)</w:t>
            </w:r>
          </w:p>
        </w:tc>
        <w:tc>
          <w:tcPr>
            <w:tcW w:w="0" w:type="auto"/>
            <w:vAlign w:val="center"/>
            <w:hideMark/>
          </w:tcPr>
          <w:p w14:paraId="23CAA384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34AA8" w:rsidRPr="0085169C" w14:paraId="1CD9FB51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EA9425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Emergency admission</w:t>
            </w:r>
          </w:p>
        </w:tc>
        <w:tc>
          <w:tcPr>
            <w:tcW w:w="0" w:type="auto"/>
            <w:vAlign w:val="center"/>
            <w:hideMark/>
          </w:tcPr>
          <w:p w14:paraId="5742064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2.023</w:t>
            </w:r>
          </w:p>
        </w:tc>
        <w:tc>
          <w:tcPr>
            <w:tcW w:w="0" w:type="auto"/>
            <w:vAlign w:val="center"/>
            <w:hideMark/>
          </w:tcPr>
          <w:p w14:paraId="1AF81D3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7.56 (5.62–10.17)</w:t>
            </w:r>
          </w:p>
        </w:tc>
        <w:tc>
          <w:tcPr>
            <w:tcW w:w="0" w:type="auto"/>
            <w:vAlign w:val="center"/>
            <w:hideMark/>
          </w:tcPr>
          <w:p w14:paraId="3B85F377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</w:tbl>
    <w:p w14:paraId="5E227AEE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>Abbreviations: HAD, hospital-associated disability; CI, confidence interval; MMSE, Mini-Mental State Examination; ADL, activities of daily living.</w:t>
      </w:r>
    </w:p>
    <w:p w14:paraId="6BD2E702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>Results are from univariable logistic regression analyses with HAD as the dependent variable.</w:t>
      </w:r>
    </w:p>
    <w:p w14:paraId="14F51CCF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>Continuous variables were analyzed per unit increase as indicated. Emergency admission was analyzed as a binary variable (emergency vs elective admission).</w:t>
      </w:r>
    </w:p>
    <w:p w14:paraId="1A5EE607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>β coefficients represent log-odds. Odds ratios indicate the change in odds of HAD per 1-unit increase in each variable.</w:t>
      </w:r>
    </w:p>
    <w:p w14:paraId="45AB5031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>Variables were examined as candidate predictors based on clinical relevance and prior literature and were considered for multivariable modeling.</w:t>
      </w:r>
    </w:p>
    <w:p w14:paraId="583043BD" w14:textId="77777777" w:rsidR="0085169C" w:rsidRPr="0085169C" w:rsidRDefault="0085169C" w:rsidP="0085169C">
      <w:pPr>
        <w:rPr>
          <w:rFonts w:ascii="Times New Roman" w:hAnsi="Times New Roman" w:cs="Times New Roman"/>
        </w:rPr>
      </w:pPr>
      <w:r w:rsidRPr="0085169C">
        <w:rPr>
          <w:rFonts w:ascii="Times New Roman" w:hAnsi="Times New Roman" w:cs="Times New Roman"/>
        </w:rPr>
        <w:t xml:space="preserve">All tests were two-sided, and </w:t>
      </w:r>
      <w:r w:rsidRPr="0085169C">
        <w:rPr>
          <w:rFonts w:ascii="Times New Roman" w:hAnsi="Times New Roman" w:cs="Times New Roman"/>
          <w:i/>
          <w:iCs/>
        </w:rPr>
        <w:t>p</w:t>
      </w:r>
      <w:r w:rsidRPr="0085169C">
        <w:rPr>
          <w:rFonts w:ascii="Times New Roman" w:hAnsi="Times New Roman" w:cs="Times New Roman"/>
        </w:rPr>
        <w:t xml:space="preserve"> &lt; 0.05 was considered statistically significant.</w:t>
      </w:r>
    </w:p>
    <w:p w14:paraId="1D439C6C" w14:textId="77777777" w:rsidR="00B34AA8" w:rsidRPr="0085169C" w:rsidRDefault="00B34AA8">
      <w:pPr>
        <w:rPr>
          <w:rFonts w:ascii="Times New Roman" w:hAnsi="Times New Roman" w:cs="Times New Roman"/>
        </w:rPr>
      </w:pPr>
    </w:p>
    <w:p w14:paraId="129AB0E5" w14:textId="77777777" w:rsidR="00B34AA8" w:rsidRPr="0085169C" w:rsidRDefault="00B34AA8">
      <w:pPr>
        <w:rPr>
          <w:rFonts w:ascii="Times New Roman" w:hAnsi="Times New Roman" w:cs="Times New Roman"/>
        </w:rPr>
      </w:pPr>
    </w:p>
    <w:p w14:paraId="12950A29" w14:textId="77777777" w:rsidR="00B34AA8" w:rsidRPr="0085169C" w:rsidRDefault="00B34AA8" w:rsidP="00B34AA8">
      <w:pPr>
        <w:rPr>
          <w:rFonts w:ascii="Times New Roman" w:hAnsi="Times New Roman" w:cs="Times New Roman"/>
          <w:sz w:val="22"/>
          <w:szCs w:val="22"/>
        </w:rPr>
      </w:pPr>
    </w:p>
    <w:p w14:paraId="7AB393B1" w14:textId="02B5763B" w:rsidR="00B34AA8" w:rsidRPr="0085169C" w:rsidRDefault="00B34AA8" w:rsidP="00B34AA8">
      <w:pPr>
        <w:rPr>
          <w:rFonts w:ascii="Times New Roman" w:hAnsi="Times New Roman" w:cs="Times New Roman" w:hint="eastAsia"/>
          <w:sz w:val="22"/>
          <w:szCs w:val="22"/>
        </w:rPr>
      </w:pPr>
      <w:r w:rsidRPr="0085169C">
        <w:rPr>
          <w:rFonts w:ascii="Times New Roman" w:hAnsi="Times New Roman" w:cs="Times New Roman"/>
          <w:b/>
          <w:bCs/>
          <w:sz w:val="22"/>
          <w:szCs w:val="22"/>
        </w:rPr>
        <w:t xml:space="preserve">Supplementary Table </w:t>
      </w:r>
      <w:r w:rsidR="00185E72">
        <w:rPr>
          <w:rFonts w:ascii="Times New Roman" w:hAnsi="Times New Roman" w:cs="Times New Roman" w:hint="eastAsia"/>
          <w:b/>
          <w:bCs/>
          <w:sz w:val="22"/>
          <w:szCs w:val="22"/>
        </w:rPr>
        <w:t>S</w:t>
      </w:r>
      <w:r w:rsidRPr="0085169C">
        <w:rPr>
          <w:rFonts w:ascii="Times New Roman" w:hAnsi="Times New Roman" w:cs="Times New Roman"/>
          <w:b/>
          <w:bCs/>
          <w:sz w:val="22"/>
          <w:szCs w:val="22"/>
        </w:rPr>
        <w:t>2. HAD</w:t>
      </w:r>
      <w:r w:rsidR="001A71EE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 risk score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1"/>
        <w:gridCol w:w="2216"/>
        <w:gridCol w:w="1035"/>
      </w:tblGrid>
      <w:tr w:rsidR="00B34AA8" w:rsidRPr="0085169C" w14:paraId="26D3CA21" w14:textId="77777777" w:rsidTr="00B72B7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35F478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6EF09381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Criteria</w:t>
            </w:r>
          </w:p>
        </w:tc>
        <w:tc>
          <w:tcPr>
            <w:tcW w:w="0" w:type="auto"/>
            <w:vAlign w:val="center"/>
            <w:hideMark/>
          </w:tcPr>
          <w:p w14:paraId="1E57BBFE" w14:textId="77777777" w:rsidR="00B34AA8" w:rsidRPr="0085169C" w:rsidRDefault="00B34AA8" w:rsidP="00B72B7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Points</w:t>
            </w:r>
          </w:p>
        </w:tc>
      </w:tr>
      <w:tr w:rsidR="00B34AA8" w:rsidRPr="0085169C" w14:paraId="4C1AF893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FE1913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0" w:type="auto"/>
            <w:vAlign w:val="center"/>
            <w:hideMark/>
          </w:tcPr>
          <w:p w14:paraId="2014B383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≥80 years</w:t>
            </w:r>
          </w:p>
        </w:tc>
        <w:tc>
          <w:tcPr>
            <w:tcW w:w="0" w:type="auto"/>
            <w:vAlign w:val="center"/>
            <w:hideMark/>
          </w:tcPr>
          <w:p w14:paraId="5537789D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+1</w:t>
            </w:r>
          </w:p>
        </w:tc>
      </w:tr>
      <w:tr w:rsidR="00B34AA8" w:rsidRPr="0085169C" w14:paraId="0DF8401A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BEFB90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Frailty</w:t>
            </w:r>
          </w:p>
        </w:tc>
        <w:tc>
          <w:tcPr>
            <w:tcW w:w="0" w:type="auto"/>
            <w:vAlign w:val="center"/>
            <w:hideMark/>
          </w:tcPr>
          <w:p w14:paraId="56C5AD2F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Clinical Frailty Scale ≥5</w:t>
            </w:r>
          </w:p>
        </w:tc>
        <w:tc>
          <w:tcPr>
            <w:tcW w:w="0" w:type="auto"/>
            <w:vAlign w:val="center"/>
            <w:hideMark/>
          </w:tcPr>
          <w:p w14:paraId="7891D729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+2</w:t>
            </w:r>
          </w:p>
        </w:tc>
      </w:tr>
      <w:tr w:rsidR="00B34AA8" w:rsidRPr="0085169C" w14:paraId="54B7024F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BFD0D5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Cognitive function</w:t>
            </w:r>
          </w:p>
        </w:tc>
        <w:tc>
          <w:tcPr>
            <w:tcW w:w="0" w:type="auto"/>
            <w:vAlign w:val="center"/>
            <w:hideMark/>
          </w:tcPr>
          <w:p w14:paraId="64BB355F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MMSE ≤23</w:t>
            </w:r>
          </w:p>
        </w:tc>
        <w:tc>
          <w:tcPr>
            <w:tcW w:w="0" w:type="auto"/>
            <w:vAlign w:val="center"/>
            <w:hideMark/>
          </w:tcPr>
          <w:p w14:paraId="7CFB6DFA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+2</w:t>
            </w:r>
          </w:p>
        </w:tc>
      </w:tr>
      <w:tr w:rsidR="00B34AA8" w:rsidRPr="0085169C" w14:paraId="4800D912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E07F86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Admission type</w:t>
            </w:r>
          </w:p>
        </w:tc>
        <w:tc>
          <w:tcPr>
            <w:tcW w:w="0" w:type="auto"/>
            <w:vAlign w:val="center"/>
            <w:hideMark/>
          </w:tcPr>
          <w:p w14:paraId="3E88DD98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Emergency admission</w:t>
            </w:r>
          </w:p>
        </w:tc>
        <w:tc>
          <w:tcPr>
            <w:tcW w:w="0" w:type="auto"/>
            <w:vAlign w:val="center"/>
            <w:hideMark/>
          </w:tcPr>
          <w:p w14:paraId="23A9E69D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sz w:val="22"/>
                <w:szCs w:val="22"/>
              </w:rPr>
              <w:t>+3</w:t>
            </w:r>
          </w:p>
        </w:tc>
      </w:tr>
      <w:tr w:rsidR="00B34AA8" w:rsidRPr="0085169C" w14:paraId="0C5EA333" w14:textId="77777777" w:rsidTr="00B72B7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45EAE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score</w:t>
            </w:r>
          </w:p>
        </w:tc>
        <w:tc>
          <w:tcPr>
            <w:tcW w:w="0" w:type="auto"/>
            <w:vAlign w:val="center"/>
            <w:hideMark/>
          </w:tcPr>
          <w:p w14:paraId="4E011C91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BB1BAF9" w14:textId="77777777" w:rsidR="00B34AA8" w:rsidRPr="0085169C" w:rsidRDefault="00B34AA8" w:rsidP="00B72B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16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0–8 points</w:t>
            </w:r>
          </w:p>
        </w:tc>
      </w:tr>
    </w:tbl>
    <w:p w14:paraId="183CF72F" w14:textId="77777777" w:rsidR="0085169C" w:rsidRPr="0085169C" w:rsidRDefault="0085169C" w:rsidP="0085169C">
      <w:pPr>
        <w:rPr>
          <w:rFonts w:ascii="Times New Roman" w:hAnsi="Times New Roman" w:cs="Times New Roman"/>
          <w:sz w:val="22"/>
          <w:szCs w:val="22"/>
        </w:rPr>
      </w:pPr>
      <w:r w:rsidRPr="0085169C">
        <w:rPr>
          <w:rFonts w:ascii="Times New Roman" w:hAnsi="Times New Roman" w:cs="Times New Roman"/>
          <w:sz w:val="22"/>
          <w:szCs w:val="22"/>
        </w:rPr>
        <w:t>Abbreviations: HAD, hospital-associated disability; MMSE, Mini-Mental State Examination.</w:t>
      </w:r>
    </w:p>
    <w:p w14:paraId="75E385FC" w14:textId="77777777" w:rsidR="0085169C" w:rsidRPr="0085169C" w:rsidRDefault="0085169C" w:rsidP="0085169C">
      <w:pPr>
        <w:rPr>
          <w:rFonts w:ascii="Times New Roman" w:hAnsi="Times New Roman" w:cs="Times New Roman"/>
          <w:sz w:val="22"/>
          <w:szCs w:val="22"/>
        </w:rPr>
      </w:pPr>
      <w:r w:rsidRPr="0085169C">
        <w:rPr>
          <w:rFonts w:ascii="Times New Roman" w:hAnsi="Times New Roman" w:cs="Times New Roman"/>
          <w:sz w:val="22"/>
          <w:szCs w:val="22"/>
        </w:rPr>
        <w:t>The HAD-RES score was derived from the multivariable logistic regression model predicting HAD.</w:t>
      </w:r>
    </w:p>
    <w:p w14:paraId="25A78C9B" w14:textId="77777777" w:rsidR="00B34AA8" w:rsidRDefault="00B34AA8" w:rsidP="00B34AA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929101F" w14:textId="77777777" w:rsidR="003234E1" w:rsidRDefault="003234E1" w:rsidP="00B34AA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0089B1B" w14:textId="77777777" w:rsidR="00012187" w:rsidRPr="003234E1" w:rsidRDefault="00012187" w:rsidP="00012187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3234E1">
        <w:rPr>
          <w:rFonts w:ascii="Times New Roman" w:hAnsi="Times New Roman" w:cs="Times New Roman" w:hint="eastAsia"/>
          <w:b/>
          <w:bCs/>
          <w:sz w:val="22"/>
          <w:szCs w:val="22"/>
        </w:rPr>
        <w:lastRenderedPageBreak/>
        <w:t xml:space="preserve">Supplementary figure S1 </w:t>
      </w:r>
      <w:r>
        <w:rPr>
          <w:rFonts w:ascii="Times New Roman" w:hAnsi="Times New Roman" w:cs="Times New Roman" w:hint="eastAsia"/>
          <w:b/>
          <w:bCs/>
          <w:sz w:val="22"/>
          <w:szCs w:val="22"/>
        </w:rPr>
        <w:t>St</w:t>
      </w:r>
      <w:r w:rsidRPr="003234E1">
        <w:rPr>
          <w:rFonts w:ascii="Times New Roman" w:hAnsi="Times New Roman" w:cs="Times New Roman" w:hint="eastAsia"/>
          <w:b/>
          <w:bCs/>
          <w:sz w:val="22"/>
          <w:szCs w:val="22"/>
        </w:rPr>
        <w:t>udy Flow</w:t>
      </w:r>
    </w:p>
    <w:p w14:paraId="65331D45" w14:textId="77777777" w:rsidR="00012187" w:rsidRDefault="00012187" w:rsidP="00012187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2E9A328" wp14:editId="06855761">
            <wp:extent cx="4857838" cy="6315075"/>
            <wp:effectExtent l="0" t="0" r="0" b="0"/>
            <wp:docPr id="2096269457" name="図 1" descr="ダイアグラム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269457" name="図 1" descr="ダイアグラム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875" cy="631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6C9D3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3AA98A9B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153725F7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7FB83D68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5A18C653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037D4EA0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793DF5E3" w14:textId="77777777" w:rsidR="00012187" w:rsidRDefault="00012187" w:rsidP="00012187">
      <w:pPr>
        <w:rPr>
          <w:rFonts w:ascii="Times New Roman" w:hAnsi="Times New Roman" w:cs="Times New Roman"/>
        </w:rPr>
      </w:pPr>
    </w:p>
    <w:p w14:paraId="590EF448" w14:textId="77777777" w:rsidR="00012187" w:rsidRDefault="00012187" w:rsidP="000121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Supplementary figure S2. ROC curve</w:t>
      </w:r>
    </w:p>
    <w:p w14:paraId="2DBE60DF" w14:textId="77777777" w:rsidR="00012187" w:rsidRPr="003234E1" w:rsidRDefault="00012187" w:rsidP="00012187">
      <w:pPr>
        <w:rPr>
          <w:rFonts w:ascii="Times New Roman" w:hAnsi="Times New Roman" w:cs="Times New Roman"/>
        </w:rPr>
      </w:pPr>
      <w:r w:rsidRPr="003234E1">
        <w:rPr>
          <w:rFonts w:ascii="Times New Roman" w:hAnsi="Times New Roman" w:cs="Times New Roman"/>
          <w:noProof/>
        </w:rPr>
        <w:drawing>
          <wp:inline distT="0" distB="0" distL="0" distR="0" wp14:anchorId="2B95BD31" wp14:editId="2A87D433">
            <wp:extent cx="5400040" cy="4199890"/>
            <wp:effectExtent l="0" t="0" r="0" b="0"/>
            <wp:docPr id="1173482722" name="図 3" descr="グラフ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482722" name="図 3" descr="グラフ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9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7285E" w14:textId="77777777" w:rsidR="00012187" w:rsidRPr="003234E1" w:rsidRDefault="00012187" w:rsidP="0001218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</w:rPr>
        <w:t xml:space="preserve">Supplementary figure S3 </w:t>
      </w:r>
      <w:r w:rsidRPr="003234E1">
        <w:rPr>
          <w:rFonts w:ascii="Times New Roman" w:hAnsi="Times New Roman" w:cs="Times New Roman" w:hint="eastAsia"/>
          <w:sz w:val="22"/>
          <w:szCs w:val="22"/>
        </w:rPr>
        <w:t>Decision curve analysis</w:t>
      </w:r>
    </w:p>
    <w:p w14:paraId="70F4AAC9" w14:textId="77777777" w:rsidR="00012187" w:rsidRPr="003234E1" w:rsidRDefault="00012187" w:rsidP="00012187">
      <w:pPr>
        <w:rPr>
          <w:rFonts w:ascii="Times New Roman" w:hAnsi="Times New Roman" w:cs="Times New Roman"/>
        </w:rPr>
      </w:pPr>
    </w:p>
    <w:p w14:paraId="7548DEF9" w14:textId="77777777" w:rsidR="00012187" w:rsidRPr="003234E1" w:rsidRDefault="00012187" w:rsidP="00012187">
      <w:pPr>
        <w:rPr>
          <w:rFonts w:ascii="Times New Roman" w:hAnsi="Times New Roman" w:cs="Times New Roman"/>
        </w:rPr>
      </w:pPr>
      <w:r w:rsidRPr="003234E1">
        <w:rPr>
          <w:rFonts w:ascii="Times New Roman" w:hAnsi="Times New Roman" w:cs="Times New Roman"/>
          <w:noProof/>
        </w:rPr>
        <w:drawing>
          <wp:inline distT="0" distB="0" distL="0" distR="0" wp14:anchorId="37E4625F" wp14:editId="4F9EB90B">
            <wp:extent cx="5400040" cy="3190240"/>
            <wp:effectExtent l="0" t="0" r="0" b="0"/>
            <wp:docPr id="652182072" name="図 5" descr="グラフ, 折れ線グラフ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182072" name="図 5" descr="グラフ, 折れ線グラフ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EDD56" w14:textId="77777777" w:rsidR="00012187" w:rsidRDefault="00012187" w:rsidP="000121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Supplementary figure S4 Clinical use algorithm</w:t>
      </w:r>
    </w:p>
    <w:p w14:paraId="749DEEDA" w14:textId="77777777" w:rsidR="00012187" w:rsidRPr="003234E1" w:rsidRDefault="00012187" w:rsidP="00012187">
      <w:pPr>
        <w:rPr>
          <w:rFonts w:ascii="Times New Roman" w:hAnsi="Times New Roman" w:cs="Times New Roman"/>
        </w:rPr>
      </w:pPr>
      <w:r w:rsidRPr="003234E1">
        <w:rPr>
          <w:rFonts w:ascii="Times New Roman" w:hAnsi="Times New Roman" w:cs="Times New Roman"/>
          <w:noProof/>
        </w:rPr>
        <w:drawing>
          <wp:inline distT="0" distB="0" distL="0" distR="0" wp14:anchorId="172DAF5E" wp14:editId="4EAD70DB">
            <wp:extent cx="5400040" cy="3599815"/>
            <wp:effectExtent l="0" t="0" r="0" b="635"/>
            <wp:docPr id="1158383367" name="図 7" descr="ダイアグラム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383367" name="図 7" descr="ダイアグラム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10D64" w14:textId="77777777" w:rsidR="00012187" w:rsidRPr="0085169C" w:rsidRDefault="00012187" w:rsidP="00012187">
      <w:pPr>
        <w:rPr>
          <w:rFonts w:ascii="Times New Roman" w:hAnsi="Times New Roman" w:cs="Times New Roman"/>
        </w:rPr>
      </w:pPr>
    </w:p>
    <w:p w14:paraId="79CB9A41" w14:textId="77777777" w:rsidR="00012187" w:rsidRDefault="00012187" w:rsidP="00012187"/>
    <w:p w14:paraId="01499C94" w14:textId="77777777" w:rsidR="00012187" w:rsidRPr="002B51E3" w:rsidRDefault="00012187" w:rsidP="00B34AA8">
      <w:pPr>
        <w:rPr>
          <w:rFonts w:ascii="Times New Roman" w:hAnsi="Times New Roman" w:cs="Times New Roman"/>
          <w:b/>
          <w:bCs/>
          <w:sz w:val="22"/>
          <w:szCs w:val="22"/>
        </w:rPr>
      </w:pPr>
    </w:p>
    <w:sectPr w:rsidR="00012187" w:rsidRPr="002B51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77734" w14:textId="77777777" w:rsidR="00D25986" w:rsidRDefault="00D25986" w:rsidP="00185E72">
      <w:r>
        <w:separator/>
      </w:r>
    </w:p>
  </w:endnote>
  <w:endnote w:type="continuationSeparator" w:id="0">
    <w:p w14:paraId="7BB9AB16" w14:textId="77777777" w:rsidR="00D25986" w:rsidRDefault="00D25986" w:rsidP="0018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5A391" w14:textId="77777777" w:rsidR="00D25986" w:rsidRDefault="00D25986" w:rsidP="00185E72">
      <w:r>
        <w:separator/>
      </w:r>
    </w:p>
  </w:footnote>
  <w:footnote w:type="continuationSeparator" w:id="0">
    <w:p w14:paraId="5B191755" w14:textId="77777777" w:rsidR="00D25986" w:rsidRDefault="00D25986" w:rsidP="00185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AA8"/>
    <w:rsid w:val="00012187"/>
    <w:rsid w:val="00185E72"/>
    <w:rsid w:val="001A71EE"/>
    <w:rsid w:val="00292E94"/>
    <w:rsid w:val="002A22D0"/>
    <w:rsid w:val="002B51E3"/>
    <w:rsid w:val="003234E1"/>
    <w:rsid w:val="00505402"/>
    <w:rsid w:val="00590716"/>
    <w:rsid w:val="00592C48"/>
    <w:rsid w:val="00697866"/>
    <w:rsid w:val="0085169C"/>
    <w:rsid w:val="00B34AA8"/>
    <w:rsid w:val="00BF3908"/>
    <w:rsid w:val="00D25986"/>
    <w:rsid w:val="00EA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9EEC3"/>
  <w15:chartTrackingRefBased/>
  <w15:docId w15:val="{71903310-A864-48A5-9DD1-FAFE2F0A2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AA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4AA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4A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4AA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4AA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4AA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4AA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4AA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4AA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4AA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34AA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34AA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34AA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34AA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34AA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34A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4AA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34A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4A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34A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4AA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34AA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34A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34AA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34AA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85E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85E72"/>
  </w:style>
  <w:style w:type="paragraph" w:styleId="ac">
    <w:name w:val="footer"/>
    <w:basedOn w:val="a"/>
    <w:link w:val="ad"/>
    <w:uiPriority w:val="99"/>
    <w:unhideWhenUsed/>
    <w:rsid w:val="00185E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85E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257</Words>
  <Characters>1618</Characters>
  <Application>Microsoft Office Word</Application>
  <DocSecurity>0</DocSecurity>
  <Lines>89</Lines>
  <Paragraphs>72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UMEGAKI Hiroyuki</dc:creator>
  <cp:keywords/>
  <dc:description/>
  <cp:lastModifiedBy>UMEGAKI Hiroyuki</cp:lastModifiedBy>
  <cp:revision>10</cp:revision>
  <dcterms:created xsi:type="dcterms:W3CDTF">2026-02-22T23:55:00Z</dcterms:created>
  <dcterms:modified xsi:type="dcterms:W3CDTF">2026-02-23T02:08:00Z</dcterms:modified>
</cp:coreProperties>
</file>