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11EE2" w14:textId="77777777" w:rsidR="00C6280B" w:rsidRPr="00C6280B" w:rsidRDefault="00C6280B" w:rsidP="00C6280B">
      <w:pPr>
        <w:rPr>
          <w:b/>
          <w:bCs/>
        </w:rPr>
      </w:pPr>
      <w:r w:rsidRPr="00C6280B">
        <w:rPr>
          <w:b/>
          <w:bCs/>
        </w:rPr>
        <w:t>Graphical abstract</w:t>
      </w:r>
    </w:p>
    <w:p w14:paraId="04DAA1D7" w14:textId="77777777" w:rsidR="00C6280B" w:rsidRPr="00C6280B" w:rsidRDefault="00C6280B" w:rsidP="00C6280B">
      <w:r w:rsidRPr="00C6280B">
        <w:rPr>
          <w:b/>
          <w:bCs/>
        </w:rPr>
        <w:t>Schematic model illustrating the role of the GAS2–KLF4 axis in regulating mitochondrial apoptotic vulnerability in colorectal cancer (CRC)</w:t>
      </w:r>
      <w:r w:rsidRPr="00C6280B">
        <w:t xml:space="preserve">. CRC cells characterized by elevated GAS2 and reduced KLF4 exhibit suppressed intrinsic apoptosis. Modulation of this axis by butyrate-producing microbiota–derived butyrate decreases GAS2 expression and restores KLF4 levels, promoting mitochondrial remodeling and fission accompanied by reduced lysosomal density and activation of intrinsic apoptotic pathways. Idarubicin (IDA), a topoisomerase II inhibitor, further enhances apoptotic signaling. Activation of this pathway ultimately leads to reduced tumor growth </w:t>
      </w:r>
      <w:r w:rsidRPr="00C6280B">
        <w:rPr>
          <w:i/>
          <w:iCs/>
        </w:rPr>
        <w:t>in vivo</w:t>
      </w:r>
      <w:r w:rsidRPr="00C6280B">
        <w:t>.</w:t>
      </w:r>
    </w:p>
    <w:p w14:paraId="0E1D863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80B"/>
    <w:rsid w:val="002978F5"/>
    <w:rsid w:val="003852CF"/>
    <w:rsid w:val="004E780C"/>
    <w:rsid w:val="00653428"/>
    <w:rsid w:val="00C6280B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37208"/>
  <w15:chartTrackingRefBased/>
  <w15:docId w15:val="{7BB6470A-DD95-44D4-AB62-FCCDE2141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28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28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28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28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28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28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28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28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28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28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28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28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28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28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28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28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28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28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28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28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28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28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28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28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28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28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28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28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280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588</Characters>
  <Application>Microsoft Office Word</Application>
  <DocSecurity>0</DocSecurity>
  <Lines>9</Lines>
  <Paragraphs>2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2026-03-23T08:37:00Z</dcterms:created>
  <dcterms:modified xsi:type="dcterms:W3CDTF">2026-03-23T08:38:00Z</dcterms:modified>
</cp:coreProperties>
</file>