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1249" w:rsidRDefault="00E21249" w:rsidP="00E21249">
      <w:pPr>
        <w:spacing w:line="240" w:lineRule="auto"/>
        <w:rPr>
          <w:b/>
          <w:sz w:val="22"/>
          <w:szCs w:val="22"/>
        </w:rPr>
      </w:pPr>
      <w:r>
        <w:rPr>
          <w:b/>
          <w:sz w:val="22"/>
          <w:szCs w:val="22"/>
        </w:rPr>
        <w:t xml:space="preserve">Appendix A </w:t>
      </w:r>
      <w:bookmarkStart w:id="0" w:name="_GoBack"/>
      <w:bookmarkEnd w:id="0"/>
    </w:p>
    <w:p w:rsidR="00E21249" w:rsidRPr="006F65D7" w:rsidRDefault="00E21249" w:rsidP="00E21249">
      <w:pPr>
        <w:pStyle w:val="Caption"/>
        <w:keepNext/>
        <w:rPr>
          <w:i w:val="0"/>
          <w:iCs w:val="0"/>
          <w:color w:val="000000" w:themeColor="text1"/>
          <w:sz w:val="22"/>
          <w:szCs w:val="22"/>
        </w:rPr>
      </w:pPr>
      <w:r w:rsidRPr="006F65D7">
        <w:rPr>
          <w:i w:val="0"/>
          <w:iCs w:val="0"/>
          <w:color w:val="000000" w:themeColor="text1"/>
          <w:sz w:val="22"/>
          <w:szCs w:val="22"/>
        </w:rPr>
        <w:t>Table A.</w:t>
      </w:r>
      <w:r w:rsidRPr="006F65D7">
        <w:rPr>
          <w:i w:val="0"/>
          <w:iCs w:val="0"/>
          <w:color w:val="000000" w:themeColor="text1"/>
          <w:sz w:val="22"/>
          <w:szCs w:val="22"/>
        </w:rPr>
        <w:fldChar w:fldCharType="begin"/>
      </w:r>
      <w:r w:rsidRPr="006F65D7">
        <w:rPr>
          <w:i w:val="0"/>
          <w:iCs w:val="0"/>
          <w:color w:val="000000" w:themeColor="text1"/>
          <w:sz w:val="22"/>
          <w:szCs w:val="22"/>
        </w:rPr>
        <w:instrText xml:space="preserve"> SEQ Table \* ARABIC </w:instrText>
      </w:r>
      <w:r w:rsidRPr="006F65D7">
        <w:rPr>
          <w:i w:val="0"/>
          <w:iCs w:val="0"/>
          <w:color w:val="000000" w:themeColor="text1"/>
          <w:sz w:val="22"/>
          <w:szCs w:val="22"/>
        </w:rPr>
        <w:fldChar w:fldCharType="separate"/>
      </w:r>
      <w:r w:rsidRPr="006F65D7">
        <w:rPr>
          <w:i w:val="0"/>
          <w:iCs w:val="0"/>
          <w:color w:val="000000" w:themeColor="text1"/>
          <w:sz w:val="22"/>
          <w:szCs w:val="22"/>
        </w:rPr>
        <w:t>1</w:t>
      </w:r>
      <w:r w:rsidRPr="006F65D7">
        <w:rPr>
          <w:i w:val="0"/>
          <w:iCs w:val="0"/>
          <w:color w:val="000000" w:themeColor="text1"/>
          <w:sz w:val="22"/>
          <w:szCs w:val="22"/>
        </w:rPr>
        <w:fldChar w:fldCharType="end"/>
      </w:r>
      <w:r w:rsidRPr="006F65D7">
        <w:rPr>
          <w:i w:val="0"/>
          <w:iCs w:val="0"/>
          <w:color w:val="000000" w:themeColor="text1"/>
          <w:sz w:val="22"/>
          <w:szCs w:val="22"/>
        </w:rPr>
        <w:t>: Estimates of sensitivity and specificity used in the simulation</w:t>
      </w:r>
    </w:p>
    <w:tbl>
      <w:tblPr>
        <w:tblStyle w:val="TableGrid"/>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5"/>
        <w:gridCol w:w="1611"/>
        <w:gridCol w:w="1599"/>
        <w:gridCol w:w="1610"/>
        <w:gridCol w:w="1705"/>
      </w:tblGrid>
      <w:tr w:rsidR="00E21249" w:rsidRPr="003F7633" w:rsidTr="00EB5B70">
        <w:tc>
          <w:tcPr>
            <w:tcW w:w="2835" w:type="dxa"/>
            <w:tcBorders>
              <w:bottom w:val="nil"/>
            </w:tcBorders>
            <w:vAlign w:val="center"/>
          </w:tcPr>
          <w:p w:rsidR="00E21249" w:rsidRPr="00907DED" w:rsidRDefault="00E21249" w:rsidP="00EB5B70">
            <w:pPr>
              <w:spacing w:after="120"/>
              <w:jc w:val="left"/>
              <w:rPr>
                <w:color w:val="auto"/>
                <w:sz w:val="20"/>
                <w:szCs w:val="20"/>
              </w:rPr>
            </w:pPr>
          </w:p>
        </w:tc>
        <w:tc>
          <w:tcPr>
            <w:tcW w:w="3210" w:type="dxa"/>
            <w:gridSpan w:val="2"/>
            <w:tcBorders>
              <w:top w:val="single" w:sz="4" w:space="0" w:color="auto"/>
              <w:bottom w:val="single" w:sz="4" w:space="0" w:color="auto"/>
            </w:tcBorders>
            <w:vAlign w:val="center"/>
          </w:tcPr>
          <w:p w:rsidR="00E21249" w:rsidRPr="00907DED" w:rsidRDefault="00E21249" w:rsidP="00EB5B70">
            <w:pPr>
              <w:spacing w:after="120"/>
              <w:jc w:val="center"/>
              <w:rPr>
                <w:color w:val="auto"/>
                <w:sz w:val="20"/>
                <w:szCs w:val="20"/>
              </w:rPr>
            </w:pPr>
            <w:r w:rsidRPr="00907DED">
              <w:rPr>
                <w:color w:val="auto"/>
                <w:sz w:val="20"/>
                <w:szCs w:val="20"/>
              </w:rPr>
              <w:t>HIV-</w:t>
            </w:r>
          </w:p>
        </w:tc>
        <w:tc>
          <w:tcPr>
            <w:tcW w:w="3315" w:type="dxa"/>
            <w:gridSpan w:val="2"/>
            <w:tcBorders>
              <w:top w:val="single" w:sz="4" w:space="0" w:color="auto"/>
              <w:bottom w:val="single" w:sz="4" w:space="0" w:color="auto"/>
            </w:tcBorders>
            <w:vAlign w:val="center"/>
          </w:tcPr>
          <w:p w:rsidR="00E21249" w:rsidRPr="00907DED" w:rsidRDefault="00E21249" w:rsidP="00EB5B70">
            <w:pPr>
              <w:spacing w:after="120"/>
              <w:jc w:val="center"/>
              <w:rPr>
                <w:color w:val="auto"/>
                <w:sz w:val="20"/>
                <w:szCs w:val="20"/>
              </w:rPr>
            </w:pPr>
            <w:r w:rsidRPr="00907DED">
              <w:rPr>
                <w:color w:val="auto"/>
                <w:sz w:val="20"/>
                <w:szCs w:val="20"/>
              </w:rPr>
              <w:t>HIV+</w:t>
            </w:r>
          </w:p>
        </w:tc>
      </w:tr>
      <w:tr w:rsidR="00E21249" w:rsidRPr="003F7633" w:rsidTr="00EB5B70">
        <w:tc>
          <w:tcPr>
            <w:tcW w:w="2835" w:type="dxa"/>
            <w:tcBorders>
              <w:top w:val="nil"/>
              <w:bottom w:val="single" w:sz="4" w:space="0" w:color="auto"/>
            </w:tcBorders>
            <w:vAlign w:val="center"/>
          </w:tcPr>
          <w:p w:rsidR="00E21249" w:rsidRPr="00907DED" w:rsidRDefault="00E21249" w:rsidP="00EB5B70">
            <w:pPr>
              <w:spacing w:after="120"/>
              <w:jc w:val="left"/>
              <w:rPr>
                <w:color w:val="auto"/>
                <w:sz w:val="20"/>
                <w:szCs w:val="20"/>
              </w:rPr>
            </w:pPr>
            <w:r w:rsidRPr="00907DED">
              <w:rPr>
                <w:color w:val="auto"/>
                <w:sz w:val="20"/>
                <w:szCs w:val="20"/>
              </w:rPr>
              <w:t>Diagnostic test</w:t>
            </w:r>
          </w:p>
        </w:tc>
        <w:tc>
          <w:tcPr>
            <w:tcW w:w="1611" w:type="dxa"/>
            <w:tcBorders>
              <w:top w:val="single" w:sz="4" w:space="0" w:color="auto"/>
              <w:bottom w:val="single" w:sz="4" w:space="0" w:color="auto"/>
            </w:tcBorders>
            <w:vAlign w:val="center"/>
          </w:tcPr>
          <w:p w:rsidR="00E21249" w:rsidRPr="00907DED" w:rsidRDefault="00E21249" w:rsidP="00EB5B70">
            <w:pPr>
              <w:spacing w:after="120"/>
              <w:jc w:val="center"/>
              <w:rPr>
                <w:color w:val="auto"/>
                <w:sz w:val="20"/>
                <w:szCs w:val="20"/>
              </w:rPr>
            </w:pPr>
            <w:r w:rsidRPr="00907DED">
              <w:rPr>
                <w:color w:val="auto"/>
                <w:sz w:val="20"/>
                <w:szCs w:val="20"/>
              </w:rPr>
              <w:t>Sensitivity (%</w:t>
            </w:r>
            <w:proofErr w:type="gramStart"/>
            <w:r w:rsidRPr="00907DED">
              <w:rPr>
                <w:color w:val="auto"/>
                <w:sz w:val="20"/>
                <w:szCs w:val="20"/>
              </w:rPr>
              <w:t>)</w:t>
            </w:r>
            <w:r w:rsidRPr="00907DED">
              <w:rPr>
                <w:color w:val="auto"/>
                <w:sz w:val="20"/>
                <w:szCs w:val="20"/>
                <w:vertAlign w:val="superscript"/>
              </w:rPr>
              <w:t>‡</w:t>
            </w:r>
            <w:proofErr w:type="gramEnd"/>
          </w:p>
        </w:tc>
        <w:tc>
          <w:tcPr>
            <w:tcW w:w="1599" w:type="dxa"/>
            <w:tcBorders>
              <w:top w:val="single" w:sz="4" w:space="0" w:color="auto"/>
              <w:bottom w:val="single" w:sz="4" w:space="0" w:color="auto"/>
            </w:tcBorders>
            <w:vAlign w:val="center"/>
          </w:tcPr>
          <w:p w:rsidR="00E21249" w:rsidRPr="00907DED" w:rsidRDefault="00E21249" w:rsidP="00EB5B70">
            <w:pPr>
              <w:spacing w:after="120"/>
              <w:jc w:val="center"/>
              <w:rPr>
                <w:color w:val="auto"/>
                <w:sz w:val="20"/>
                <w:szCs w:val="20"/>
              </w:rPr>
            </w:pPr>
            <w:r w:rsidRPr="00907DED">
              <w:rPr>
                <w:color w:val="auto"/>
                <w:sz w:val="20"/>
                <w:szCs w:val="20"/>
              </w:rPr>
              <w:t>Specificity (%</w:t>
            </w:r>
            <w:proofErr w:type="gramStart"/>
            <w:r w:rsidRPr="00907DED">
              <w:rPr>
                <w:color w:val="auto"/>
                <w:sz w:val="20"/>
                <w:szCs w:val="20"/>
              </w:rPr>
              <w:t>)</w:t>
            </w:r>
            <w:r w:rsidRPr="00907DED">
              <w:rPr>
                <w:color w:val="auto"/>
                <w:sz w:val="20"/>
                <w:szCs w:val="20"/>
                <w:vertAlign w:val="superscript"/>
              </w:rPr>
              <w:t>‡</w:t>
            </w:r>
            <w:proofErr w:type="gramEnd"/>
          </w:p>
        </w:tc>
        <w:tc>
          <w:tcPr>
            <w:tcW w:w="1610" w:type="dxa"/>
            <w:tcBorders>
              <w:top w:val="single" w:sz="4" w:space="0" w:color="auto"/>
              <w:bottom w:val="single" w:sz="4" w:space="0" w:color="auto"/>
            </w:tcBorders>
            <w:vAlign w:val="center"/>
          </w:tcPr>
          <w:p w:rsidR="00E21249" w:rsidRPr="00907DED" w:rsidRDefault="00E21249" w:rsidP="00EB5B70">
            <w:pPr>
              <w:spacing w:after="120"/>
              <w:jc w:val="center"/>
              <w:rPr>
                <w:color w:val="auto"/>
                <w:sz w:val="20"/>
                <w:szCs w:val="20"/>
              </w:rPr>
            </w:pPr>
            <w:r w:rsidRPr="00907DED">
              <w:rPr>
                <w:color w:val="auto"/>
                <w:sz w:val="20"/>
                <w:szCs w:val="20"/>
              </w:rPr>
              <w:t>Sensitivity (%</w:t>
            </w:r>
            <w:proofErr w:type="gramStart"/>
            <w:r w:rsidRPr="00907DED">
              <w:rPr>
                <w:color w:val="auto"/>
                <w:sz w:val="20"/>
                <w:szCs w:val="20"/>
              </w:rPr>
              <w:t>)</w:t>
            </w:r>
            <w:r w:rsidRPr="00907DED">
              <w:rPr>
                <w:color w:val="auto"/>
                <w:sz w:val="20"/>
                <w:szCs w:val="20"/>
                <w:vertAlign w:val="superscript"/>
              </w:rPr>
              <w:t>‡</w:t>
            </w:r>
            <w:proofErr w:type="gramEnd"/>
          </w:p>
        </w:tc>
        <w:tc>
          <w:tcPr>
            <w:tcW w:w="1705" w:type="dxa"/>
            <w:tcBorders>
              <w:top w:val="single" w:sz="4" w:space="0" w:color="auto"/>
              <w:bottom w:val="single" w:sz="4" w:space="0" w:color="auto"/>
            </w:tcBorders>
            <w:vAlign w:val="center"/>
          </w:tcPr>
          <w:p w:rsidR="00E21249" w:rsidRPr="00907DED" w:rsidRDefault="00E21249" w:rsidP="00EB5B70">
            <w:pPr>
              <w:spacing w:after="120"/>
              <w:jc w:val="center"/>
              <w:rPr>
                <w:color w:val="auto"/>
                <w:sz w:val="20"/>
                <w:szCs w:val="20"/>
              </w:rPr>
            </w:pPr>
            <w:r w:rsidRPr="00907DED">
              <w:rPr>
                <w:color w:val="auto"/>
                <w:sz w:val="20"/>
                <w:szCs w:val="20"/>
              </w:rPr>
              <w:t>Specificity (%</w:t>
            </w:r>
            <w:proofErr w:type="gramStart"/>
            <w:r w:rsidRPr="00907DED">
              <w:rPr>
                <w:color w:val="auto"/>
                <w:sz w:val="20"/>
                <w:szCs w:val="20"/>
              </w:rPr>
              <w:t>)</w:t>
            </w:r>
            <w:r w:rsidRPr="00907DED">
              <w:rPr>
                <w:color w:val="auto"/>
                <w:sz w:val="20"/>
                <w:szCs w:val="20"/>
                <w:vertAlign w:val="superscript"/>
              </w:rPr>
              <w:t>‡</w:t>
            </w:r>
            <w:proofErr w:type="gramEnd"/>
          </w:p>
        </w:tc>
      </w:tr>
      <w:tr w:rsidR="00E21249" w:rsidRPr="003F7633" w:rsidTr="00EB5B70">
        <w:tc>
          <w:tcPr>
            <w:tcW w:w="2835" w:type="dxa"/>
            <w:tcBorders>
              <w:top w:val="single" w:sz="4" w:space="0" w:color="auto"/>
            </w:tcBorders>
            <w:vAlign w:val="center"/>
          </w:tcPr>
          <w:p w:rsidR="00E21249" w:rsidRPr="00907DED" w:rsidRDefault="00E21249" w:rsidP="00EB5B70">
            <w:pPr>
              <w:spacing w:after="120"/>
              <w:jc w:val="left"/>
              <w:rPr>
                <w:color w:val="auto"/>
                <w:sz w:val="20"/>
                <w:szCs w:val="20"/>
              </w:rPr>
            </w:pPr>
            <w:r w:rsidRPr="00907DED">
              <w:rPr>
                <w:color w:val="auto"/>
                <w:sz w:val="20"/>
                <w:szCs w:val="20"/>
              </w:rPr>
              <w:t xml:space="preserve">Any TB symptom </w:t>
            </w:r>
            <w:r w:rsidRPr="00907DED">
              <w:rPr>
                <w:color w:val="auto"/>
                <w:sz w:val="20"/>
                <w:szCs w:val="20"/>
              </w:rPr>
              <w:fldChar w:fldCharType="begin" w:fldLock="1"/>
            </w:r>
            <w:r>
              <w:rPr>
                <w:color w:val="auto"/>
                <w:sz w:val="20"/>
                <w:szCs w:val="20"/>
              </w:rPr>
              <w:instrText>ADDIN CSL_CITATION {"citationItems":[{"id":"ITEM-1","itemData":{"DOI":"10.1016/S1473-3099(17)30691-6","ISSN":"14744457","PMID":"29198911","abstract":"Background The Xpert MTB/RIF assay is an automated molecular test that has improved the detection of tuberculosis and rifampicin resistance, but its sensitivity is inadequate in patients with paucibacillary disease or HIV. Xpert MTB/RIF Ultra (Xpert Ultra) was developed to overcome this limitation. We compared the diagnostic performance of Xpert Ultra with that of Xpert for detection of tuberculosis and rifampicin resistance. Methods In this prospective, multicentre, diagnostic accuracy study, we recruited adults with pulmonary tuberculosis symptoms presenting at primary health-care centres and hospitals in eight countries (South Africa, Uganda, Kenya, India, China, Georgia, Belarus, and Brazil). Participants were allocated to the case detection group if no drugs had been taken for tuberculosis in the past 6 months or to the multidrug-resistance risk group if drugs for tuberculosis had been taken in the past 6 months, but drug resistance was suspected. Demographic information, medical history, chest imaging results, and HIV test results were recorded at enrolment, and each participant gave at least three sputum specimen on 2 separate days. Xpert and Xpert Ultra diagnostic performance in the same sputum specimen was compared with culture tests and drug susceptibility testing as reference standards. The primary objectives were to estimate and compare the sensitivity of Xpert Ultra test with that of Xpert for detection of smear-negative tuberculosis and rifampicin resistance and to estimate and compare Xpert Ultra and Xpert specificities for detection of rifampicin resistance. Study participants in the case detection group were included in all analyses, whereas participants in the multidrug-resistance risk group were only included in analyses of rifampicin-resistance detection. Findings Between Feb 18, and Dec 24, 2016, we enrolled 2368 participants for sputum sampling. 248 participants were excluded from the analysis, and 1753 participants were distributed to the case detection group (n=1439) and the multidrug-resistance risk group (n=314). Sensitivities of Xpert Ultra and Xpert were 63% and 46%, respectively, for the 137 participants with smear-negative and culture-positive sputum (difference of 17%, 95% CI 10 to 24); 90% and 77%, respectively, for the 115 HIV-positive participants with culture-positive sputum (13%, 6·4 to 21); and 88% and 83%, respectively, across all 462 participants with culture-positive sputum (5·4%, 3·3 to 8·0). Specificities of Xpe…","author":[{"dropping-particle":"","family":"Dorman","given":"Susan E.","non-dropping-particle":"","parse-names":false,"suffix":""},{"dropping-particle":"","family":"Schumacher","given":"Samuel G.","non-dropping-particle":"","parse-names":false,"suffix":""},{"dropping-particle":"","family":"Alland","given":"David","non-dropping-particle":"","parse-names":false,"suffix":""},{"dropping-particle":"","family":"Nabeta","given":"Pamela","non-dropping-particle":"","parse-names":false,"suffix":""},{"dropping-particle":"","family":"Armstrong","given":"Derek T.","non-dropping-particle":"","parse-names":false,"suffix":""},{"dropping-particle":"","family":"King","given":"Bonnie","non-dropping-particle":"","parse-names":false,"suffix":""},{"dropping-particle":"","family":"Hall","given":"Sandra L.","non-dropping-particle":"","parse-names":false,"suffix":""},{"dropping-particle":"","family":"Chakravorty","given":"Soumitesh","non-dropping-particle":"","parse-names":false,"suffix":""},{"dropping-particle":"","family":"Cirillo","given":"Daniela M.","non-dropping-particle":"","parse-names":false,"suffix":""},{"dropping-particle":"","family":"Tukvadze","given":"Nestani","non-dropping-particle":"","parse-names":false,"suffix":""},{"dropping-particle":"","family":"Bablishvili","given":"Nino","non-dropping-particle":"","parse-names":false,"suffix":""},{"dropping-particle":"","family":"Stevens","given":"Wendy","non-dropping-particle":"","parse-names":false,"suffix":""},{"dropping-particle":"","family":"Scott","given":"Lesley","non-dropping-particle":"","parse-names":false,"suffix":""},{"dropping-particle":"","family":"Rodrigues","given":"Camilla","non-dropping-particle":"","parse-names":false,"suffix":""},{"dropping-particle":"","family":"Kazi","given":"Mubin I.","non-dropping-particle":"","parse-names":false,"suffix":""},{"dropping-particle":"","family":"Joloba","given":"Moses","non-dropping-particle":"","parse-names":false,"suffix":""},{"dropping-particle":"","family":"Nakiyingi","given":"Lydia","non-dropping-particle":"","parse-names":false,"suffix":""},{"dropping-particle":"","family":"Nicol","given":"Mark P.","non-dropping-particle":"","parse-names":false,"suffix":""},{"dropping-particle":"","family":"Ghebrekristos","given":"Yonas","non-dropping-particle":"","parse-names":false,"suffix":""},{"dropping-particle":"","family":"Anyango","given":"Irene","non-dropping-particle":"","parse-names":false,"suffix":""},{"dropping-particle":"","family":"Murithi","given":"Wilfred","non-dropping-particle":"","parse-names":false,"suffix":""},{"dropping-particle":"","family":"Dietze","given":"Reynaldo","non-dropping-particle":"","parse-names":false,"suffix":""},{"dropping-particle":"","family":"Lyrio Peres","given":"Renata","non-dropping-particle":"","parse-names":false,"suffix":""},{"dropping-particle":"","family":"Skrahina","given":"Alena","non-dropping-particle":"","parse-names":false,"suffix":""},{"dropping-particle":"","family":"Auchynka","given":"Vera","non-dropping-particle":"","parse-names":false,"suffix":""},{"dropping-particle":"","family":"Chopra","given":"Kamal Kishore","non-dropping-particle":"","parse-names":false,"suffix":""},{"dropping-particle":"","family":"Hanif","given":"Mahmud","non-dropping-particle":"","parse-names":false,"suffix":""},{"dropping-particle":"","family":"Liu","given":"Xin","non-dropping-particle":"","parse-names":false,"suffix":""},{"dropping-particle":"","family":"Yuan","given":"Xing","non-dropping-particle":"","parse-names":false,"suffix":""},{"dropping-particle":"","family":"Boehme","given":"Catharina C.","non-dropping-particle":"","parse-names":false,"suffix":""},{"dropping-particle":"","family":"Ellner","given":"Jerrold J.","non-dropping-particle":"","parse-names":false,"suffix":""},{"dropping-particle":"","family":"Denkinger","given":"Claudia M.","non-dropping-particle":"","parse-names":false,"suffix":""},{"dropping-particle":"","family":"Dorman","given":"Susan E.","non-dropping-particle":"","parse-names":false,"suffix":""},{"dropping-particle":"","family":"Schumacher","given":"Samuel G.","non-dropping-particle":"","parse-names":false,"suffix":""},{"dropping-particle":"","family":"Alland","given":"David","non-dropping-particle":"","parse-names":false,"suffix":""},{"dropping-particle":"","family":"Nabeta","given":"Pamela","non-dropping-particle":"","parse-names":false,"suffix":""},{"dropping-particle":"","family":"Armstrong","given":"Derek T.","non-dropping-particle":"","parse-names":false,"suffix":""},{"dropping-particle":"","family":"King","given":"Bonnie","non-dropping-particle":"","parse-names":false,"suffix":""},{"dropping-particle":"","family":"Hall","given":"Sandra L.","non-dropping-particle":"","parse-names":false,"suffix":""},{"dropping-particle":"","family":"Chakravorty","given":"Soumitesh","non-dropping-particle":"","parse-names":false,"suffix":""},{"dropping-particle":"","family":"Cirillo","given":"Daniela M.","non-dropping-particle":"","parse-names":false,"suffix":""},{"dropping-particle":"","family":"Tukvadze","given":"Nestani","non-dropping-particle":"","parse-names":false,"suffix":""},{"dropping-particle":"","family":"Bablishvili","given":"Nino","non-dropping-particle":"","parse-names":false,"suffix":""},{"dropping-particle":"","family":"Stevens","given":"Wendy","non-dropping-particle":"","parse-names":false,"suffix":""},{"dropping-particle":"","family":"Scott","given":"Lesley","non-dropping-particle":"","parse-names":false,"suffix":""},{"dropping-particle":"","family":"Rodrigues","given":"Camilla","non-dropping-particle":"","parse-names":false,"suffix":""},{"dropping-particle":"","family":"Kazi","given":"Mubin I.","non-dropping-particle":"","parse-names":false,"suffix":""},{"dropping-particle":"","family":"Joloba","given":"Moses","non-dropping-particle":"","parse-names":false,"suffix":""},{"dropping-particle":"","family":"Nakiyingi","given":"Lydia","non-dropping-particle":"","parse-names":false,"suffix":""},{"dropping-particle":"","family":"Ghebrekristos","given":"Yonas","non-dropping-particle":"","parse-names":false,"suffix":""},{"dropping-particle":"","family":"Anyango","given":"Irene","non-dropping-particle":"","parse-names":false,"suffix":""},{"dropping-particle":"","family":"Murithi","given":"Wilfred","non-dropping-particle":"","parse-names":false,"suffix":""},{"dropping-particle":"","family":"Dietze","given":"Reynaldo","non-dropping-particle":"","parse-names":false,"suffix":""},{"dropping-particle":"","family":"Peres","given":"Renata Lyrio","non-dropping-particle":"","parse-names":false,"suffix":""},{"dropping-particle":"","family":"Skrahina","given":"Alena","non-dropping-particle":"","parse-names":false,"suffix":""},{"dropping-particle":"","family":"Auchynka","given":"Vera","non-dropping-particle":"","parse-names":false,"suffix":""},{"dropping-particle":"","family":"Chopra","given":"Kamal Kishore","non-dropping-particle":"","parse-names":false,"suffix":""},{"dropping-particle":"","family":"Hanif","given":"Mahmud","non-dropping-particle":"","parse-names":false,"suffix":""},{"dropping-particle":"","family":"Liu","given":"Xin","non-dropping-particle":"","parse-names":false,"suffix":""},{"dropping-particle":"","family":"Yuan","given":"Xing","non-dropping-particle":"","parse-names":false,"suffix":""},{"dropping-particle":"","family":"Boehme","given":"Catharina C.","non-dropping-particle":"","parse-names":false,"suffix":""},{"dropping-particle":"","family":"Ellner","given":"Jerrold J.","non-dropping-particle":"","parse-names":false,"suffix":""},{"dropping-particle":"","family":"Denkinger","given":"Claudia M.","non-dropping-particle":"","parse-names":false,"suffix":""},{"dropping-particle":"","family":"Manabe","given":"Yukari C.","non-dropping-particle":"","parse-names":false,"suffix":""},{"dropping-particle":"","family":"Hom","given":"David","non-dropping-particle":"","parse-names":false,"suffix":""},{"dropping-particle":"","family":"Aspindzelashvili","given":"Rusudan","non-dropping-particle":"","parse-names":false,"suffix":""},{"dropping-particle":"","family":"David","given":"Anura","non-dropping-particle":"","parse-names":false,"suffix":""},{"dropping-particle":"","family":"Surve","given":"Utkarsha","non-dropping-particle":"","parse-names":false,"suffix":""},{"dropping-particle":"","family":"Kamulegeya","given":"Louis Henry","non-dropping-particle":"","parse-names":false,"suffix":""},{"dropping-particle":"","family":"Nabweyambo","given":"Sheila","non-dropping-particle":"","parse-names":false,"suffix":""},{"dropping-particle":"","family":"Surtie","given":"Shireen","non-dropping-particle":"","parse-names":false,"suffix":""},{"dropping-particle":"","family":"Hapeela","given":"Nchimunya","non-dropping-particle":"","parse-names":false,"suffix":""},{"dropping-particle":"","family":"Cain","given":"Kevin P.","non-dropping-particle":"","parse-names":false,"suffix":""},{"dropping-particle":"","family":"Agaya","given":"Janet","non-dropping-particle":"","parse-names":false,"suffix":""},{"dropping-particle":"","family":"McCarthy","given":"Kimberly D.","non-dropping-particle":"","parse-names":false,"suffix":""},{"dropping-particle":"","family":"Marques-Rodrigues","given":"Patricia","non-dropping-particle":"","parse-names":false,"suffix":""},{"dropping-particle":"","family":"Schmidt Castellani","given":"Luiz Guilherme","non-dropping-particle":"","parse-names":false,"suffix":""},{"dropping-particle":"","family":"Almeida","given":"Pedro Sousa","non-dropping-particle":"","parse-names":false,"suffix":""},{"dropping-particle":"","family":"Aguiar","given":"Paola Poloni Lobo","non-dropping-particle":"de","parse-names":false,"suffix":""},{"dropping-particle":"","family":"Solodovnikova","given":"Varvara","non-dropping-particle":"","parse-names":false,"suffix":""},{"dropping-particle":"","family":"Ruan","given":"Xianglin","non-dropping-particle":"","parse-names":false,"suffix":""},{"dropping-particle":"","family":"Liang","given":"Lili","non-dropping-particle":"","parse-names":false,"suffix":""},{"dropping-particle":"","family":"Zhang","given":"Guolong","non-dropping-particle":"","parse-names":false,"suffix":""},{"dropping-particle":"","family":"Zhu","given":"Hong","non-dropping-particle":"","parse-names":false,"suffix":""},{"dropping-particle":"","family":"Xie","given":"Yingda","non-dropping-particle":"","parse-names":false,"suffix":""}],"container-title":"The Lancet Infectious Diseases","id":"ITEM-1","issue":"1","issued":{"date-parts":[["2018"]]},"page":"76-84","title":"Xpert MTB/RIF Ultra for detection of Mycobacterium tuberculosis and rifampicin resistance: a prospective multicentre diagnostic accuracy study","type":"article","volume":"18"},"uris":["http://www.mendeley.com/documents/?uuid=cd0bbfd1-ccc4-4923-ac2d-249b9a7287d8"]},{"id":"ITEM-2","itemData":{"DOI":"WHO/HTM/TB/2013.04","ISBN":"9789241548601","ISSN":"&lt;null&gt;","PMID":"25996015","abstract":"Principles and recommendations","author":[{"dropping-particle":"","family":"WHO","given":"","non-dropping-particle":"","parse-names":false,"suffix":""}],"container-title":"Who/Htm/Tb/2013.04","id":"ITEM-2","issued":{"date-parts":[["2013"]]},"number-of-pages":"1-123","publisher-place":"World Health Organization","title":"Systematic screening for active tuberculosis:Principles and Recommendations","type":"report"},"uris":["http://www.mendeley.com/documents/?uuid=ec6c89ac-1d09-4b68-a51a-5134c62fd46b"]}],"mendeley":{"formattedCitation":"[12], [29]","plainTextFormattedCitation":"[12], [29]","previouslyFormattedCitation":"[12], [29]"},"properties":{"noteIndex":0},"schema":"https://github.com/citation-style-language/schema/raw/master/csl-citation.json"}</w:instrText>
            </w:r>
            <w:r w:rsidRPr="00907DED">
              <w:rPr>
                <w:color w:val="auto"/>
                <w:sz w:val="20"/>
                <w:szCs w:val="20"/>
              </w:rPr>
              <w:fldChar w:fldCharType="separate"/>
            </w:r>
            <w:r w:rsidRPr="00FB5C35">
              <w:rPr>
                <w:noProof/>
                <w:color w:val="auto"/>
                <w:sz w:val="20"/>
                <w:szCs w:val="20"/>
              </w:rPr>
              <w:t>[12], [29]</w:t>
            </w:r>
            <w:r w:rsidRPr="00907DED">
              <w:rPr>
                <w:color w:val="auto"/>
                <w:sz w:val="20"/>
                <w:szCs w:val="20"/>
              </w:rPr>
              <w:fldChar w:fldCharType="end"/>
            </w:r>
          </w:p>
        </w:tc>
        <w:tc>
          <w:tcPr>
            <w:tcW w:w="1611" w:type="dxa"/>
            <w:tcBorders>
              <w:top w:val="single" w:sz="4" w:space="0" w:color="auto"/>
            </w:tcBorders>
            <w:vAlign w:val="center"/>
          </w:tcPr>
          <w:p w:rsidR="00E21249" w:rsidRPr="00907DED" w:rsidRDefault="00E21249" w:rsidP="00EB5B70">
            <w:pPr>
              <w:spacing w:after="120"/>
              <w:jc w:val="center"/>
              <w:rPr>
                <w:color w:val="auto"/>
                <w:sz w:val="20"/>
                <w:szCs w:val="20"/>
              </w:rPr>
            </w:pPr>
            <w:r w:rsidRPr="00907DED">
              <w:rPr>
                <w:color w:val="auto"/>
                <w:sz w:val="20"/>
                <w:szCs w:val="20"/>
              </w:rPr>
              <w:t>72.0</w:t>
            </w:r>
          </w:p>
        </w:tc>
        <w:tc>
          <w:tcPr>
            <w:tcW w:w="1599" w:type="dxa"/>
            <w:tcBorders>
              <w:top w:val="single" w:sz="4" w:space="0" w:color="auto"/>
            </w:tcBorders>
            <w:vAlign w:val="center"/>
          </w:tcPr>
          <w:p w:rsidR="00E21249" w:rsidRPr="00907DED" w:rsidRDefault="00E21249" w:rsidP="00EB5B70">
            <w:pPr>
              <w:spacing w:after="120"/>
              <w:jc w:val="center"/>
              <w:rPr>
                <w:color w:val="auto"/>
                <w:sz w:val="20"/>
                <w:szCs w:val="20"/>
              </w:rPr>
            </w:pPr>
            <w:r w:rsidRPr="00907DED">
              <w:rPr>
                <w:color w:val="auto"/>
                <w:sz w:val="20"/>
                <w:szCs w:val="20"/>
              </w:rPr>
              <w:t>73.0</w:t>
            </w:r>
          </w:p>
        </w:tc>
        <w:tc>
          <w:tcPr>
            <w:tcW w:w="1610" w:type="dxa"/>
            <w:tcBorders>
              <w:top w:val="single" w:sz="4" w:space="0" w:color="auto"/>
            </w:tcBorders>
            <w:vAlign w:val="center"/>
          </w:tcPr>
          <w:p w:rsidR="00E21249" w:rsidRPr="00907DED" w:rsidRDefault="00E21249" w:rsidP="00EB5B70">
            <w:pPr>
              <w:spacing w:after="120"/>
              <w:jc w:val="center"/>
              <w:rPr>
                <w:color w:val="auto"/>
                <w:sz w:val="20"/>
                <w:szCs w:val="20"/>
              </w:rPr>
            </w:pPr>
            <w:r w:rsidRPr="00907DED">
              <w:rPr>
                <w:color w:val="auto"/>
                <w:sz w:val="20"/>
                <w:szCs w:val="20"/>
              </w:rPr>
              <w:t>79.0</w:t>
            </w:r>
          </w:p>
        </w:tc>
        <w:tc>
          <w:tcPr>
            <w:tcW w:w="1705" w:type="dxa"/>
            <w:tcBorders>
              <w:top w:val="single" w:sz="4" w:space="0" w:color="auto"/>
            </w:tcBorders>
            <w:vAlign w:val="center"/>
          </w:tcPr>
          <w:p w:rsidR="00E21249" w:rsidRPr="00907DED" w:rsidRDefault="00E21249" w:rsidP="00EB5B70">
            <w:pPr>
              <w:spacing w:after="120"/>
              <w:jc w:val="center"/>
              <w:rPr>
                <w:color w:val="auto"/>
                <w:sz w:val="20"/>
                <w:szCs w:val="20"/>
              </w:rPr>
            </w:pPr>
            <w:r w:rsidRPr="00907DED">
              <w:rPr>
                <w:color w:val="auto"/>
                <w:sz w:val="20"/>
                <w:szCs w:val="20"/>
              </w:rPr>
              <w:t>50.0</w:t>
            </w:r>
          </w:p>
        </w:tc>
      </w:tr>
      <w:tr w:rsidR="00E21249" w:rsidRPr="003F7633" w:rsidTr="00EB5B70">
        <w:tc>
          <w:tcPr>
            <w:tcW w:w="2835" w:type="dxa"/>
            <w:vAlign w:val="center"/>
          </w:tcPr>
          <w:p w:rsidR="00E21249" w:rsidRPr="00907DED" w:rsidRDefault="00E21249" w:rsidP="00EB5B70">
            <w:pPr>
              <w:spacing w:after="120"/>
              <w:jc w:val="left"/>
              <w:rPr>
                <w:color w:val="auto"/>
                <w:sz w:val="20"/>
                <w:szCs w:val="20"/>
              </w:rPr>
            </w:pPr>
            <w:r w:rsidRPr="00907DED">
              <w:rPr>
                <w:color w:val="auto"/>
                <w:sz w:val="20"/>
                <w:szCs w:val="20"/>
              </w:rPr>
              <w:t xml:space="preserve">CRP (&gt;10mg/L) </w:t>
            </w:r>
            <w:r w:rsidRPr="00907DED">
              <w:rPr>
                <w:color w:val="auto"/>
                <w:sz w:val="20"/>
                <w:szCs w:val="20"/>
              </w:rPr>
              <w:fldChar w:fldCharType="begin" w:fldLock="1"/>
            </w:r>
            <w:r>
              <w:rPr>
                <w:color w:val="auto"/>
                <w:sz w:val="20"/>
                <w:szCs w:val="20"/>
              </w:rPr>
              <w:instrText>ADDIN CSL_CITATION {"citationItems":[{"id":"ITEM-1","itemData":{"DOI":"10.5588/ijtld.17.0078.Diagnostic","ISBN":"1073-449X","abstract":"RATIONALE With the current symptom-based tuberculosis (TB) screening strategy for people living with HIV (PLHIV), the vast majority (~80%) of patients without active TB screen positive. The consequence for patients is missed or delayed initiation of isoniazid preventive therapy (IPT), and for HIV/AIDS programs a large volume of unnecessary TB testing. We performed a systematic review and meta-analysis to determine whether C-reactive protein (CRP) could improve current screening/diagnostic algorithms for active TB. METHODS Because we anticipated few studies would evaluate CRP in the context of TB screening, we searched multiple databases to identify all studies that measured CRP levels from patients undergoing screening or evaluation for active pulmonary TB. We assessed methodologic quality using the Quality Assessment of Diagnostic Accuracy Studies 2 (QUADAS-2) tool and used a uniform CRP cutpoint of 10 mg/L to calculate pooled estimates of sensitivity and specificity using random effects modeling when at least four studies were present. We decided a priori to calculate pooled estimates separately for inpatient and outpatient studies and to conduct a sub-group analysis including only PLHIV. RESULTS Nine studies (1799 patients) were included. Only one study satisfied all four QUADAS-2 domains; most studies were of medium quality. All but one study was performed in a TB endemic country and most (8/9) also enrolled PLHIV (N=1299), including six studies that restricted enrollment to PLHIV. Of the nine studies, four recruited patients from the outpatient setting (N=977), including two studies that evaluated CRP in the context of TB screening. Among outpatient studies, the pooled sensitivity of CRP was 92% (95% CI: 83-97) and the pooled specificity was 68% (95% CI: 49-82; Figure 1). Pooled estimates of sensitivity (92%, 95% CI: 82-97) and specificity (70%, 95% CI: 49-85) were similar when we restricted our analysis to outpatients with known HIV infection (N=935). Among the four inpatient studies (N=646), pooled specificity was expectedly lower at 30% (95% CI: 12-57). CONCLUSIONS Among outpatients, including PLHIV, CRP had similarly high sensitivity for TB as the currently recommended symptom-based screen but substantially higher specificity. Specificity of CRP was expectedly lower among symptomatic patients requiring hospitalization. These results support the use of CRP testing in the outpatient setting and suggest CRP-based TB screening would improve efficie…","author":[{"dropping-particle":"","family":"Yoon","given":"Christina","non-dropping-particle":"","parse-names":false,"suffix":""},{"dropping-particle":"","family":"Chaisson","given":"Lelia H.","non-dropping-particle":"","parse-names":false,"suffix":""},{"dropping-particle":"","family":"Patel","given":"Sweta M.","non-dropping-particle":"","parse-names":false,"suffix":""},{"dropping-particle":"","family":"Drain","given":"Paul K.","non-dropping-particle":"","parse-names":false,"suffix":""},{"dropping-particle":"","family":"Wilson","given":"Doug","non-dropping-particle":"","parse-names":false,"suffix":""},{"dropping-particle":"","family":"Cattamanchi","given":"Adithya","non-dropping-particle":"","parse-names":false,"suffix":""}],"container-title":"International Journal of Tuberculosis and Lung Disease","id":"ITEM-1","issue":"9","issued":{"date-parts":[["2017"]]},"page":"1013-1019","title":"The diagnostic accuracy of C-reactive protein for active tuberculosis: A systematic review and meta-analysis","type":"article-journal","volume":"21"},"uris":["http://www.mendeley.com/documents/?uuid=9d6c2a7b-1f03-42dc-800f-3880c1ac67f9"]}],"mendeley":{"formattedCitation":"[30]","plainTextFormattedCitation":"[30]","previouslyFormattedCitation":"[30]"},"properties":{"noteIndex":0},"schema":"https://github.com/citation-style-language/schema/raw/master/csl-citation.json"}</w:instrText>
            </w:r>
            <w:r w:rsidRPr="00907DED">
              <w:rPr>
                <w:color w:val="auto"/>
                <w:sz w:val="20"/>
                <w:szCs w:val="20"/>
              </w:rPr>
              <w:fldChar w:fldCharType="separate"/>
            </w:r>
            <w:r w:rsidRPr="00FB5C35">
              <w:rPr>
                <w:noProof/>
                <w:color w:val="auto"/>
                <w:sz w:val="20"/>
                <w:szCs w:val="20"/>
              </w:rPr>
              <w:t>[30]</w:t>
            </w:r>
            <w:r w:rsidRPr="00907DED">
              <w:rPr>
                <w:color w:val="auto"/>
                <w:sz w:val="20"/>
                <w:szCs w:val="20"/>
              </w:rPr>
              <w:fldChar w:fldCharType="end"/>
            </w:r>
          </w:p>
        </w:tc>
        <w:tc>
          <w:tcPr>
            <w:tcW w:w="1611" w:type="dxa"/>
            <w:vAlign w:val="center"/>
          </w:tcPr>
          <w:p w:rsidR="00E21249" w:rsidRPr="00907DED" w:rsidRDefault="00E21249" w:rsidP="00EB5B70">
            <w:pPr>
              <w:spacing w:after="120"/>
              <w:jc w:val="center"/>
              <w:rPr>
                <w:color w:val="auto"/>
                <w:sz w:val="20"/>
                <w:szCs w:val="20"/>
              </w:rPr>
            </w:pPr>
            <w:r w:rsidRPr="00907DED">
              <w:rPr>
                <w:color w:val="auto"/>
                <w:sz w:val="20"/>
                <w:szCs w:val="20"/>
              </w:rPr>
              <w:t>100.0</w:t>
            </w:r>
            <w:r w:rsidRPr="00907DED">
              <w:rPr>
                <w:color w:val="auto"/>
                <w:sz w:val="20"/>
                <w:szCs w:val="20"/>
                <w:vertAlign w:val="superscript"/>
              </w:rPr>
              <w:t>†</w:t>
            </w:r>
          </w:p>
        </w:tc>
        <w:tc>
          <w:tcPr>
            <w:tcW w:w="1599" w:type="dxa"/>
            <w:vAlign w:val="center"/>
          </w:tcPr>
          <w:p w:rsidR="00E21249" w:rsidRPr="00907DED" w:rsidRDefault="00E21249" w:rsidP="00EB5B70">
            <w:pPr>
              <w:spacing w:after="120"/>
              <w:jc w:val="center"/>
              <w:rPr>
                <w:color w:val="auto"/>
                <w:sz w:val="20"/>
                <w:szCs w:val="20"/>
              </w:rPr>
            </w:pPr>
            <w:r w:rsidRPr="00907DED">
              <w:rPr>
                <w:color w:val="auto"/>
                <w:sz w:val="20"/>
                <w:szCs w:val="20"/>
              </w:rPr>
              <w:t>67.0</w:t>
            </w:r>
          </w:p>
        </w:tc>
        <w:tc>
          <w:tcPr>
            <w:tcW w:w="1610" w:type="dxa"/>
            <w:vAlign w:val="center"/>
          </w:tcPr>
          <w:p w:rsidR="00E21249" w:rsidRPr="00907DED" w:rsidRDefault="00E21249" w:rsidP="00EB5B70">
            <w:pPr>
              <w:spacing w:after="120"/>
              <w:jc w:val="center"/>
              <w:rPr>
                <w:color w:val="auto"/>
                <w:sz w:val="20"/>
                <w:szCs w:val="20"/>
              </w:rPr>
            </w:pPr>
            <w:r w:rsidRPr="00907DED">
              <w:rPr>
                <w:color w:val="auto"/>
                <w:sz w:val="20"/>
                <w:szCs w:val="20"/>
              </w:rPr>
              <w:t>93.0</w:t>
            </w:r>
          </w:p>
        </w:tc>
        <w:tc>
          <w:tcPr>
            <w:tcW w:w="1705" w:type="dxa"/>
            <w:vAlign w:val="center"/>
          </w:tcPr>
          <w:p w:rsidR="00E21249" w:rsidRPr="00907DED" w:rsidRDefault="00E21249" w:rsidP="00EB5B70">
            <w:pPr>
              <w:spacing w:after="120"/>
              <w:jc w:val="center"/>
              <w:rPr>
                <w:color w:val="auto"/>
                <w:sz w:val="20"/>
                <w:szCs w:val="20"/>
              </w:rPr>
            </w:pPr>
            <w:r w:rsidRPr="00907DED">
              <w:rPr>
                <w:color w:val="auto"/>
                <w:sz w:val="20"/>
                <w:szCs w:val="20"/>
              </w:rPr>
              <w:t>64.0</w:t>
            </w:r>
          </w:p>
        </w:tc>
      </w:tr>
      <w:tr w:rsidR="00E21249" w:rsidRPr="003F7633" w:rsidTr="00EB5B70">
        <w:tc>
          <w:tcPr>
            <w:tcW w:w="2835" w:type="dxa"/>
            <w:vAlign w:val="center"/>
          </w:tcPr>
          <w:p w:rsidR="00E21249" w:rsidRPr="00907DED" w:rsidRDefault="00E21249" w:rsidP="00EB5B70">
            <w:pPr>
              <w:spacing w:after="120"/>
              <w:jc w:val="left"/>
              <w:rPr>
                <w:color w:val="auto"/>
                <w:sz w:val="20"/>
                <w:szCs w:val="20"/>
              </w:rPr>
            </w:pPr>
            <w:r w:rsidRPr="00907DED">
              <w:rPr>
                <w:color w:val="auto"/>
                <w:sz w:val="20"/>
                <w:szCs w:val="20"/>
              </w:rPr>
              <w:t xml:space="preserve">CAD4TB (&gt;60) </w:t>
            </w:r>
            <w:r w:rsidRPr="00907DED">
              <w:rPr>
                <w:color w:val="auto"/>
                <w:sz w:val="20"/>
                <w:szCs w:val="20"/>
              </w:rPr>
              <w:fldChar w:fldCharType="begin" w:fldLock="1"/>
            </w:r>
            <w:r>
              <w:rPr>
                <w:color w:val="auto"/>
                <w:sz w:val="20"/>
                <w:szCs w:val="20"/>
              </w:rPr>
              <w:instrText>ADDIN CSL_CITATION {"citationItems":[{"id":"ITEM-1","itemData":{"DOI":"10.1038/s41598-020-63084-7","ISSN":"20452322","PMID":"32286389","abstract":"Pakistan ranks fifth among high tuberculosis (TB) burden countries and also has seventh highest burden for diabetes mellitus (DM). DM increases the risk of developing TB and contributes to adverse TB treatment outcomes hence screening and integrated management for both diseases in high burden countries is suggested. Computer-Aided Detection for TB (CAD4TB) can potentially be used as triage tool in low resource settings to pre-screen individuals for Xpert MTB/RIF testing. The aim of this study was to evaluate the diagnostic accuracy and performance of CAD4TB software in people with diabetes (PWD) enrolled in a TB screening program in Karachi, Pakistan. A total of 694 individuals with a diagnosis of DM (of whom 31.1% were newly diagnosed) were screened with CAD4TB and simultaneously provided sputum for Xpert MTB/RIF testing. Of the 74 (10.7%) participants who had bacteriologically positive (MTB+) results on Xpert testing, 54 (73%) had a CAD4TB score &gt;70; and 155 (25%) participants who tested MTB-negative had scores &gt;70. The area under the receiver operator curve was 0.78 (95% CI: 0.77–0.80). Our study findings indicate that CAD4TB offers good diagnostic accuracy as a triage test for TB screening among PWD using Xpert MTB/RIF as the reference standard.","author":[{"dropping-particle":"","family":"Habib","given":"Shifa Salman","non-dropping-particle":"","parse-names":false,"suffix":""},{"dropping-particle":"","family":"Rafiq","given":"Sana","non-dropping-particle":"","parse-names":false,"suffix":""},{"dropping-particle":"","family":"Zaidi","given":"Syed Mohammad Asad","non-dropping-particle":"","parse-names":false,"suffix":""},{"dropping-particle":"","family":"Ferrand","given":"Rashida Abbas","non-dropping-particle":"","parse-names":false,"suffix":""},{"dropping-particle":"","family":"Creswell","given":"Jacob","non-dropping-particle":"","parse-names":false,"suffix":""},{"dropping-particle":"","family":"Ginneken","given":"Bram","non-dropping-particle":"Van","parse-names":false,"suffix":""},{"dropping-particle":"","family":"Jamal","given":"Wafa Zehra","non-dropping-particle":"","parse-names":false,"suffix":""},{"dropping-particle":"","family":"Azeemi","given":"Kiran Sohail","non-dropping-particle":"","parse-names":false,"suffix":""},{"dropping-particle":"","family":"Khowaja","given":"Saira","non-dropping-particle":"","parse-names":false,"suffix":""},{"dropping-particle":"","family":"Khan","given":"Aamir","non-dropping-particle":"","parse-names":false,"suffix":""}],"container-title":"Scientific Reports","id":"ITEM-1","issue":"1","issued":{"date-parts":[["2020"]]},"page":"1-5","title":"Evaluation of computer aided detection of tuberculosis on chest radiography among people with diabetes in Karachi Pakistan","type":"article-journal","volume":"10"},"uris":["http://www.mendeley.com/documents/?uuid=5acc6641-9c28-421a-916b-2d600c1bbbd5"]},{"id":"ITEM-2","itemData":{"DOI":"10.1371/journal.pone.0221339","ISBN":"1111111111","ISSN":"19326203","abstract":"We undertook a systematic review of the diagnostic accuracy of artificial intelligence-based software for identification of radiologic abnormalities (computer-aided detection, or CAD) compatible with pulmonary tuberculosis on chest x-rays (CXRs). We searched four databases for articles published between January 2005-February 2019. We summarized data on CAD type, study design, and diagnostic accuracy. We assessed risk of bias with QUADAS- 2. We included 53 of the 4712 articles reviewed: 40 focused on CAD design methods (\"Development\" studies) and 13 focused on evaluation of CAD (\"Clinical\" studies). Metaanalyses were not performed due to methodological differences. Development studies were more likely to use CXR databases with greater potential for bias as compared to Clinical studies. Areas under the receiver operating characteristic curve (median AUC [IQR]) were significantly higher: in Development studies AUC: 0.88 [0.82-0.90]) versus Clinical studies (0.75 [0.66-0.87]; p-value 0.004); and with deep-learning (0.91 [0.88-0.99]) versus machine-learning (0.82 [0.75-0.89]; p = 0.001). We conclude that CAD programs are promising, but the majority of work thus far has been on development rather than clinical evaluation. We provide concrete suggestions on what study design elements should be improved.","author":[{"dropping-particle":"","family":"Harris","given":"Miriam","non-dropping-particle":"","parse-names":false,"suffix":""},{"dropping-particle":"","family":"Qi","given":"Amy","non-dropping-particle":"","parse-names":false,"suffix":""},{"dropping-particle":"","family":"Jeagal","given":"Luke","non-dropping-particle":"","parse-names":false,"suffix":""},{"dropping-particle":"","family":"Torabi","given":"Nazi","non-dropping-particle":"","parse-names":false,"suffix":""},{"dropping-particle":"","family":"Menzies","given":"Dick","non-dropping-particle":"","parse-names":false,"suffix":""},{"dropping-particle":"","family":"Korobitsyn","given":"Alexei","non-dropping-particle":"","parse-names":false,"suffix":""},{"dropping-particle":"","family":"Pai","given":"Madhukar","non-dropping-particle":"","parse-names":false,"suffix":""},{"dropping-particle":"","family":"Nathavitharana","given":"Ruvandhi R.","non-dropping-particle":"","parse-names":false,"suffix":""},{"dropping-particle":"","family":"Khan","given":"Faiz Ahmad","non-dropping-particle":"","parse-names":false,"suffix":""}],"container-title":"PLoS ONE","id":"ITEM-2","issue":"9","issued":{"date-parts":[["2019"]]},"page":"1-19","title":"A systematic review of the diagnostic accuracy of artificial intelligence-based computer programs to analyze chest x-rays for pulmonary tuberculosis","type":"article-journal","volume":"14"},"uris":["http://www.mendeley.com/documents/?uuid=f64a95cc-3c68-4d85-bf24-0bc0efed8c97"]}],"mendeley":{"formattedCitation":"[31], [32]","plainTextFormattedCitation":"[31], [32]","previouslyFormattedCitation":"[31], [32]"},"properties":{"noteIndex":0},"schema":"https://github.com/citation-style-language/schema/raw/master/csl-citation.json"}</w:instrText>
            </w:r>
            <w:r w:rsidRPr="00907DED">
              <w:rPr>
                <w:color w:val="auto"/>
                <w:sz w:val="20"/>
                <w:szCs w:val="20"/>
              </w:rPr>
              <w:fldChar w:fldCharType="separate"/>
            </w:r>
            <w:r w:rsidRPr="00FB5C35">
              <w:rPr>
                <w:noProof/>
                <w:color w:val="auto"/>
                <w:sz w:val="20"/>
                <w:szCs w:val="20"/>
              </w:rPr>
              <w:t>[31], [32]</w:t>
            </w:r>
            <w:r w:rsidRPr="00907DED">
              <w:rPr>
                <w:color w:val="auto"/>
                <w:sz w:val="20"/>
                <w:szCs w:val="20"/>
              </w:rPr>
              <w:fldChar w:fldCharType="end"/>
            </w:r>
          </w:p>
        </w:tc>
        <w:tc>
          <w:tcPr>
            <w:tcW w:w="1611" w:type="dxa"/>
            <w:vAlign w:val="center"/>
          </w:tcPr>
          <w:p w:rsidR="00E21249" w:rsidRPr="00907DED" w:rsidRDefault="00E21249" w:rsidP="00EB5B70">
            <w:pPr>
              <w:spacing w:after="120"/>
              <w:jc w:val="center"/>
              <w:rPr>
                <w:color w:val="auto"/>
                <w:sz w:val="20"/>
                <w:szCs w:val="20"/>
              </w:rPr>
            </w:pPr>
            <w:r w:rsidRPr="00907DED">
              <w:rPr>
                <w:color w:val="auto"/>
                <w:sz w:val="20"/>
                <w:szCs w:val="20"/>
              </w:rPr>
              <w:t>84.0</w:t>
            </w:r>
          </w:p>
        </w:tc>
        <w:tc>
          <w:tcPr>
            <w:tcW w:w="1599" w:type="dxa"/>
            <w:vAlign w:val="center"/>
          </w:tcPr>
          <w:p w:rsidR="00E21249" w:rsidRPr="00907DED" w:rsidRDefault="00E21249" w:rsidP="00EB5B70">
            <w:pPr>
              <w:spacing w:after="120"/>
              <w:jc w:val="center"/>
              <w:rPr>
                <w:color w:val="auto"/>
                <w:sz w:val="20"/>
                <w:szCs w:val="20"/>
              </w:rPr>
            </w:pPr>
            <w:r w:rsidRPr="00907DED">
              <w:rPr>
                <w:color w:val="auto"/>
                <w:sz w:val="20"/>
                <w:szCs w:val="20"/>
              </w:rPr>
              <w:t>59.0</w:t>
            </w:r>
          </w:p>
        </w:tc>
        <w:tc>
          <w:tcPr>
            <w:tcW w:w="1610" w:type="dxa"/>
            <w:vAlign w:val="center"/>
          </w:tcPr>
          <w:p w:rsidR="00E21249" w:rsidRPr="00907DED" w:rsidRDefault="00E21249" w:rsidP="00EB5B70">
            <w:pPr>
              <w:spacing w:after="120"/>
              <w:jc w:val="center"/>
              <w:rPr>
                <w:color w:val="auto"/>
                <w:sz w:val="20"/>
                <w:szCs w:val="20"/>
              </w:rPr>
            </w:pPr>
            <w:r w:rsidRPr="00907DED">
              <w:rPr>
                <w:color w:val="auto"/>
                <w:sz w:val="20"/>
                <w:szCs w:val="20"/>
              </w:rPr>
              <w:t>86.0</w:t>
            </w:r>
          </w:p>
        </w:tc>
        <w:tc>
          <w:tcPr>
            <w:tcW w:w="1705" w:type="dxa"/>
            <w:vAlign w:val="center"/>
          </w:tcPr>
          <w:p w:rsidR="00E21249" w:rsidRPr="00907DED" w:rsidRDefault="00E21249" w:rsidP="00EB5B70">
            <w:pPr>
              <w:spacing w:after="120"/>
              <w:jc w:val="center"/>
              <w:rPr>
                <w:color w:val="auto"/>
                <w:sz w:val="20"/>
                <w:szCs w:val="20"/>
              </w:rPr>
            </w:pPr>
            <w:r w:rsidRPr="00907DED">
              <w:rPr>
                <w:color w:val="auto"/>
                <w:sz w:val="20"/>
                <w:szCs w:val="20"/>
              </w:rPr>
              <w:t>45.0</w:t>
            </w:r>
          </w:p>
        </w:tc>
      </w:tr>
      <w:tr w:rsidR="00E21249" w:rsidRPr="003F7633" w:rsidTr="00EB5B70">
        <w:tc>
          <w:tcPr>
            <w:tcW w:w="2835" w:type="dxa"/>
            <w:vAlign w:val="center"/>
          </w:tcPr>
          <w:p w:rsidR="00E21249" w:rsidRPr="00907DED" w:rsidRDefault="00E21249" w:rsidP="00EB5B70">
            <w:pPr>
              <w:spacing w:after="120"/>
              <w:jc w:val="left"/>
              <w:rPr>
                <w:color w:val="auto"/>
                <w:sz w:val="20"/>
                <w:szCs w:val="20"/>
              </w:rPr>
            </w:pPr>
            <w:r w:rsidRPr="00907DED">
              <w:rPr>
                <w:color w:val="auto"/>
                <w:sz w:val="20"/>
                <w:szCs w:val="20"/>
              </w:rPr>
              <w:t xml:space="preserve">Culture </w:t>
            </w:r>
            <w:r w:rsidRPr="00907DED">
              <w:rPr>
                <w:color w:val="auto"/>
                <w:sz w:val="20"/>
                <w:szCs w:val="20"/>
              </w:rPr>
              <w:fldChar w:fldCharType="begin" w:fldLock="1"/>
            </w:r>
            <w:r w:rsidRPr="00907DED">
              <w:rPr>
                <w:color w:val="auto"/>
                <w:sz w:val="20"/>
                <w:szCs w:val="20"/>
              </w:rPr>
              <w:instrText>ADDIN CSL_CITATION {"citationItems":[{"id":"ITEM-1","itemData":{"DOI":"10.1128/JCM.42.5.2321-2325.2004","ISSN":"00951137","abstract":"In a meta-analysis of 10 studies, the BACTEC 460/MGIT and BACTEC 460 systems showed a sensitivity and specificity in detecting mycobacteria (1,381 strains from 14,745 clinical specimens) of 81.5 and 99.6% and 85.8 and 99.9%, respectively. Combined with solid media, the sensitivity of the two systems increased to 87.7 and 89.7%, respectively.","author":[{"dropping-particle":"","family":"Cruciani","given":"M.","non-dropping-particle":"","parse-names":false,"suffix":""},{"dropping-particle":"","family":"Scarparo","given":"C.","non-dropping-particle":"","parse-names":false,"suffix":""},{"dropping-particle":"","family":"Malena","given":"M.","non-dropping-particle":"","parse-names":false,"suffix":""},{"dropping-particle":"","family":"Bosco","given":"O.","non-dropping-particle":"","parse-names":false,"suffix":""},{"dropping-particle":"","family":"Serpelloni","given":"G.","non-dropping-particle":"","parse-names":false,"suffix":""},{"dropping-particle":"","family":"Mengoli","given":"C.","non-dropping-particle":"","parse-names":false,"suffix":""}],"container-title":"Journal of Clinical Microbiology","id":"ITEM-1","issue":"5","issued":{"date-parts":[["2004"]]},"page":"2321-2325","title":"Meta-Analysis of BACTEC MGIT 960 and BACTEC 460 TB, with or without Solid Media, for Detection of Mycobacteria","type":"article-journal","volume":"42"},"uris":["http://www.mendeley.com/documents/?uuid=31b8e547-464a-4437-adb5-d9eba79f88b6"]}],"mendeley":{"formattedCitation":"[11]","plainTextFormattedCitation":"[11]","previouslyFormattedCitation":"[11]"},"properties":{"noteIndex":0},"schema":"https://github.com/citation-style-language/schema/raw/master/csl-citation.json"}</w:instrText>
            </w:r>
            <w:r w:rsidRPr="00907DED">
              <w:rPr>
                <w:color w:val="auto"/>
                <w:sz w:val="20"/>
                <w:szCs w:val="20"/>
              </w:rPr>
              <w:fldChar w:fldCharType="separate"/>
            </w:r>
            <w:r w:rsidRPr="00907DED">
              <w:rPr>
                <w:noProof/>
                <w:color w:val="auto"/>
                <w:sz w:val="20"/>
                <w:szCs w:val="20"/>
              </w:rPr>
              <w:t>[11]</w:t>
            </w:r>
            <w:r w:rsidRPr="00907DED">
              <w:rPr>
                <w:color w:val="auto"/>
                <w:sz w:val="20"/>
                <w:szCs w:val="20"/>
              </w:rPr>
              <w:fldChar w:fldCharType="end"/>
            </w:r>
          </w:p>
        </w:tc>
        <w:tc>
          <w:tcPr>
            <w:tcW w:w="1611" w:type="dxa"/>
            <w:vAlign w:val="center"/>
          </w:tcPr>
          <w:p w:rsidR="00E21249" w:rsidRPr="00907DED" w:rsidRDefault="00E21249" w:rsidP="00EB5B70">
            <w:pPr>
              <w:spacing w:after="120"/>
              <w:jc w:val="center"/>
              <w:rPr>
                <w:color w:val="auto"/>
                <w:sz w:val="20"/>
                <w:szCs w:val="20"/>
              </w:rPr>
            </w:pPr>
            <w:r w:rsidRPr="00907DED">
              <w:rPr>
                <w:color w:val="auto"/>
                <w:sz w:val="20"/>
                <w:szCs w:val="20"/>
              </w:rPr>
              <w:t>88.0</w:t>
            </w:r>
          </w:p>
        </w:tc>
        <w:tc>
          <w:tcPr>
            <w:tcW w:w="1599" w:type="dxa"/>
            <w:vAlign w:val="center"/>
          </w:tcPr>
          <w:p w:rsidR="00E21249" w:rsidRPr="00907DED" w:rsidRDefault="00E21249" w:rsidP="00EB5B70">
            <w:pPr>
              <w:spacing w:after="120"/>
              <w:jc w:val="center"/>
              <w:rPr>
                <w:color w:val="auto"/>
                <w:sz w:val="20"/>
                <w:szCs w:val="20"/>
              </w:rPr>
            </w:pPr>
            <w:r w:rsidRPr="00907DED">
              <w:rPr>
                <w:color w:val="auto"/>
                <w:sz w:val="20"/>
                <w:szCs w:val="20"/>
              </w:rPr>
              <w:t>99.0</w:t>
            </w:r>
          </w:p>
        </w:tc>
        <w:tc>
          <w:tcPr>
            <w:tcW w:w="1610" w:type="dxa"/>
            <w:vAlign w:val="center"/>
          </w:tcPr>
          <w:p w:rsidR="00E21249" w:rsidRPr="00907DED" w:rsidRDefault="00E21249" w:rsidP="00EB5B70">
            <w:pPr>
              <w:spacing w:after="120"/>
              <w:jc w:val="center"/>
              <w:rPr>
                <w:color w:val="auto"/>
                <w:sz w:val="20"/>
                <w:szCs w:val="20"/>
              </w:rPr>
            </w:pPr>
            <w:r w:rsidRPr="00907DED">
              <w:rPr>
                <w:color w:val="auto"/>
                <w:sz w:val="20"/>
                <w:szCs w:val="20"/>
              </w:rPr>
              <w:t>85.0</w:t>
            </w:r>
            <w:r w:rsidRPr="00907DED">
              <w:rPr>
                <w:color w:val="auto"/>
                <w:sz w:val="20"/>
                <w:szCs w:val="20"/>
                <w:vertAlign w:val="superscript"/>
              </w:rPr>
              <w:t>§</w:t>
            </w:r>
          </w:p>
        </w:tc>
        <w:tc>
          <w:tcPr>
            <w:tcW w:w="1705" w:type="dxa"/>
            <w:vAlign w:val="center"/>
          </w:tcPr>
          <w:p w:rsidR="00E21249" w:rsidRPr="00907DED" w:rsidRDefault="00E21249" w:rsidP="00EB5B70">
            <w:pPr>
              <w:spacing w:after="120"/>
              <w:jc w:val="center"/>
              <w:rPr>
                <w:color w:val="auto"/>
                <w:sz w:val="20"/>
                <w:szCs w:val="20"/>
              </w:rPr>
            </w:pPr>
            <w:r w:rsidRPr="00907DED">
              <w:rPr>
                <w:color w:val="auto"/>
                <w:sz w:val="20"/>
                <w:szCs w:val="20"/>
              </w:rPr>
              <w:t>99.0</w:t>
            </w:r>
            <w:r w:rsidRPr="00907DED">
              <w:rPr>
                <w:color w:val="auto"/>
                <w:sz w:val="20"/>
                <w:szCs w:val="20"/>
                <w:vertAlign w:val="superscript"/>
              </w:rPr>
              <w:t>§</w:t>
            </w:r>
          </w:p>
        </w:tc>
      </w:tr>
      <w:tr w:rsidR="00E21249" w:rsidRPr="003F7633" w:rsidTr="00EB5B70">
        <w:tc>
          <w:tcPr>
            <w:tcW w:w="2835" w:type="dxa"/>
            <w:vAlign w:val="center"/>
          </w:tcPr>
          <w:p w:rsidR="00E21249" w:rsidRPr="00907DED" w:rsidRDefault="00E21249" w:rsidP="00EB5B70">
            <w:pPr>
              <w:spacing w:after="120"/>
              <w:jc w:val="left"/>
              <w:rPr>
                <w:color w:val="auto"/>
                <w:sz w:val="20"/>
                <w:szCs w:val="20"/>
              </w:rPr>
            </w:pPr>
            <w:proofErr w:type="spellStart"/>
            <w:r w:rsidRPr="00907DED">
              <w:rPr>
                <w:color w:val="auto"/>
                <w:sz w:val="20"/>
                <w:szCs w:val="20"/>
              </w:rPr>
              <w:t>Xpert</w:t>
            </w:r>
            <w:proofErr w:type="spellEnd"/>
            <w:r w:rsidRPr="00907DED">
              <w:rPr>
                <w:color w:val="auto"/>
                <w:sz w:val="20"/>
                <w:szCs w:val="20"/>
              </w:rPr>
              <w:t xml:space="preserve"> MTB/RIF </w:t>
            </w:r>
            <w:r w:rsidRPr="00907DED">
              <w:rPr>
                <w:color w:val="auto"/>
                <w:sz w:val="20"/>
                <w:szCs w:val="20"/>
              </w:rPr>
              <w:fldChar w:fldCharType="begin" w:fldLock="1"/>
            </w:r>
            <w:r>
              <w:rPr>
                <w:color w:val="auto"/>
                <w:sz w:val="20"/>
                <w:szCs w:val="20"/>
              </w:rPr>
              <w:instrText>ADDIN CSL_CITATION {"citationItems":[{"id":"ITEM-1","itemData":{"DOI":"10.1016/S1473-3099(17)30691-6","ISSN":"14744457","PMID":"29198911","abstract":"Background The Xpert MTB/RIF assay is an automated molecular test that has improved the detection of tuberculosis and rifampicin resistance, but its sensitivity is inadequate in patients with paucibacillary disease or HIV. Xpert MTB/RIF Ultra (Xpert Ultra) was developed to overcome this limitation. We compared the diagnostic performance of Xpert Ultra with that of Xpert for detection of tuberculosis and rifampicin resistance. Methods In this prospective, multicentre, diagnostic accuracy study, we recruited adults with pulmonary tuberculosis symptoms presenting at primary health-care centres and hospitals in eight countries (South Africa, Uganda, Kenya, India, China, Georgia, Belarus, and Brazil). Participants were allocated to the case detection group if no drugs had been taken for tuberculosis in the past 6 months or to the multidrug-resistance risk group if drugs for tuberculosis had been taken in the past 6 months, but drug resistance was suspected. Demographic information, medical history, chest imaging results, and HIV test results were recorded at enrolment, and each participant gave at least three sputum specimen on 2 separate days. Xpert and Xpert Ultra diagnostic performance in the same sputum specimen was compared with culture tests and drug susceptibility testing as reference standards. The primary objectives were to estimate and compare the sensitivity of Xpert Ultra test with that of Xpert for detection of smear-negative tuberculosis and rifampicin resistance and to estimate and compare Xpert Ultra and Xpert specificities for detection of rifampicin resistance. Study participants in the case detection group were included in all analyses, whereas participants in the multidrug-resistance risk group were only included in analyses of rifampicin-resistance detection. Findings Between Feb 18, and Dec 24, 2016, we enrolled 2368 participants for sputum sampling. 248 participants were excluded from the analysis, and 1753 participants were distributed to the case detection group (n=1439) and the multidrug-resistance risk group (n=314). Sensitivities of Xpert Ultra and Xpert were 63% and 46%, respectively, for the 137 participants with smear-negative and culture-positive sputum (difference of 17%, 95% CI 10 to 24); 90% and 77%, respectively, for the 115 HIV-positive participants with culture-positive sputum (13%, 6·4 to 21); and 88% and 83%, respectively, across all 462 participants with culture-positive sputum (5·4%, 3·3 to 8·0). Specificities of Xpe…","author":[{"dropping-particle":"","family":"Dorman","given":"Susan E.","non-dropping-particle":"","parse-names":false,"suffix":""},{"dropping-particle":"","family":"Schumacher","given":"Samuel G.","non-dropping-particle":"","parse-names":false,"suffix":""},{"dropping-particle":"","family":"Alland","given":"David","non-dropping-particle":"","parse-names":false,"suffix":""},{"dropping-particle":"","family":"Nabeta","given":"Pamela","non-dropping-particle":"","parse-names":false,"suffix":""},{"dropping-particle":"","family":"Armstrong","given":"Derek T.","non-dropping-particle":"","parse-names":false,"suffix":""},{"dropping-particle":"","family":"King","given":"Bonnie","non-dropping-particle":"","parse-names":false,"suffix":""},{"dropping-particle":"","family":"Hall","given":"Sandra L.","non-dropping-particle":"","parse-names":false,"suffix":""},{"dropping-particle":"","family":"Chakravorty","given":"Soumitesh","non-dropping-particle":"","parse-names":false,"suffix":""},{"dropping-particle":"","family":"Cirillo","given":"Daniela M.","non-dropping-particle":"","parse-names":false,"suffix":""},{"dropping-particle":"","family":"Tukvadze","given":"Nestani","non-dropping-particle":"","parse-names":false,"suffix":""},{"dropping-particle":"","family":"Bablishvili","given":"Nino","non-dropping-particle":"","parse-names":false,"suffix":""},{"dropping-particle":"","family":"Stevens","given":"Wendy","non-dropping-particle":"","parse-names":false,"suffix":""},{"dropping-particle":"","family":"Scott","given":"Lesley","non-dropping-particle":"","parse-names":false,"suffix":""},{"dropping-particle":"","family":"Rodrigues","given":"Camilla","non-dropping-particle":"","parse-names":false,"suffix":""},{"dropping-particle":"","family":"Kazi","given":"Mubin I.","non-dropping-particle":"","parse-names":false,"suffix":""},{"dropping-particle":"","family":"Joloba","given":"Moses","non-dropping-particle":"","parse-names":false,"suffix":""},{"dropping-particle":"","family":"Nakiyingi","given":"Lydia","non-dropping-particle":"","parse-names":false,"suffix":""},{"dropping-particle":"","family":"Nicol","given":"Mark P.","non-dropping-particle":"","parse-names":false,"suffix":""},{"dropping-particle":"","family":"Ghebrekristos","given":"Yonas","non-dropping-particle":"","parse-names":false,"suffix":""},{"dropping-particle":"","family":"Anyango","given":"Irene","non-dropping-particle":"","parse-names":false,"suffix":""},{"dropping-particle":"","family":"Murithi","given":"Wilfred","non-dropping-particle":"","parse-names":false,"suffix":""},{"dropping-particle":"","family":"Dietze","given":"Reynaldo","non-dropping-particle":"","parse-names":false,"suffix":""},{"dropping-particle":"","family":"Lyrio Peres","given":"Renata","non-dropping-particle":"","parse-names":false,"suffix":""},{"dropping-particle":"","family":"Skrahina","given":"Alena","non-dropping-particle":"","parse-names":false,"suffix":""},{"dropping-particle":"","family":"Auchynka","given":"Vera","non-dropping-particle":"","parse-names":false,"suffix":""},{"dropping-particle":"","family":"Chopra","given":"Kamal Kishore","non-dropping-particle":"","parse-names":false,"suffix":""},{"dropping-particle":"","family":"Hanif","given":"Mahmud","non-dropping-particle":"","parse-names":false,"suffix":""},{"dropping-particle":"","family":"Liu","given":"Xin","non-dropping-particle":"","parse-names":false,"suffix":""},{"dropping-particle":"","family":"Yuan","given":"Xing","non-dropping-particle":"","parse-names":false,"suffix":""},{"dropping-particle":"","family":"Boehme","given":"Catharina C.","non-dropping-particle":"","parse-names":false,"suffix":""},{"dropping-particle":"","family":"Ellner","given":"Jerrold J.","non-dropping-particle":"","parse-names":false,"suffix":""},{"dropping-particle":"","family":"Denkinger","given":"Claudia M.","non-dropping-particle":"","parse-names":false,"suffix":""},{"dropping-particle":"","family":"Dorman","given":"Susan E.","non-dropping-particle":"","parse-names":false,"suffix":""},{"dropping-particle":"","family":"Schumacher","given":"Samuel G.","non-dropping-particle":"","parse-names":false,"suffix":""},{"dropping-particle":"","family":"Alland","given":"David","non-dropping-particle":"","parse-names":false,"suffix":""},{"dropping-particle":"","family":"Nabeta","given":"Pamela","non-dropping-particle":"","parse-names":false,"suffix":""},{"dropping-particle":"","family":"Armstrong","given":"Derek T.","non-dropping-particle":"","parse-names":false,"suffix":""},{"dropping-particle":"","family":"King","given":"Bonnie","non-dropping-particle":"","parse-names":false,"suffix":""},{"dropping-particle":"","family":"Hall","given":"Sandra L.","non-dropping-particle":"","parse-names":false,"suffix":""},{"dropping-particle":"","family":"Chakravorty","given":"Soumitesh","non-dropping-particle":"","parse-names":false,"suffix":""},{"dropping-particle":"","family":"Cirillo","given":"Daniela M.","non-dropping-particle":"","parse-names":false,"suffix":""},{"dropping-particle":"","family":"Tukvadze","given":"Nestani","non-dropping-particle":"","parse-names":false,"suffix":""},{"dropping-particle":"","family":"Bablishvili","given":"Nino","non-dropping-particle":"","parse-names":false,"suffix":""},{"dropping-particle":"","family":"Stevens","given":"Wendy","non-dropping-particle":"","parse-names":false,"suffix":""},{"dropping-particle":"","family":"Scott","given":"Lesley","non-dropping-particle":"","parse-names":false,"suffix":""},{"dropping-particle":"","family":"Rodrigues","given":"Camilla","non-dropping-particle":"","parse-names":false,"suffix":""},{"dropping-particle":"","family":"Kazi","given":"Mubin I.","non-dropping-particle":"","parse-names":false,"suffix":""},{"dropping-particle":"","family":"Joloba","given":"Moses","non-dropping-particle":"","parse-names":false,"suffix":""},{"dropping-particle":"","family":"Nakiyingi","given":"Lydia","non-dropping-particle":"","parse-names":false,"suffix":""},{"dropping-particle":"","family":"Ghebrekristos","given":"Yonas","non-dropping-particle":"","parse-names":false,"suffix":""},{"dropping-particle":"","family":"Anyango","given":"Irene","non-dropping-particle":"","parse-names":false,"suffix":""},{"dropping-particle":"","family":"Murithi","given":"Wilfred","non-dropping-particle":"","parse-names":false,"suffix":""},{"dropping-particle":"","family":"Dietze","given":"Reynaldo","non-dropping-particle":"","parse-names":false,"suffix":""},{"dropping-particle":"","family":"Peres","given":"Renata Lyrio","non-dropping-particle":"","parse-names":false,"suffix":""},{"dropping-particle":"","family":"Skrahina","given":"Alena","non-dropping-particle":"","parse-names":false,"suffix":""},{"dropping-particle":"","family":"Auchynka","given":"Vera","non-dropping-particle":"","parse-names":false,"suffix":""},{"dropping-particle":"","family":"Chopra","given":"Kamal Kishore","non-dropping-particle":"","parse-names":false,"suffix":""},{"dropping-particle":"","family":"Hanif","given":"Mahmud","non-dropping-particle":"","parse-names":false,"suffix":""},{"dropping-particle":"","family":"Liu","given":"Xin","non-dropping-particle":"","parse-names":false,"suffix":""},{"dropping-particle":"","family":"Yuan","given":"Xing","non-dropping-particle":"","parse-names":false,"suffix":""},{"dropping-particle":"","family":"Boehme","given":"Catharina C.","non-dropping-particle":"","parse-names":false,"suffix":""},{"dropping-particle":"","family":"Ellner","given":"Jerrold J.","non-dropping-particle":"","parse-names":false,"suffix":""},{"dropping-particle":"","family":"Denkinger","given":"Claudia M.","non-dropping-particle":"","parse-names":false,"suffix":""},{"dropping-particle":"","family":"Manabe","given":"Yukari C.","non-dropping-particle":"","parse-names":false,"suffix":""},{"dropping-particle":"","family":"Hom","given":"David","non-dropping-particle":"","parse-names":false,"suffix":""},{"dropping-particle":"","family":"Aspindzelashvili","given":"Rusudan","non-dropping-particle":"","parse-names":false,"suffix":""},{"dropping-particle":"","family":"David","given":"Anura","non-dropping-particle":"","parse-names":false,"suffix":""},{"dropping-particle":"","family":"Surve","given":"Utkarsha","non-dropping-particle":"","parse-names":false,"suffix":""},{"dropping-particle":"","family":"Kamulegeya","given":"Louis Henry","non-dropping-particle":"","parse-names":false,"suffix":""},{"dropping-particle":"","family":"Nabweyambo","given":"Sheila","non-dropping-particle":"","parse-names":false,"suffix":""},{"dropping-particle":"","family":"Surtie","given":"Shireen","non-dropping-particle":"","parse-names":false,"suffix":""},{"dropping-particle":"","family":"Hapeela","given":"Nchimunya","non-dropping-particle":"","parse-names":false,"suffix":""},{"dropping-particle":"","family":"Cain","given":"Kevin P.","non-dropping-particle":"","parse-names":false,"suffix":""},{"dropping-particle":"","family":"Agaya","given":"Janet","non-dropping-particle":"","parse-names":false,"suffix":""},{"dropping-particle":"","family":"McCarthy","given":"Kimberly D.","non-dropping-particle":"","parse-names":false,"suffix":""},{"dropping-particle":"","family":"Marques-Rodrigues","given":"Patricia","non-dropping-particle":"","parse-names":false,"suffix":""},{"dropping-particle":"","family":"Schmidt Castellani","given":"Luiz Guilherme","non-dropping-particle":"","parse-names":false,"suffix":""},{"dropping-particle":"","family":"Almeida","given":"Pedro Sousa","non-dropping-particle":"","parse-names":false,"suffix":""},{"dropping-particle":"","family":"Aguiar","given":"Paola Poloni Lobo","non-dropping-particle":"de","parse-names":false,"suffix":""},{"dropping-particle":"","family":"Solodovnikova","given":"Varvara","non-dropping-particle":"","parse-names":false,"suffix":""},{"dropping-particle":"","family":"Ruan","given":"Xianglin","non-dropping-particle":"","parse-names":false,"suffix":""},{"dropping-particle":"","family":"Liang","given":"Lili","non-dropping-particle":"","parse-names":false,"suffix":""},{"dropping-particle":"","family":"Zhang","given":"Guolong","non-dropping-particle":"","parse-names":false,"suffix":""},{"dropping-particle":"","family":"Zhu","given":"Hong","non-dropping-particle":"","parse-names":false,"suffix":""},{"dropping-particle":"","family":"Xie","given":"Yingda","non-dropping-particle":"","parse-names":false,"suffix":""}],"container-title":"The Lancet Infectious Diseases","id":"ITEM-1","issue":"1","issued":{"date-parts":[["2018"]]},"page":"76-84","title":"Xpert MTB/RIF Ultra for detection of Mycobacterium tuberculosis and rifampicin resistance: a prospective multicentre diagnostic accuracy study","type":"article","volume":"18"},"uris":["http://www.mendeley.com/documents/?uuid=cd0bbfd1-ccc4-4923-ac2d-249b9a7287d8"]},{"id":"ITEM-2","itemData":{"DOI":"10.1002/14651858.CD009593.pub4.","ISSN":"1469493X","PMID":"31173647","abstract":"Background Xpert MTB/RIF (Xpert MTB/RIF) and Xpert MTB/RIF Ultra (Xpert Ultra), the newest version, are the only World Health Organization (WHO)-recommended rapid tests that simultaneously detect tuberculosis and rifampicin resistance in persons with signs and symptoms of tuberculosis, at lower health system levels. A previous Cochrane Review found Xpert MTB/RIF sensitive and specific for tuberculosis (Steingart 2014). Since the previous review, new studies have been published. We performed a review update for an upcoming WHO policy review. Objectives To determine diagnostic accuracy of Xpert MTB/RIF and Xpert Ultra for tuberculosis in adults with presumptive pulmonary tuberculosis (PTB) and for rifampicin resistance in adults with presumptive rifampicin-resistant tuberculosis. Search methods We searched the Cochrane Infectious Diseases Group Specialized Register, MEDLINE, Embase, Science Citation Index, Web of Science, Latin American Caribbean Health Sciences Literature, Scopus, the WHO International Clinical Trials Registry Platform, the International Standard Randomized Controlled Trial Number Registry, and ProQuest, to 11 October 2018, without language restriction. Selection criteria Randomized trials, cross-sectional, and cohort studies using respiratory specimens that evaluated Xpert MTB/RIF, Xpert Ultra, or both against the reference standard, culture for tuberculosis and culture-based drug susceptibility testing or MTBDRplus for rifampicin resistance. Data collection and analysis Four review authors independently extracted data using a standardized form. When possible, we also extracted data by smear and HIV status. We assessed study quality using QUADAS-2 and performed meta-analyses to estimate pooled sensitivity and specificity separately for tuberculosis and rifampicin resistance. We investigated potential sources of heterogeneity. Most analyses used a bivariate random-effects model. For tuberculosis detection, we first estimated accuracy using all included studies and then only the subset of studies where participants were unselected, i.e. not selected based on prior microscopy testing. Main results We identified in total 95 studies (77 new studies since the previous review): 86 studies (42,091 participants) evaluated Xpert MTB/RIF for tuberculosis and 57 studies (8287 participants) for rifampicin resistance. One study compared Xpert MTB/RIF and Xpert Ultra on the same participant specimen. Tuberculosis detection Of the total 86 studies, 45 …","author":[{"dropping-particle":"","family":"Horne","given":"David J.","non-dropping-particle":"","parse-names":false,"suffix":""},{"dropping-particle":"","family":"Kohli","given":"Mikashmi","non-dropping-particle":"","parse-names":false,"suffix":""},{"dropping-particle":"","family":"Zifodya","given":"Jerry S.","non-dropping-particle":"","parse-names":false,"suffix":""},{"dropping-particle":"","family":"Schiller","given":"Ian","non-dropping-particle":"","parse-names":false,"suffix":""},{"dropping-particle":"","family":"Dendukuri","given":"Nandini","non-dropping-particle":"","parse-names":false,"suffix":""},{"dropping-particle":"","family":"Tollefson","given":"Deanna","non-dropping-particle":"","parse-names":false,"suffix":""},{"dropping-particle":"","family":"Schumacher","given":"Samuel G.","non-dropping-particle":"","parse-names":false,"suffix":""},{"dropping-particle":"","family":"Ochodo","given":"Eleanor A.","non-dropping-particle":"","parse-names":false,"suffix":""},{"dropping-particle":"","family":"Pai","given":"Madhukar","non-dropping-particle":"","parse-names":false,"suffix":""},{"dropping-particle":"","family":"Steingart","given":"Karen R.","non-dropping-particle":"","parse-names":false,"suffix":""}],"container-title":"Cochrane Database of Systematic Reviews","id":"ITEM-2","issue":"6","issued":{"date-parts":[["2019"]]},"title":"Xpert MTB/RIF and Xpert MTB/RIF ultra for pulmonary tuberculosis and rifampicin resistance in adults","type":"article","volume":"2019"},"uris":["http://www.mendeley.com/documents/?uuid=c0a942c4-45a4-38f6-aa50-35a8daad16d3"]}],"mendeley":{"formattedCitation":"[29], [33]","plainTextFormattedCitation":"[29], [33]","previouslyFormattedCitation":"[29], [33]"},"properties":{"noteIndex":0},"schema":"https://github.com/citation-style-language/schema/raw/master/csl-citation.json"}</w:instrText>
            </w:r>
            <w:r w:rsidRPr="00907DED">
              <w:rPr>
                <w:color w:val="auto"/>
                <w:sz w:val="20"/>
                <w:szCs w:val="20"/>
              </w:rPr>
              <w:fldChar w:fldCharType="separate"/>
            </w:r>
            <w:r w:rsidRPr="00FB5C35">
              <w:rPr>
                <w:noProof/>
                <w:color w:val="auto"/>
                <w:sz w:val="20"/>
                <w:szCs w:val="20"/>
              </w:rPr>
              <w:t>[29], [33]</w:t>
            </w:r>
            <w:r w:rsidRPr="00907DED">
              <w:rPr>
                <w:color w:val="auto"/>
                <w:sz w:val="20"/>
                <w:szCs w:val="20"/>
              </w:rPr>
              <w:fldChar w:fldCharType="end"/>
            </w:r>
          </w:p>
        </w:tc>
        <w:tc>
          <w:tcPr>
            <w:tcW w:w="1611" w:type="dxa"/>
            <w:vAlign w:val="center"/>
          </w:tcPr>
          <w:p w:rsidR="00E21249" w:rsidRPr="00907DED" w:rsidRDefault="00E21249" w:rsidP="00EB5B70">
            <w:pPr>
              <w:spacing w:after="120"/>
              <w:jc w:val="center"/>
              <w:rPr>
                <w:color w:val="auto"/>
                <w:sz w:val="20"/>
                <w:szCs w:val="20"/>
              </w:rPr>
            </w:pPr>
            <w:r w:rsidRPr="00907DED">
              <w:rPr>
                <w:color w:val="auto"/>
                <w:sz w:val="20"/>
                <w:szCs w:val="20"/>
              </w:rPr>
              <w:t>88.0</w:t>
            </w:r>
          </w:p>
        </w:tc>
        <w:tc>
          <w:tcPr>
            <w:tcW w:w="1599" w:type="dxa"/>
            <w:vAlign w:val="center"/>
          </w:tcPr>
          <w:p w:rsidR="00E21249" w:rsidRPr="00907DED" w:rsidRDefault="00E21249" w:rsidP="00EB5B70">
            <w:pPr>
              <w:spacing w:after="120"/>
              <w:jc w:val="center"/>
              <w:rPr>
                <w:color w:val="auto"/>
                <w:sz w:val="20"/>
                <w:szCs w:val="20"/>
              </w:rPr>
            </w:pPr>
            <w:r w:rsidRPr="00907DED">
              <w:rPr>
                <w:color w:val="auto"/>
                <w:sz w:val="20"/>
                <w:szCs w:val="20"/>
              </w:rPr>
              <w:t>98.0</w:t>
            </w:r>
          </w:p>
        </w:tc>
        <w:tc>
          <w:tcPr>
            <w:tcW w:w="1610" w:type="dxa"/>
            <w:vAlign w:val="center"/>
          </w:tcPr>
          <w:p w:rsidR="00E21249" w:rsidRPr="00907DED" w:rsidRDefault="00E21249" w:rsidP="00EB5B70">
            <w:pPr>
              <w:spacing w:after="120"/>
              <w:jc w:val="center"/>
              <w:rPr>
                <w:color w:val="auto"/>
                <w:sz w:val="20"/>
                <w:szCs w:val="20"/>
              </w:rPr>
            </w:pPr>
            <w:r w:rsidRPr="00907DED">
              <w:rPr>
                <w:color w:val="auto"/>
                <w:sz w:val="20"/>
                <w:szCs w:val="20"/>
              </w:rPr>
              <w:t>81.0</w:t>
            </w:r>
          </w:p>
        </w:tc>
        <w:tc>
          <w:tcPr>
            <w:tcW w:w="1705" w:type="dxa"/>
            <w:vAlign w:val="center"/>
          </w:tcPr>
          <w:p w:rsidR="00E21249" w:rsidRPr="00907DED" w:rsidRDefault="00E21249" w:rsidP="00EB5B70">
            <w:pPr>
              <w:spacing w:after="120"/>
              <w:jc w:val="center"/>
              <w:rPr>
                <w:color w:val="auto"/>
                <w:sz w:val="20"/>
                <w:szCs w:val="20"/>
              </w:rPr>
            </w:pPr>
            <w:r w:rsidRPr="00907DED">
              <w:rPr>
                <w:color w:val="auto"/>
                <w:sz w:val="20"/>
                <w:szCs w:val="20"/>
              </w:rPr>
              <w:t>98.0</w:t>
            </w:r>
          </w:p>
        </w:tc>
      </w:tr>
    </w:tbl>
    <w:p w:rsidR="00E21249" w:rsidRPr="006F65D7" w:rsidRDefault="00E21249" w:rsidP="00E21249">
      <w:pPr>
        <w:spacing w:after="0" w:line="240" w:lineRule="auto"/>
        <w:rPr>
          <w:sz w:val="18"/>
        </w:rPr>
      </w:pPr>
      <w:r w:rsidRPr="006F65D7">
        <w:rPr>
          <w:sz w:val="18"/>
        </w:rPr>
        <w:t>†Approximated to 95.0% in the simulation; §Approximate values</w:t>
      </w:r>
    </w:p>
    <w:p w:rsidR="00E21249" w:rsidRPr="006F65D7" w:rsidRDefault="00E21249" w:rsidP="00E21249">
      <w:pPr>
        <w:spacing w:line="240" w:lineRule="auto"/>
        <w:rPr>
          <w:sz w:val="18"/>
        </w:rPr>
      </w:pPr>
      <w:r w:rsidRPr="006F65D7">
        <w:rPr>
          <w:sz w:val="18"/>
        </w:rPr>
        <w:t xml:space="preserve">‡Although cited as realistic, the values quoted in this table should be interpreted with care as they may no longer be applicable due to </w:t>
      </w:r>
      <w:r>
        <w:rPr>
          <w:sz w:val="18"/>
        </w:rPr>
        <w:t xml:space="preserve">multiple reasons such as </w:t>
      </w:r>
      <w:r w:rsidRPr="006F65D7">
        <w:rPr>
          <w:sz w:val="18"/>
        </w:rPr>
        <w:t>dynamics in the field of diagnostic testing that lead to improvement in the ac</w:t>
      </w:r>
      <w:r>
        <w:rPr>
          <w:sz w:val="18"/>
        </w:rPr>
        <w:t xml:space="preserve">curacy of the diagnostic tests, low </w:t>
      </w:r>
      <w:r w:rsidRPr="006F65D7">
        <w:rPr>
          <w:sz w:val="18"/>
        </w:rPr>
        <w:t xml:space="preserve">number of individuals in the study due to limited application </w:t>
      </w:r>
      <w:r>
        <w:rPr>
          <w:sz w:val="18"/>
        </w:rPr>
        <w:t>at the time of the referenced</w:t>
      </w:r>
      <w:r w:rsidRPr="006F65D7">
        <w:rPr>
          <w:sz w:val="18"/>
        </w:rPr>
        <w:t xml:space="preserve"> study</w:t>
      </w:r>
      <w:r>
        <w:rPr>
          <w:sz w:val="18"/>
        </w:rPr>
        <w:t xml:space="preserve"> or misclassification of patients with subclinical active TB as not having TB due to limitations of state of the art confirmatory testing</w:t>
      </w:r>
      <w:r w:rsidRPr="006F65D7">
        <w:rPr>
          <w:sz w:val="18"/>
        </w:rPr>
        <w:t>. These value</w:t>
      </w:r>
      <w:r>
        <w:rPr>
          <w:sz w:val="18"/>
        </w:rPr>
        <w:t>s</w:t>
      </w:r>
      <w:r w:rsidRPr="006F65D7">
        <w:rPr>
          <w:sz w:val="18"/>
        </w:rPr>
        <w:t xml:space="preserve"> should only be considered as important values to facilitate simulation to aid assessment of the model.</w:t>
      </w:r>
    </w:p>
    <w:p w:rsidR="00E21249" w:rsidRPr="008F7072" w:rsidRDefault="00E21249" w:rsidP="00E21249">
      <w:pPr>
        <w:spacing w:before="240" w:line="240" w:lineRule="auto"/>
        <w:rPr>
          <w:b/>
          <w:sz w:val="22"/>
          <w:szCs w:val="22"/>
        </w:rPr>
      </w:pPr>
      <w:r w:rsidRPr="008F7072">
        <w:rPr>
          <w:b/>
          <w:sz w:val="22"/>
          <w:szCs w:val="22"/>
        </w:rPr>
        <w:t>Latent Class Model</w:t>
      </w:r>
    </w:p>
    <w:p w:rsidR="00E21249" w:rsidRDefault="00E21249" w:rsidP="00E21249">
      <w:pPr>
        <w:spacing w:line="240" w:lineRule="auto"/>
        <w:rPr>
          <w:sz w:val="22"/>
          <w:szCs w:val="22"/>
        </w:rPr>
      </w:pPr>
      <w:r w:rsidRPr="00E773FD">
        <w:rPr>
          <w:sz w:val="22"/>
          <w:szCs w:val="22"/>
        </w:rPr>
        <w:t xml:space="preserve">The sensitivity and specificity of the diagnostic tests were allowed to depend on the true unobserved </w:t>
      </w:r>
      <w:r>
        <w:rPr>
          <w:sz w:val="22"/>
          <w:szCs w:val="22"/>
        </w:rPr>
        <w:t>pulmonary tuberculosis (</w:t>
      </w:r>
      <w:r w:rsidRPr="00E773FD">
        <w:rPr>
          <w:sz w:val="22"/>
          <w:szCs w:val="22"/>
        </w:rPr>
        <w:t>PTB</w:t>
      </w:r>
      <w:r>
        <w:rPr>
          <w:sz w:val="22"/>
          <w:szCs w:val="22"/>
        </w:rPr>
        <w:t>)</w:t>
      </w:r>
      <w:r w:rsidRPr="00E773FD">
        <w:rPr>
          <w:sz w:val="22"/>
          <w:szCs w:val="22"/>
        </w:rPr>
        <w:t xml:space="preserve"> status of the </w:t>
      </w:r>
      <w:r>
        <w:rPr>
          <w:sz w:val="22"/>
          <w:szCs w:val="22"/>
        </w:rPr>
        <w:t>individual</w:t>
      </w:r>
      <w:r w:rsidRPr="00E773FD">
        <w:rPr>
          <w:sz w:val="22"/>
          <w:szCs w:val="22"/>
        </w:rPr>
        <w:t xml:space="preserve"> and the covariate through a </w:t>
      </w:r>
      <w:proofErr w:type="spellStart"/>
      <w:proofErr w:type="gramStart"/>
      <w:r w:rsidRPr="00E773FD">
        <w:rPr>
          <w:sz w:val="22"/>
          <w:szCs w:val="22"/>
        </w:rPr>
        <w:t>Probit</w:t>
      </w:r>
      <w:proofErr w:type="spellEnd"/>
      <w:proofErr w:type="gramEnd"/>
      <w:r w:rsidRPr="00E773FD">
        <w:rPr>
          <w:sz w:val="22"/>
          <w:szCs w:val="22"/>
        </w:rPr>
        <w:t xml:space="preserve"> model. Thus, the probability that the </w:t>
      </w:r>
      <w:proofErr w:type="spellStart"/>
      <w:r w:rsidRPr="00E773FD">
        <w:rPr>
          <w:sz w:val="22"/>
          <w:szCs w:val="22"/>
        </w:rPr>
        <w:t>j</w:t>
      </w:r>
      <w:r w:rsidRPr="00A95406">
        <w:rPr>
          <w:sz w:val="22"/>
          <w:szCs w:val="22"/>
          <w:vertAlign w:val="superscript"/>
        </w:rPr>
        <w:t>th</w:t>
      </w:r>
      <w:proofErr w:type="spellEnd"/>
      <w:r w:rsidRPr="00E773FD">
        <w:rPr>
          <w:sz w:val="22"/>
          <w:szCs w:val="22"/>
        </w:rPr>
        <w:t xml:space="preserve"> test result is positive on the </w:t>
      </w:r>
      <w:proofErr w:type="spellStart"/>
      <w:r w:rsidRPr="00E773FD">
        <w:rPr>
          <w:sz w:val="22"/>
          <w:szCs w:val="22"/>
        </w:rPr>
        <w:t>i</w:t>
      </w:r>
      <w:r w:rsidRPr="00A95406">
        <w:rPr>
          <w:sz w:val="22"/>
          <w:szCs w:val="22"/>
          <w:vertAlign w:val="superscript"/>
        </w:rPr>
        <w:t>th</w:t>
      </w:r>
      <w:proofErr w:type="spellEnd"/>
      <w:r w:rsidRPr="00E773FD">
        <w:rPr>
          <w:sz w:val="22"/>
          <w:szCs w:val="22"/>
        </w:rPr>
        <w:t xml:space="preserve"> individual was allowed to depend on the true unobserved PTB status of the subject and the covariate through a </w:t>
      </w:r>
      <w:proofErr w:type="spellStart"/>
      <w:proofErr w:type="gramStart"/>
      <w:r w:rsidRPr="00E773FD">
        <w:rPr>
          <w:sz w:val="22"/>
          <w:szCs w:val="22"/>
        </w:rPr>
        <w:t>Probit</w:t>
      </w:r>
      <w:proofErr w:type="spellEnd"/>
      <w:proofErr w:type="gramEnd"/>
      <w:r w:rsidRPr="00E773FD">
        <w:rPr>
          <w:sz w:val="22"/>
          <w:szCs w:val="22"/>
        </w:rPr>
        <w:t xml:space="preserve"> model. That is</w:t>
      </w:r>
      <m:oMath>
        <m:r>
          <w:rPr>
            <w:rFonts w:ascii="Cambria Math" w:hAnsi="Cambria Math"/>
            <w:sz w:val="22"/>
            <w:szCs w:val="22"/>
          </w:rPr>
          <m:t xml:space="preserve"> Pr</m:t>
        </m:r>
        <m:d>
          <m:dPr>
            <m:ctrlPr>
              <w:rPr>
                <w:rFonts w:ascii="Cambria Math" w:hAnsi="Cambria Math"/>
                <w:sz w:val="22"/>
                <w:szCs w:val="22"/>
              </w:rPr>
            </m:ctrlPr>
          </m:dPr>
          <m:e>
            <m:sSub>
              <m:sSubPr>
                <m:ctrlPr>
                  <w:rPr>
                    <w:rFonts w:ascii="Cambria Math" w:hAnsi="Cambria Math"/>
                    <w:sz w:val="22"/>
                    <w:szCs w:val="22"/>
                  </w:rPr>
                </m:ctrlPr>
              </m:sSubPr>
              <m:e>
                <m:r>
                  <w:rPr>
                    <w:rFonts w:ascii="Cambria Math" w:hAnsi="Cambria Math"/>
                    <w:sz w:val="22"/>
                    <w:szCs w:val="22"/>
                  </w:rPr>
                  <m:t>Y</m:t>
                </m:r>
              </m:e>
              <m:sub>
                <m:r>
                  <w:rPr>
                    <w:rFonts w:ascii="Cambria Math" w:hAnsi="Cambria Math"/>
                    <w:sz w:val="22"/>
                    <w:szCs w:val="22"/>
                  </w:rPr>
                  <m:t>ij</m:t>
                </m:r>
              </m:sub>
            </m:sSub>
            <m:r>
              <m:rPr>
                <m:sty m:val="p"/>
              </m:rPr>
              <w:rPr>
                <w:rFonts w:ascii="Cambria Math" w:hAnsi="Cambria Math"/>
                <w:sz w:val="22"/>
                <w:szCs w:val="22"/>
              </w:rPr>
              <m:t>=1</m:t>
            </m:r>
          </m:e>
          <m:e>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i</m:t>
                </m:r>
              </m:sub>
            </m:sSub>
            <m:r>
              <m:rPr>
                <m:sty m:val="p"/>
              </m:rPr>
              <w:rPr>
                <w:rFonts w:ascii="Cambria Math" w:hAnsi="Cambria Math"/>
                <w:sz w:val="22"/>
                <w:szCs w:val="22"/>
              </w:rPr>
              <m:t>=</m:t>
            </m:r>
            <m:r>
              <w:rPr>
                <w:rFonts w:ascii="Cambria Math" w:hAnsi="Cambria Math"/>
                <w:sz w:val="22"/>
                <w:szCs w:val="22"/>
              </w:rPr>
              <m:t>d</m:t>
            </m:r>
            <m:r>
              <m:rPr>
                <m:sty m:val="p"/>
              </m:rPr>
              <w:rPr>
                <w:rFonts w:ascii="Cambria Math" w:hAnsi="Cambria Math"/>
                <w:sz w:val="22"/>
                <w:szCs w:val="22"/>
              </w:rPr>
              <m:t xml:space="preserve">, </m:t>
            </m:r>
            <m:sSub>
              <m:sSubPr>
                <m:ctrlPr>
                  <w:rPr>
                    <w:rFonts w:ascii="Cambria Math" w:hAnsi="Cambria Math"/>
                    <w:sz w:val="22"/>
                    <w:szCs w:val="22"/>
                  </w:rPr>
                </m:ctrlPr>
              </m:sSubPr>
              <m:e>
                <m:r>
                  <w:rPr>
                    <w:rFonts w:ascii="Cambria Math" w:hAnsi="Cambria Math"/>
                    <w:sz w:val="22"/>
                    <w:szCs w:val="22"/>
                  </w:rPr>
                  <m:t>X</m:t>
                </m:r>
              </m:e>
              <m:sub>
                <m:r>
                  <w:rPr>
                    <w:rFonts w:ascii="Cambria Math" w:hAnsi="Cambria Math"/>
                    <w:sz w:val="22"/>
                    <w:szCs w:val="22"/>
                  </w:rPr>
                  <m:t>i</m:t>
                </m:r>
              </m:sub>
            </m:sSub>
            <m:r>
              <m:rPr>
                <m:sty m:val="p"/>
              </m:rP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x</m:t>
                </m:r>
              </m:e>
              <m:sub>
                <m:r>
                  <w:rPr>
                    <w:rFonts w:ascii="Cambria Math" w:hAnsi="Cambria Math"/>
                    <w:sz w:val="22"/>
                    <w:szCs w:val="22"/>
                  </w:rPr>
                  <m:t>i</m:t>
                </m:r>
              </m:sub>
            </m:sSub>
          </m:e>
        </m:d>
        <m:r>
          <m:rPr>
            <m:sty m:val="p"/>
          </m:rPr>
          <w:rPr>
            <w:rFonts w:ascii="Cambria Math" w:hAnsi="Cambria Math"/>
            <w:sz w:val="22"/>
            <w:szCs w:val="22"/>
          </w:rPr>
          <m:t>= ∅</m:t>
        </m:r>
        <m:d>
          <m:dPr>
            <m:ctrlPr>
              <w:rPr>
                <w:rFonts w:ascii="Cambria Math" w:hAnsi="Cambria Math"/>
                <w:sz w:val="22"/>
                <w:szCs w:val="22"/>
              </w:rPr>
            </m:ctrlPr>
          </m:dPr>
          <m:e>
            <m:sSubSup>
              <m:sSubSupPr>
                <m:ctrlPr>
                  <w:rPr>
                    <w:rFonts w:ascii="Cambria Math" w:hAnsi="Cambria Math"/>
                    <w:sz w:val="22"/>
                    <w:szCs w:val="22"/>
                  </w:rPr>
                </m:ctrlPr>
              </m:sSubSupPr>
              <m:e>
                <m:r>
                  <w:rPr>
                    <w:rFonts w:ascii="Cambria Math" w:hAnsi="Cambria Math"/>
                    <w:sz w:val="22"/>
                    <w:szCs w:val="22"/>
                  </w:rPr>
                  <m:t>z</m:t>
                </m:r>
              </m:e>
              <m:sub>
                <m:r>
                  <w:rPr>
                    <w:rFonts w:ascii="Cambria Math" w:hAnsi="Cambria Math"/>
                    <w:sz w:val="22"/>
                    <w:szCs w:val="22"/>
                  </w:rPr>
                  <m:t>i</m:t>
                </m:r>
              </m:sub>
              <m:sup>
                <m:r>
                  <m:rPr>
                    <m:sty m:val="p"/>
                  </m:rPr>
                  <w:rPr>
                    <w:rFonts w:ascii="Cambria Math" w:hAnsi="Cambria Math"/>
                    <w:sz w:val="22"/>
                    <w:szCs w:val="22"/>
                  </w:rPr>
                  <m:t>'</m:t>
                </m:r>
              </m:sup>
            </m:sSubSup>
            <m:r>
              <w:rPr>
                <w:rFonts w:ascii="Cambria Math" w:hAnsi="Cambria Math"/>
                <w:sz w:val="22"/>
                <w:szCs w:val="22"/>
              </w:rPr>
              <m:t>γ</m:t>
            </m:r>
          </m:e>
        </m:d>
      </m:oMath>
      <w:r w:rsidRPr="00E773FD">
        <w:rPr>
          <w:sz w:val="22"/>
          <w:szCs w:val="22"/>
        </w:rPr>
        <w:t>, where</w:t>
      </w:r>
      <m:oMath>
        <m:sSub>
          <m:sSubPr>
            <m:ctrlPr>
              <w:rPr>
                <w:rFonts w:ascii="Cambria Math" w:hAnsi="Cambria Math"/>
                <w:sz w:val="22"/>
                <w:szCs w:val="22"/>
              </w:rPr>
            </m:ctrlPr>
          </m:sSubPr>
          <m:e>
            <m:r>
              <w:rPr>
                <w:rFonts w:ascii="Cambria Math" w:hAnsi="Cambria Math"/>
                <w:sz w:val="22"/>
                <w:szCs w:val="22"/>
              </w:rPr>
              <m:t xml:space="preserve"> z</m:t>
            </m:r>
          </m:e>
          <m:sub>
            <m:r>
              <w:rPr>
                <w:rFonts w:ascii="Cambria Math" w:hAnsi="Cambria Math"/>
                <w:sz w:val="22"/>
                <w:szCs w:val="22"/>
              </w:rPr>
              <m:t>i</m:t>
            </m:r>
          </m:sub>
        </m:sSub>
        <m:r>
          <m:rPr>
            <m:sty m:val="p"/>
          </m:rPr>
          <w:rPr>
            <w:rFonts w:ascii="Cambria Math" w:hAnsi="Cambria Math"/>
            <w:sz w:val="22"/>
            <w:szCs w:val="22"/>
          </w:rPr>
          <m:t xml:space="preserve">= </m:t>
        </m:r>
        <m:d>
          <m:dPr>
            <m:ctrlPr>
              <w:rPr>
                <w:rFonts w:ascii="Cambria Math" w:hAnsi="Cambria Math"/>
                <w:sz w:val="22"/>
                <w:szCs w:val="22"/>
              </w:rPr>
            </m:ctrlPr>
          </m:dPr>
          <m:e>
            <m:r>
              <w:rPr>
                <w:rFonts w:ascii="Cambria Math" w:hAnsi="Cambria Math"/>
                <w:sz w:val="22"/>
                <w:szCs w:val="22"/>
              </w:rPr>
              <m:t>d</m:t>
            </m:r>
            <m:r>
              <m:rPr>
                <m:sty m:val="p"/>
              </m:rP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x</m:t>
                </m:r>
              </m:e>
              <m:sub>
                <m:r>
                  <w:rPr>
                    <w:rFonts w:ascii="Cambria Math" w:hAnsi="Cambria Math"/>
                    <w:sz w:val="22"/>
                    <w:szCs w:val="22"/>
                  </w:rPr>
                  <m:t>i</m:t>
                </m:r>
              </m:sub>
            </m:sSub>
          </m:e>
        </m:d>
      </m:oMath>
      <w:proofErr w:type="gramStart"/>
      <w:r w:rsidRPr="00E773FD">
        <w:rPr>
          <w:sz w:val="22"/>
          <w:szCs w:val="22"/>
        </w:rPr>
        <w:t>,</w:t>
      </w:r>
      <w:r>
        <w:rPr>
          <w:sz w:val="22"/>
          <w:szCs w:val="22"/>
        </w:rPr>
        <w:t xml:space="preserve"> </w:t>
      </w:r>
      <w:proofErr w:type="gramEnd"/>
      <m:oMath>
        <m:r>
          <w:rPr>
            <w:rFonts w:ascii="Cambria Math" w:hAnsi="Cambria Math"/>
            <w:sz w:val="22"/>
            <w:szCs w:val="22"/>
          </w:rPr>
          <m:t xml:space="preserve"> i=1,2,3,…,N</m:t>
        </m:r>
      </m:oMath>
      <w:r>
        <w:rPr>
          <w:sz w:val="22"/>
          <w:szCs w:val="22"/>
        </w:rPr>
        <w:t xml:space="preserve">, </w:t>
      </w:r>
      <m:oMath>
        <m:r>
          <w:rPr>
            <w:rFonts w:ascii="Cambria Math" w:hAnsi="Cambria Math"/>
            <w:sz w:val="22"/>
            <w:szCs w:val="22"/>
          </w:rPr>
          <m:t>j=1,2,3,…,J</m:t>
        </m:r>
      </m:oMath>
      <w:r w:rsidRPr="00E773FD">
        <w:rPr>
          <w:sz w:val="22"/>
          <w:szCs w:val="22"/>
        </w:rPr>
        <w:t xml:space="preserve"> </w:t>
      </w:r>
      <m:oMath>
        <m:r>
          <m:rPr>
            <m:sty m:val="p"/>
          </m:rPr>
          <w:rPr>
            <w:rFonts w:ascii="Cambria Math" w:hAnsi="Cambria Math"/>
            <w:sz w:val="22"/>
            <w:szCs w:val="22"/>
          </w:rPr>
          <m:t>∅</m:t>
        </m:r>
        <m:d>
          <m:dPr>
            <m:ctrlPr>
              <w:rPr>
                <w:rFonts w:ascii="Cambria Math" w:hAnsi="Cambria Math"/>
                <w:sz w:val="22"/>
                <w:szCs w:val="22"/>
              </w:rPr>
            </m:ctrlPr>
          </m:dPr>
          <m:e>
            <m:r>
              <m:rPr>
                <m:sty m:val="p"/>
              </m:rPr>
              <w:rPr>
                <w:rFonts w:ascii="Cambria Math" w:hAnsi="Cambria Math"/>
                <w:sz w:val="22"/>
                <w:szCs w:val="22"/>
              </w:rPr>
              <m:t xml:space="preserve"> .</m:t>
            </m:r>
          </m:e>
        </m:d>
      </m:oMath>
      <w:r w:rsidRPr="00E773FD">
        <w:rPr>
          <w:sz w:val="22"/>
          <w:szCs w:val="22"/>
        </w:rPr>
        <w:t xml:space="preserve"> is the cumulative distribu</w:t>
      </w:r>
      <w:proofErr w:type="spellStart"/>
      <w:r w:rsidRPr="00E773FD">
        <w:rPr>
          <w:sz w:val="22"/>
          <w:szCs w:val="22"/>
        </w:rPr>
        <w:t>tion</w:t>
      </w:r>
      <w:proofErr w:type="spellEnd"/>
      <w:r w:rsidRPr="00E773FD">
        <w:rPr>
          <w:sz w:val="22"/>
          <w:szCs w:val="22"/>
        </w:rPr>
        <w:t xml:space="preserve"> function of the standard normal distribution and </w:t>
      </w:r>
      <m:oMath>
        <m:r>
          <w:rPr>
            <w:rFonts w:ascii="Cambria Math" w:hAnsi="Cambria Math"/>
            <w:sz w:val="22"/>
            <w:szCs w:val="22"/>
          </w:rPr>
          <m:t>γ</m:t>
        </m:r>
      </m:oMath>
      <w:r w:rsidRPr="00E773FD">
        <w:rPr>
          <w:sz w:val="22"/>
          <w:szCs w:val="22"/>
        </w:rPr>
        <w:t xml:space="preserve"> are parameters to be estimated. Similarly, PTB prevalence was allowed to depend on the covariate through a </w:t>
      </w:r>
      <w:proofErr w:type="gramStart"/>
      <w:r w:rsidRPr="00E773FD">
        <w:rPr>
          <w:sz w:val="22"/>
          <w:szCs w:val="22"/>
        </w:rPr>
        <w:t>Probit</w:t>
      </w:r>
      <w:proofErr w:type="gramEnd"/>
      <w:r w:rsidRPr="00E773FD">
        <w:rPr>
          <w:sz w:val="22"/>
          <w:szCs w:val="22"/>
        </w:rPr>
        <w:t xml:space="preserve"> model, i.e</w:t>
      </w:r>
      <w:r>
        <w:rPr>
          <w:sz w:val="22"/>
          <w:szCs w:val="22"/>
        </w:rPr>
        <w:t>.</w:t>
      </w:r>
      <w:r w:rsidRPr="00E773FD">
        <w:rPr>
          <w:sz w:val="22"/>
          <w:szCs w:val="22"/>
        </w:rPr>
        <w:t xml:space="preserve"> </w:t>
      </w:r>
      <m:oMath>
        <m:r>
          <w:rPr>
            <w:rFonts w:ascii="Cambria Math" w:hAnsi="Cambria Math"/>
            <w:sz w:val="22"/>
            <w:szCs w:val="22"/>
          </w:rPr>
          <m:t>Pr</m:t>
        </m:r>
        <m:d>
          <m:dPr>
            <m:ctrlPr>
              <w:rPr>
                <w:rFonts w:ascii="Cambria Math" w:hAnsi="Cambria Math"/>
                <w:sz w:val="22"/>
                <w:szCs w:val="22"/>
              </w:rPr>
            </m:ctrlPr>
          </m:dPr>
          <m:e>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i</m:t>
                </m:r>
              </m:sub>
            </m:sSub>
            <m:r>
              <m:rPr>
                <m:sty m:val="p"/>
              </m:rPr>
              <w:rPr>
                <w:rFonts w:ascii="Cambria Math" w:hAnsi="Cambria Math"/>
                <w:sz w:val="22"/>
                <w:szCs w:val="22"/>
              </w:rPr>
              <m:t>=1</m:t>
            </m:r>
          </m:e>
          <m:e>
            <m:sSub>
              <m:sSubPr>
                <m:ctrlPr>
                  <w:rPr>
                    <w:rFonts w:ascii="Cambria Math" w:hAnsi="Cambria Math"/>
                    <w:sz w:val="22"/>
                    <w:szCs w:val="22"/>
                  </w:rPr>
                </m:ctrlPr>
              </m:sSubPr>
              <m:e>
                <m:r>
                  <w:rPr>
                    <w:rFonts w:ascii="Cambria Math" w:hAnsi="Cambria Math"/>
                    <w:sz w:val="22"/>
                    <w:szCs w:val="22"/>
                  </w:rPr>
                  <m:t>X</m:t>
                </m:r>
              </m:e>
              <m:sub>
                <m:r>
                  <w:rPr>
                    <w:rFonts w:ascii="Cambria Math" w:hAnsi="Cambria Math"/>
                    <w:sz w:val="22"/>
                    <w:szCs w:val="22"/>
                  </w:rPr>
                  <m:t>i</m:t>
                </m:r>
              </m:sub>
            </m:sSub>
            <m:r>
              <m:rPr>
                <m:sty m:val="p"/>
              </m:rPr>
              <w:rPr>
                <w:rFonts w:ascii="Cambria Math" w:hAnsi="Cambria Math"/>
                <w:sz w:val="22"/>
                <w:szCs w:val="22"/>
              </w:rPr>
              <m:t>=</m:t>
            </m:r>
            <m:sSub>
              <m:sSubPr>
                <m:ctrlPr>
                  <w:rPr>
                    <w:rFonts w:ascii="Cambria Math" w:hAnsi="Cambria Math"/>
                    <w:sz w:val="22"/>
                    <w:szCs w:val="22"/>
                  </w:rPr>
                </m:ctrlPr>
              </m:sSubPr>
              <m:e>
                <m:r>
                  <w:rPr>
                    <w:rFonts w:ascii="Cambria Math" w:hAnsi="Cambria Math"/>
                    <w:sz w:val="22"/>
                    <w:szCs w:val="22"/>
                  </w:rPr>
                  <m:t>x</m:t>
                </m:r>
              </m:e>
              <m:sub>
                <m:r>
                  <w:rPr>
                    <w:rFonts w:ascii="Cambria Math" w:hAnsi="Cambria Math"/>
                    <w:sz w:val="22"/>
                    <w:szCs w:val="22"/>
                  </w:rPr>
                  <m:t>i</m:t>
                </m:r>
              </m:sub>
            </m:sSub>
          </m:e>
        </m:d>
        <m:r>
          <m:rPr>
            <m:sty m:val="p"/>
          </m:rPr>
          <w:rPr>
            <w:rFonts w:ascii="Cambria Math" w:hAnsi="Cambria Math"/>
            <w:sz w:val="22"/>
            <w:szCs w:val="22"/>
          </w:rPr>
          <m:t>= ∅</m:t>
        </m:r>
        <m:d>
          <m:dPr>
            <m:ctrlPr>
              <w:rPr>
                <w:rFonts w:ascii="Cambria Math" w:hAnsi="Cambria Math"/>
                <w:sz w:val="22"/>
                <w:szCs w:val="22"/>
              </w:rPr>
            </m:ctrlPr>
          </m:dPr>
          <m:e>
            <m:sSubSup>
              <m:sSubSupPr>
                <m:ctrlPr>
                  <w:rPr>
                    <w:rFonts w:ascii="Cambria Math" w:hAnsi="Cambria Math"/>
                    <w:sz w:val="22"/>
                    <w:szCs w:val="22"/>
                  </w:rPr>
                </m:ctrlPr>
              </m:sSubSupPr>
              <m:e>
                <m:r>
                  <w:rPr>
                    <w:rFonts w:ascii="Cambria Math" w:hAnsi="Cambria Math"/>
                    <w:sz w:val="22"/>
                    <w:szCs w:val="22"/>
                  </w:rPr>
                  <m:t>x</m:t>
                </m:r>
              </m:e>
              <m:sub>
                <m:r>
                  <w:rPr>
                    <w:rFonts w:ascii="Cambria Math" w:hAnsi="Cambria Math"/>
                    <w:sz w:val="22"/>
                    <w:szCs w:val="22"/>
                  </w:rPr>
                  <m:t>i</m:t>
                </m:r>
              </m:sub>
              <m:sup>
                <m:r>
                  <m:rPr>
                    <m:sty m:val="p"/>
                  </m:rPr>
                  <w:rPr>
                    <w:rFonts w:ascii="Cambria Math" w:hAnsi="Cambria Math"/>
                    <w:sz w:val="22"/>
                    <w:szCs w:val="22"/>
                  </w:rPr>
                  <m:t>'</m:t>
                </m:r>
              </m:sup>
            </m:sSubSup>
            <m:r>
              <w:rPr>
                <w:rFonts w:ascii="Cambria Math" w:hAnsi="Cambria Math"/>
                <w:sz w:val="22"/>
                <w:szCs w:val="22"/>
              </w:rPr>
              <m:t>δ</m:t>
            </m:r>
          </m:e>
        </m:d>
      </m:oMath>
      <w:r w:rsidRPr="00E773FD">
        <w:rPr>
          <w:sz w:val="22"/>
          <w:szCs w:val="22"/>
        </w:rPr>
        <w:t xml:space="preserve">. For the relationships not adjusting for the covariate effect, the </w:t>
      </w:r>
      <w:proofErr w:type="spellStart"/>
      <w:proofErr w:type="gramStart"/>
      <w:r w:rsidRPr="00E773FD">
        <w:rPr>
          <w:sz w:val="22"/>
          <w:szCs w:val="22"/>
        </w:rPr>
        <w:t>Probit</w:t>
      </w:r>
      <w:proofErr w:type="spellEnd"/>
      <w:proofErr w:type="gramEnd"/>
      <w:r w:rsidRPr="00E773FD">
        <w:rPr>
          <w:sz w:val="22"/>
          <w:szCs w:val="22"/>
        </w:rPr>
        <w:t xml:space="preserve"> model was a function of a constant, e.g</w:t>
      </w:r>
      <w:r>
        <w:rPr>
          <w:sz w:val="22"/>
          <w:szCs w:val="22"/>
        </w:rPr>
        <w:t>.</w:t>
      </w:r>
      <w:r w:rsidRPr="00E773FD">
        <w:rPr>
          <w:sz w:val="22"/>
          <w:szCs w:val="22"/>
        </w:rPr>
        <w:t xml:space="preserve"> </w:t>
      </w:r>
      <m:oMath>
        <m:r>
          <w:rPr>
            <w:rFonts w:ascii="Cambria Math" w:hAnsi="Cambria Math"/>
            <w:sz w:val="22"/>
            <w:szCs w:val="22"/>
          </w:rPr>
          <m:t>Pr</m:t>
        </m:r>
        <m:d>
          <m:dPr>
            <m:ctrlPr>
              <w:rPr>
                <w:rFonts w:ascii="Cambria Math" w:hAnsi="Cambria Math"/>
                <w:sz w:val="22"/>
                <w:szCs w:val="22"/>
              </w:rPr>
            </m:ctrlPr>
          </m:dPr>
          <m:e>
            <m:sSub>
              <m:sSubPr>
                <m:ctrlPr>
                  <w:rPr>
                    <w:rFonts w:ascii="Cambria Math" w:hAnsi="Cambria Math"/>
                    <w:sz w:val="22"/>
                    <w:szCs w:val="22"/>
                  </w:rPr>
                </m:ctrlPr>
              </m:sSubPr>
              <m:e>
                <m:r>
                  <w:rPr>
                    <w:rFonts w:ascii="Cambria Math" w:hAnsi="Cambria Math"/>
                    <w:sz w:val="22"/>
                    <w:szCs w:val="22"/>
                  </w:rPr>
                  <m:t>D</m:t>
                </m:r>
              </m:e>
              <m:sub>
                <m:r>
                  <w:rPr>
                    <w:rFonts w:ascii="Cambria Math" w:hAnsi="Cambria Math"/>
                    <w:sz w:val="22"/>
                    <w:szCs w:val="22"/>
                  </w:rPr>
                  <m:t>i</m:t>
                </m:r>
              </m:sub>
            </m:sSub>
            <m:r>
              <m:rPr>
                <m:sty m:val="p"/>
              </m:rPr>
              <w:rPr>
                <w:rFonts w:ascii="Cambria Math" w:hAnsi="Cambria Math"/>
                <w:sz w:val="22"/>
                <w:szCs w:val="22"/>
              </w:rPr>
              <m:t>=1</m:t>
            </m:r>
          </m:e>
        </m:d>
        <m:r>
          <m:rPr>
            <m:sty m:val="p"/>
          </m:rPr>
          <w:rPr>
            <w:rFonts w:ascii="Cambria Math" w:hAnsi="Cambria Math"/>
            <w:sz w:val="22"/>
            <w:szCs w:val="22"/>
          </w:rPr>
          <m:t>= ∅</m:t>
        </m:r>
        <m:d>
          <m:dPr>
            <m:ctrlPr>
              <w:rPr>
                <w:rFonts w:ascii="Cambria Math" w:hAnsi="Cambria Math"/>
                <w:sz w:val="22"/>
                <w:szCs w:val="22"/>
              </w:rPr>
            </m:ctrlPr>
          </m:dPr>
          <m:e>
            <m:sSub>
              <m:sSubPr>
                <m:ctrlPr>
                  <w:rPr>
                    <w:rFonts w:ascii="Cambria Math" w:hAnsi="Cambria Math"/>
                    <w:sz w:val="22"/>
                    <w:szCs w:val="22"/>
                  </w:rPr>
                </m:ctrlPr>
              </m:sSubPr>
              <m:e>
                <m:r>
                  <w:rPr>
                    <w:rFonts w:ascii="Cambria Math" w:hAnsi="Cambria Math"/>
                    <w:sz w:val="22"/>
                    <w:szCs w:val="22"/>
                  </w:rPr>
                  <m:t>δ</m:t>
                </m:r>
              </m:e>
              <m:sub>
                <m:r>
                  <m:rPr>
                    <m:sty m:val="p"/>
                  </m:rPr>
                  <w:rPr>
                    <w:rFonts w:ascii="Cambria Math" w:hAnsi="Cambria Math"/>
                    <w:sz w:val="22"/>
                    <w:szCs w:val="22"/>
                  </w:rPr>
                  <m:t>0</m:t>
                </m:r>
              </m:sub>
            </m:sSub>
          </m:e>
        </m:d>
      </m:oMath>
      <w:r w:rsidRPr="00E773FD">
        <w:rPr>
          <w:sz w:val="22"/>
          <w:szCs w:val="22"/>
        </w:rPr>
        <w:t>. Thus, for the true mode (Model IV), the likelihood function can be expressed as</w:t>
      </w:r>
    </w:p>
    <w:p w:rsidR="00E21249" w:rsidRPr="0033557D" w:rsidRDefault="00E21249" w:rsidP="00E21249">
      <w:pPr>
        <w:spacing w:line="240" w:lineRule="auto"/>
        <w:ind w:left="357"/>
        <w:rPr>
          <w:sz w:val="22"/>
          <w:szCs w:val="22"/>
        </w:rPr>
      </w:pPr>
      <m:oMathPara>
        <m:oMathParaPr>
          <m:jc m:val="center"/>
        </m:oMathParaPr>
        <m:oMath>
          <m:r>
            <m:rPr>
              <m:sty m:val="p"/>
            </m:rPr>
            <w:rPr>
              <w:rFonts w:ascii="Cambria Math" w:hAnsi="Cambria Math"/>
              <w:sz w:val="22"/>
              <w:szCs w:val="22"/>
            </w:rPr>
            <w:br/>
          </m:r>
        </m:oMath>
        <m:oMath>
          <m:r>
            <w:rPr>
              <w:rFonts w:ascii="Cambria Math" w:hAnsi="Cambria Math"/>
              <w:sz w:val="22"/>
              <w:szCs w:val="22"/>
            </w:rPr>
            <m:t>L</m:t>
          </m:r>
          <m:d>
            <m:dPr>
              <m:ctrlPr>
                <w:rPr>
                  <w:rFonts w:ascii="Cambria Math" w:hAnsi="Cambria Math"/>
                  <w:sz w:val="22"/>
                  <w:szCs w:val="22"/>
                </w:rPr>
              </m:ctrlPr>
            </m:dPr>
            <m:e>
              <m:r>
                <w:rPr>
                  <w:rFonts w:ascii="Cambria Math" w:hAnsi="Cambria Math"/>
                  <w:sz w:val="22"/>
                  <w:szCs w:val="22"/>
                </w:rPr>
                <m:t>γ</m:t>
              </m:r>
              <m:r>
                <m:rPr>
                  <m:sty m:val="p"/>
                </m:rPr>
                <w:rPr>
                  <w:rFonts w:ascii="Cambria Math" w:hAnsi="Cambria Math"/>
                  <w:sz w:val="22"/>
                  <w:szCs w:val="22"/>
                </w:rPr>
                <m:t xml:space="preserve">, </m:t>
              </m:r>
              <m:r>
                <w:rPr>
                  <w:rFonts w:ascii="Cambria Math" w:hAnsi="Cambria Math"/>
                  <w:sz w:val="22"/>
                  <w:szCs w:val="22"/>
                </w:rPr>
                <m:t>Y</m:t>
              </m:r>
              <m:r>
                <m:rPr>
                  <m:sty m:val="p"/>
                </m:rPr>
                <w:rPr>
                  <w:rFonts w:ascii="Cambria Math" w:hAnsi="Cambria Math"/>
                  <w:sz w:val="22"/>
                  <w:szCs w:val="22"/>
                </w:rPr>
                <m:t>,</m:t>
              </m:r>
              <m:r>
                <w:rPr>
                  <w:rFonts w:ascii="Cambria Math" w:hAnsi="Cambria Math"/>
                  <w:sz w:val="22"/>
                  <w:szCs w:val="22"/>
                </w:rPr>
                <m:t>X</m:t>
              </m:r>
              <m:r>
                <m:rPr>
                  <m:sty m:val="p"/>
                </m:rPr>
                <w:rPr>
                  <w:rFonts w:ascii="Cambria Math" w:hAnsi="Cambria Math"/>
                  <w:sz w:val="22"/>
                  <w:szCs w:val="22"/>
                </w:rPr>
                <m:t>,</m:t>
              </m:r>
              <m:r>
                <w:rPr>
                  <w:rFonts w:ascii="Cambria Math" w:hAnsi="Cambria Math"/>
                  <w:sz w:val="22"/>
                  <w:szCs w:val="22"/>
                </w:rPr>
                <m:t>D</m:t>
              </m:r>
            </m:e>
          </m:d>
          <m:r>
            <m:rPr>
              <m:sty m:val="p"/>
            </m:rPr>
            <w:rPr>
              <w:rFonts w:ascii="Cambria Math" w:hAnsi="Cambria Math"/>
              <w:sz w:val="22"/>
              <w:szCs w:val="22"/>
            </w:rPr>
            <m:t xml:space="preserve">= </m:t>
          </m:r>
          <m:nary>
            <m:naryPr>
              <m:chr m:val="∏"/>
              <m:limLoc m:val="undOvr"/>
              <m:ctrlPr>
                <w:rPr>
                  <w:rFonts w:ascii="Cambria Math" w:hAnsi="Cambria Math"/>
                  <w:sz w:val="22"/>
                  <w:szCs w:val="22"/>
                </w:rPr>
              </m:ctrlPr>
            </m:naryPr>
            <m:sub>
              <m:r>
                <w:rPr>
                  <w:rFonts w:ascii="Cambria Math" w:hAnsi="Cambria Math"/>
                  <w:sz w:val="22"/>
                  <w:szCs w:val="22"/>
                </w:rPr>
                <m:t>i=1</m:t>
              </m:r>
            </m:sub>
            <m:sup>
              <m:r>
                <w:rPr>
                  <w:rFonts w:ascii="Cambria Math" w:hAnsi="Cambria Math"/>
                  <w:sz w:val="22"/>
                  <w:szCs w:val="22"/>
                </w:rPr>
                <m:t>N</m:t>
              </m:r>
            </m:sup>
            <m:e>
              <m:d>
                <m:dPr>
                  <m:begChr m:val="{"/>
                  <m:endChr m:val="}"/>
                  <m:ctrlPr>
                    <w:rPr>
                      <w:rFonts w:ascii="Cambria Math" w:hAnsi="Cambria Math"/>
                      <w:i/>
                      <w:sz w:val="22"/>
                      <w:szCs w:val="22"/>
                    </w:rPr>
                  </m:ctrlPr>
                </m:dPr>
                <m:e>
                  <m:r>
                    <m:rPr>
                      <m:sty m:val="p"/>
                    </m:rPr>
                    <w:rPr>
                      <w:rFonts w:ascii="Cambria Math" w:hAnsi="Cambria Math"/>
                      <w:sz w:val="22"/>
                      <w:szCs w:val="22"/>
                    </w:rPr>
                    <m:t xml:space="preserve"> </m:t>
                  </m:r>
                  <m:sSup>
                    <m:sSupPr>
                      <m:ctrlPr>
                        <w:rPr>
                          <w:rFonts w:ascii="Cambria Math" w:hAnsi="Cambria Math"/>
                          <w:sz w:val="22"/>
                          <w:szCs w:val="22"/>
                        </w:rPr>
                      </m:ctrlPr>
                    </m:sSupPr>
                    <m:e>
                      <m:d>
                        <m:dPr>
                          <m:ctrlPr>
                            <w:rPr>
                              <w:rFonts w:ascii="Cambria Math" w:hAnsi="Cambria Math"/>
                              <w:sz w:val="22"/>
                              <w:szCs w:val="22"/>
                            </w:rPr>
                          </m:ctrlPr>
                        </m:dPr>
                        <m:e>
                          <m:r>
                            <m:rPr>
                              <m:sty m:val="p"/>
                            </m:rPr>
                            <w:rPr>
                              <w:rFonts w:ascii="Cambria Math" w:hAnsi="Cambria Math"/>
                              <w:sz w:val="22"/>
                              <w:szCs w:val="22"/>
                            </w:rPr>
                            <m:t>∅</m:t>
                          </m:r>
                          <m:d>
                            <m:dPr>
                              <m:ctrlPr>
                                <w:rPr>
                                  <w:rFonts w:ascii="Cambria Math" w:hAnsi="Cambria Math"/>
                                  <w:sz w:val="22"/>
                                  <w:szCs w:val="22"/>
                                </w:rPr>
                              </m:ctrlPr>
                            </m:dPr>
                            <m:e>
                              <m:sSubSup>
                                <m:sSubSupPr>
                                  <m:ctrlPr>
                                    <w:rPr>
                                      <w:rFonts w:ascii="Cambria Math" w:hAnsi="Cambria Math"/>
                                      <w:sz w:val="22"/>
                                      <w:szCs w:val="22"/>
                                    </w:rPr>
                                  </m:ctrlPr>
                                </m:sSubSupPr>
                                <m:e>
                                  <m:r>
                                    <w:rPr>
                                      <w:rFonts w:ascii="Cambria Math" w:hAnsi="Cambria Math"/>
                                      <w:sz w:val="22"/>
                                      <w:szCs w:val="22"/>
                                    </w:rPr>
                                    <m:t>x</m:t>
                                  </m:r>
                                </m:e>
                                <m:sub>
                                  <m:r>
                                    <w:rPr>
                                      <w:rFonts w:ascii="Cambria Math" w:hAnsi="Cambria Math"/>
                                      <w:sz w:val="22"/>
                                      <w:szCs w:val="22"/>
                                    </w:rPr>
                                    <m:t>i</m:t>
                                  </m:r>
                                </m:sub>
                                <m:sup>
                                  <m:r>
                                    <m:rPr>
                                      <m:sty m:val="p"/>
                                    </m:rPr>
                                    <w:rPr>
                                      <w:rFonts w:ascii="Cambria Math" w:hAnsi="Cambria Math"/>
                                      <w:sz w:val="22"/>
                                      <w:szCs w:val="22"/>
                                    </w:rPr>
                                    <m:t>'</m:t>
                                  </m:r>
                                </m:sup>
                              </m:sSubSup>
                              <m:r>
                                <w:rPr>
                                  <w:rFonts w:ascii="Cambria Math" w:hAnsi="Cambria Math"/>
                                  <w:sz w:val="22"/>
                                  <w:szCs w:val="22"/>
                                </w:rPr>
                                <m:t>δ</m:t>
                              </m:r>
                            </m:e>
                          </m:d>
                        </m:e>
                      </m:d>
                    </m:e>
                    <m:sup>
                      <m:r>
                        <w:rPr>
                          <w:rFonts w:ascii="Cambria Math" w:hAnsi="Cambria Math"/>
                          <w:sz w:val="22"/>
                          <w:szCs w:val="22"/>
                        </w:rPr>
                        <m:t>d</m:t>
                      </m:r>
                    </m:sup>
                  </m:sSup>
                  <m:nary>
                    <m:naryPr>
                      <m:chr m:val="∏"/>
                      <m:limLoc m:val="undOvr"/>
                      <m:ctrlPr>
                        <w:rPr>
                          <w:rFonts w:ascii="Cambria Math" w:hAnsi="Cambria Math"/>
                          <w:i/>
                          <w:sz w:val="22"/>
                          <w:szCs w:val="22"/>
                        </w:rPr>
                      </m:ctrlPr>
                    </m:naryPr>
                    <m:sub>
                      <m:r>
                        <w:rPr>
                          <w:rFonts w:ascii="Cambria Math" w:hAnsi="Cambria Math"/>
                          <w:sz w:val="22"/>
                          <w:szCs w:val="22"/>
                        </w:rPr>
                        <m:t>j=1</m:t>
                      </m:r>
                    </m:sub>
                    <m:sup>
                      <m:r>
                        <w:rPr>
                          <w:rFonts w:ascii="Cambria Math" w:hAnsi="Cambria Math"/>
                          <w:sz w:val="22"/>
                          <w:szCs w:val="22"/>
                        </w:rPr>
                        <m:t>J</m:t>
                      </m:r>
                    </m:sup>
                    <m:e>
                      <m:sSup>
                        <m:sSupPr>
                          <m:ctrlPr>
                            <w:rPr>
                              <w:rFonts w:ascii="Cambria Math" w:hAnsi="Cambria Math"/>
                              <w:sz w:val="22"/>
                              <w:szCs w:val="22"/>
                            </w:rPr>
                          </m:ctrlPr>
                        </m:sSupPr>
                        <m:e>
                          <m:r>
                            <m:rPr>
                              <m:sty m:val="p"/>
                            </m:rPr>
                            <w:rPr>
                              <w:rFonts w:ascii="Cambria Math" w:hAnsi="Cambria Math"/>
                              <w:sz w:val="22"/>
                              <w:szCs w:val="22"/>
                            </w:rPr>
                            <m:t xml:space="preserve"> </m:t>
                          </m:r>
                          <m:d>
                            <m:dPr>
                              <m:ctrlPr>
                                <w:rPr>
                                  <w:rFonts w:ascii="Cambria Math" w:hAnsi="Cambria Math"/>
                                  <w:sz w:val="22"/>
                                  <w:szCs w:val="22"/>
                                </w:rPr>
                              </m:ctrlPr>
                            </m:dPr>
                            <m:e>
                              <m:r>
                                <m:rPr>
                                  <m:sty m:val="p"/>
                                </m:rPr>
                                <w:rPr>
                                  <w:rFonts w:ascii="Cambria Math" w:hAnsi="Cambria Math"/>
                                  <w:sz w:val="22"/>
                                  <w:szCs w:val="22"/>
                                </w:rPr>
                                <m:t>∅</m:t>
                              </m:r>
                              <m:d>
                                <m:dPr>
                                  <m:ctrlPr>
                                    <w:rPr>
                                      <w:rFonts w:ascii="Cambria Math" w:hAnsi="Cambria Math"/>
                                      <w:sz w:val="22"/>
                                      <w:szCs w:val="22"/>
                                    </w:rPr>
                                  </m:ctrlPr>
                                </m:dPr>
                                <m:e>
                                  <m:sSubSup>
                                    <m:sSubSupPr>
                                      <m:ctrlPr>
                                        <w:rPr>
                                          <w:rFonts w:ascii="Cambria Math" w:hAnsi="Cambria Math"/>
                                          <w:sz w:val="22"/>
                                          <w:szCs w:val="22"/>
                                        </w:rPr>
                                      </m:ctrlPr>
                                    </m:sSubSupPr>
                                    <m:e>
                                      <m:r>
                                        <w:rPr>
                                          <w:rFonts w:ascii="Cambria Math" w:hAnsi="Cambria Math"/>
                                          <w:sz w:val="22"/>
                                          <w:szCs w:val="22"/>
                                        </w:rPr>
                                        <m:t>z</m:t>
                                      </m:r>
                                    </m:e>
                                    <m:sub>
                                      <m:r>
                                        <w:rPr>
                                          <w:rFonts w:ascii="Cambria Math" w:hAnsi="Cambria Math"/>
                                          <w:sz w:val="22"/>
                                          <w:szCs w:val="22"/>
                                        </w:rPr>
                                        <m:t>i</m:t>
                                      </m:r>
                                    </m:sub>
                                    <m:sup>
                                      <m:r>
                                        <m:rPr>
                                          <m:sty m:val="p"/>
                                        </m:rPr>
                                        <w:rPr>
                                          <w:rFonts w:ascii="Cambria Math" w:hAnsi="Cambria Math"/>
                                          <w:sz w:val="22"/>
                                          <w:szCs w:val="22"/>
                                        </w:rPr>
                                        <m:t>'</m:t>
                                      </m:r>
                                    </m:sup>
                                  </m:sSubSup>
                                  <m:r>
                                    <w:rPr>
                                      <w:rFonts w:ascii="Cambria Math" w:hAnsi="Cambria Math"/>
                                      <w:sz w:val="22"/>
                                      <w:szCs w:val="22"/>
                                    </w:rPr>
                                    <m:t>γ</m:t>
                                  </m:r>
                                </m:e>
                              </m:d>
                              <m:r>
                                <m:rPr>
                                  <m:sty m:val="p"/>
                                </m:rPr>
                                <w:rPr>
                                  <w:rFonts w:ascii="Cambria Math" w:hAnsi="Cambria Math"/>
                                  <w:sz w:val="22"/>
                                  <w:szCs w:val="22"/>
                                </w:rPr>
                                <m:t xml:space="preserve"> </m:t>
                              </m:r>
                            </m:e>
                          </m:d>
                        </m:e>
                        <m:sup>
                          <m:sSub>
                            <m:sSubPr>
                              <m:ctrlPr>
                                <w:rPr>
                                  <w:rFonts w:ascii="Cambria Math" w:hAnsi="Cambria Math"/>
                                  <w:sz w:val="22"/>
                                  <w:szCs w:val="22"/>
                                </w:rPr>
                              </m:ctrlPr>
                            </m:sSubPr>
                            <m:e>
                              <m:r>
                                <w:rPr>
                                  <w:rFonts w:ascii="Cambria Math" w:hAnsi="Cambria Math"/>
                                  <w:sz w:val="22"/>
                                  <w:szCs w:val="22"/>
                                </w:rPr>
                                <m:t>y</m:t>
                              </m:r>
                            </m:e>
                            <m:sub>
                              <m:r>
                                <w:rPr>
                                  <w:rFonts w:ascii="Cambria Math" w:hAnsi="Cambria Math"/>
                                  <w:sz w:val="22"/>
                                  <w:szCs w:val="22"/>
                                </w:rPr>
                                <m:t>ij</m:t>
                              </m:r>
                            </m:sub>
                          </m:sSub>
                        </m:sup>
                      </m:sSup>
                      <m:sSup>
                        <m:sSupPr>
                          <m:ctrlPr>
                            <w:rPr>
                              <w:rFonts w:ascii="Cambria Math" w:hAnsi="Cambria Math"/>
                              <w:sz w:val="22"/>
                              <w:szCs w:val="22"/>
                            </w:rPr>
                          </m:ctrlPr>
                        </m:sSupPr>
                        <m:e>
                          <m:d>
                            <m:dPr>
                              <m:ctrlPr>
                                <w:rPr>
                                  <w:rFonts w:ascii="Cambria Math" w:hAnsi="Cambria Math"/>
                                  <w:sz w:val="22"/>
                                  <w:szCs w:val="22"/>
                                </w:rPr>
                              </m:ctrlPr>
                            </m:dPr>
                            <m:e>
                              <m:r>
                                <m:rPr>
                                  <m:sty m:val="p"/>
                                </m:rPr>
                                <w:rPr>
                                  <w:rFonts w:ascii="Cambria Math" w:hAnsi="Cambria Math"/>
                                  <w:sz w:val="22"/>
                                  <w:szCs w:val="22"/>
                                </w:rPr>
                                <m:t>1-∅</m:t>
                              </m:r>
                              <m:d>
                                <m:dPr>
                                  <m:ctrlPr>
                                    <w:rPr>
                                      <w:rFonts w:ascii="Cambria Math" w:hAnsi="Cambria Math"/>
                                      <w:sz w:val="22"/>
                                      <w:szCs w:val="22"/>
                                    </w:rPr>
                                  </m:ctrlPr>
                                </m:dPr>
                                <m:e>
                                  <m:sSubSup>
                                    <m:sSubSupPr>
                                      <m:ctrlPr>
                                        <w:rPr>
                                          <w:rFonts w:ascii="Cambria Math" w:hAnsi="Cambria Math"/>
                                          <w:sz w:val="22"/>
                                          <w:szCs w:val="22"/>
                                        </w:rPr>
                                      </m:ctrlPr>
                                    </m:sSubSupPr>
                                    <m:e>
                                      <m:r>
                                        <w:rPr>
                                          <w:rFonts w:ascii="Cambria Math" w:hAnsi="Cambria Math"/>
                                          <w:sz w:val="22"/>
                                          <w:szCs w:val="22"/>
                                        </w:rPr>
                                        <m:t>z</m:t>
                                      </m:r>
                                    </m:e>
                                    <m:sub>
                                      <m:r>
                                        <w:rPr>
                                          <w:rFonts w:ascii="Cambria Math" w:hAnsi="Cambria Math"/>
                                          <w:sz w:val="22"/>
                                          <w:szCs w:val="22"/>
                                        </w:rPr>
                                        <m:t>i</m:t>
                                      </m:r>
                                    </m:sub>
                                    <m:sup>
                                      <m:r>
                                        <m:rPr>
                                          <m:sty m:val="p"/>
                                        </m:rPr>
                                        <w:rPr>
                                          <w:rFonts w:ascii="Cambria Math" w:hAnsi="Cambria Math"/>
                                          <w:sz w:val="22"/>
                                          <w:szCs w:val="22"/>
                                        </w:rPr>
                                        <m:t>'</m:t>
                                      </m:r>
                                    </m:sup>
                                  </m:sSubSup>
                                  <m:r>
                                    <w:rPr>
                                      <w:rFonts w:ascii="Cambria Math" w:hAnsi="Cambria Math"/>
                                      <w:sz w:val="22"/>
                                      <w:szCs w:val="22"/>
                                    </w:rPr>
                                    <m:t>γ</m:t>
                                  </m:r>
                                </m:e>
                              </m:d>
                              <m:r>
                                <m:rPr>
                                  <m:sty m:val="p"/>
                                </m:rPr>
                                <w:rPr>
                                  <w:rFonts w:ascii="Cambria Math" w:hAnsi="Cambria Math"/>
                                  <w:sz w:val="22"/>
                                  <w:szCs w:val="22"/>
                                </w:rPr>
                                <m:t xml:space="preserve"> </m:t>
                              </m:r>
                            </m:e>
                          </m:d>
                        </m:e>
                        <m:sup>
                          <m:d>
                            <m:dPr>
                              <m:ctrlPr>
                                <w:rPr>
                                  <w:rFonts w:ascii="Cambria Math" w:hAnsi="Cambria Math"/>
                                  <w:sz w:val="22"/>
                                  <w:szCs w:val="22"/>
                                </w:rPr>
                              </m:ctrlPr>
                            </m:dPr>
                            <m:e>
                              <m:r>
                                <m:rPr>
                                  <m:sty m:val="p"/>
                                </m:rPr>
                                <w:rPr>
                                  <w:rFonts w:ascii="Cambria Math" w:hAnsi="Cambria Math"/>
                                  <w:sz w:val="22"/>
                                  <w:szCs w:val="22"/>
                                </w:rPr>
                                <m:t>1-</m:t>
                              </m:r>
                              <m:sSub>
                                <m:sSubPr>
                                  <m:ctrlPr>
                                    <w:rPr>
                                      <w:rFonts w:ascii="Cambria Math" w:hAnsi="Cambria Math"/>
                                      <w:sz w:val="22"/>
                                      <w:szCs w:val="22"/>
                                    </w:rPr>
                                  </m:ctrlPr>
                                </m:sSubPr>
                                <m:e>
                                  <m:r>
                                    <w:rPr>
                                      <w:rFonts w:ascii="Cambria Math" w:hAnsi="Cambria Math"/>
                                      <w:sz w:val="22"/>
                                      <w:szCs w:val="22"/>
                                    </w:rPr>
                                    <m:t>y</m:t>
                                  </m:r>
                                </m:e>
                                <m:sub>
                                  <m:r>
                                    <w:rPr>
                                      <w:rFonts w:ascii="Cambria Math" w:hAnsi="Cambria Math"/>
                                      <w:sz w:val="22"/>
                                      <w:szCs w:val="22"/>
                                    </w:rPr>
                                    <m:t>ij</m:t>
                                  </m:r>
                                </m:sub>
                              </m:sSub>
                            </m:e>
                          </m:d>
                        </m:sup>
                      </m:sSup>
                    </m:e>
                  </m:nary>
                  <m:r>
                    <w:rPr>
                      <w:rFonts w:ascii="Cambria Math" w:hAnsi="Cambria Math"/>
                      <w:sz w:val="22"/>
                      <w:szCs w:val="22"/>
                    </w:rPr>
                    <m:t xml:space="preserve">                                                  +</m:t>
                  </m:r>
                  <m:r>
                    <m:rPr>
                      <m:sty m:val="p"/>
                    </m:rPr>
                    <w:rPr>
                      <w:rFonts w:ascii="Cambria Math" w:hAnsi="Cambria Math"/>
                      <w:sz w:val="22"/>
                      <w:szCs w:val="22"/>
                    </w:rPr>
                    <m:t xml:space="preserve"> </m:t>
                  </m:r>
                  <m:sSup>
                    <m:sSupPr>
                      <m:ctrlPr>
                        <w:rPr>
                          <w:rFonts w:ascii="Cambria Math" w:hAnsi="Cambria Math"/>
                          <w:sz w:val="22"/>
                          <w:szCs w:val="22"/>
                        </w:rPr>
                      </m:ctrlPr>
                    </m:sSupPr>
                    <m:e>
                      <m:d>
                        <m:dPr>
                          <m:ctrlPr>
                            <w:rPr>
                              <w:rFonts w:ascii="Cambria Math" w:hAnsi="Cambria Math"/>
                              <w:sz w:val="22"/>
                              <w:szCs w:val="22"/>
                            </w:rPr>
                          </m:ctrlPr>
                        </m:dPr>
                        <m:e>
                          <m:r>
                            <m:rPr>
                              <m:sty m:val="p"/>
                            </m:rPr>
                            <w:rPr>
                              <w:rFonts w:ascii="Cambria Math" w:hAnsi="Cambria Math"/>
                              <w:sz w:val="22"/>
                              <w:szCs w:val="22"/>
                            </w:rPr>
                            <m:t>1-∅</m:t>
                          </m:r>
                          <m:d>
                            <m:dPr>
                              <m:ctrlPr>
                                <w:rPr>
                                  <w:rFonts w:ascii="Cambria Math" w:hAnsi="Cambria Math"/>
                                  <w:sz w:val="22"/>
                                  <w:szCs w:val="22"/>
                                </w:rPr>
                              </m:ctrlPr>
                            </m:dPr>
                            <m:e>
                              <m:sSubSup>
                                <m:sSubSupPr>
                                  <m:ctrlPr>
                                    <w:rPr>
                                      <w:rFonts w:ascii="Cambria Math" w:hAnsi="Cambria Math"/>
                                      <w:sz w:val="22"/>
                                      <w:szCs w:val="22"/>
                                    </w:rPr>
                                  </m:ctrlPr>
                                </m:sSubSupPr>
                                <m:e>
                                  <m:r>
                                    <w:rPr>
                                      <w:rFonts w:ascii="Cambria Math" w:hAnsi="Cambria Math"/>
                                      <w:sz w:val="22"/>
                                      <w:szCs w:val="22"/>
                                    </w:rPr>
                                    <m:t>x</m:t>
                                  </m:r>
                                </m:e>
                                <m:sub>
                                  <m:r>
                                    <w:rPr>
                                      <w:rFonts w:ascii="Cambria Math" w:hAnsi="Cambria Math"/>
                                      <w:sz w:val="22"/>
                                      <w:szCs w:val="22"/>
                                    </w:rPr>
                                    <m:t>i</m:t>
                                  </m:r>
                                </m:sub>
                                <m:sup>
                                  <m:r>
                                    <m:rPr>
                                      <m:sty m:val="p"/>
                                    </m:rPr>
                                    <w:rPr>
                                      <w:rFonts w:ascii="Cambria Math" w:hAnsi="Cambria Math"/>
                                      <w:sz w:val="22"/>
                                      <w:szCs w:val="22"/>
                                    </w:rPr>
                                    <m:t>'</m:t>
                                  </m:r>
                                </m:sup>
                              </m:sSubSup>
                              <m:r>
                                <w:rPr>
                                  <w:rFonts w:ascii="Cambria Math" w:hAnsi="Cambria Math"/>
                                  <w:sz w:val="22"/>
                                  <w:szCs w:val="22"/>
                                </w:rPr>
                                <m:t>δ</m:t>
                              </m:r>
                            </m:e>
                          </m:d>
                        </m:e>
                      </m:d>
                    </m:e>
                    <m:sup>
                      <m:r>
                        <m:rPr>
                          <m:sty m:val="p"/>
                        </m:rPr>
                        <w:rPr>
                          <w:rFonts w:ascii="Cambria Math" w:hAnsi="Cambria Math"/>
                          <w:sz w:val="22"/>
                          <w:szCs w:val="22"/>
                        </w:rPr>
                        <m:t>1-</m:t>
                      </m:r>
                      <m:r>
                        <w:rPr>
                          <w:rFonts w:ascii="Cambria Math" w:hAnsi="Cambria Math"/>
                          <w:sz w:val="22"/>
                          <w:szCs w:val="22"/>
                        </w:rPr>
                        <m:t>d</m:t>
                      </m:r>
                    </m:sup>
                  </m:sSup>
                  <m:nary>
                    <m:naryPr>
                      <m:chr m:val="∏"/>
                      <m:limLoc m:val="undOvr"/>
                      <m:ctrlPr>
                        <w:rPr>
                          <w:rFonts w:ascii="Cambria Math" w:hAnsi="Cambria Math"/>
                          <w:i/>
                          <w:sz w:val="22"/>
                          <w:szCs w:val="22"/>
                        </w:rPr>
                      </m:ctrlPr>
                    </m:naryPr>
                    <m:sub>
                      <m:r>
                        <w:rPr>
                          <w:rFonts w:ascii="Cambria Math" w:hAnsi="Cambria Math"/>
                          <w:sz w:val="22"/>
                          <w:szCs w:val="22"/>
                        </w:rPr>
                        <m:t>j=1</m:t>
                      </m:r>
                    </m:sub>
                    <m:sup>
                      <m:r>
                        <w:rPr>
                          <w:rFonts w:ascii="Cambria Math" w:hAnsi="Cambria Math"/>
                          <w:sz w:val="22"/>
                          <w:szCs w:val="22"/>
                        </w:rPr>
                        <m:t>J</m:t>
                      </m:r>
                    </m:sup>
                    <m:e>
                      <m:sSup>
                        <m:sSupPr>
                          <m:ctrlPr>
                            <w:rPr>
                              <w:rFonts w:ascii="Cambria Math" w:hAnsi="Cambria Math"/>
                              <w:sz w:val="22"/>
                              <w:szCs w:val="22"/>
                            </w:rPr>
                          </m:ctrlPr>
                        </m:sSupPr>
                        <m:e>
                          <m:r>
                            <m:rPr>
                              <m:sty m:val="p"/>
                            </m:rPr>
                            <w:rPr>
                              <w:rFonts w:ascii="Cambria Math" w:hAnsi="Cambria Math"/>
                              <w:sz w:val="22"/>
                              <w:szCs w:val="22"/>
                            </w:rPr>
                            <m:t xml:space="preserve"> </m:t>
                          </m:r>
                          <m:d>
                            <m:dPr>
                              <m:ctrlPr>
                                <w:rPr>
                                  <w:rFonts w:ascii="Cambria Math" w:hAnsi="Cambria Math"/>
                                  <w:sz w:val="22"/>
                                  <w:szCs w:val="22"/>
                                </w:rPr>
                              </m:ctrlPr>
                            </m:dPr>
                            <m:e>
                              <m:r>
                                <m:rPr>
                                  <m:sty m:val="p"/>
                                </m:rPr>
                                <w:rPr>
                                  <w:rFonts w:ascii="Cambria Math" w:hAnsi="Cambria Math"/>
                                  <w:sz w:val="22"/>
                                  <w:szCs w:val="22"/>
                                </w:rPr>
                                <m:t>∅</m:t>
                              </m:r>
                              <m:d>
                                <m:dPr>
                                  <m:ctrlPr>
                                    <w:rPr>
                                      <w:rFonts w:ascii="Cambria Math" w:hAnsi="Cambria Math"/>
                                      <w:sz w:val="22"/>
                                      <w:szCs w:val="22"/>
                                    </w:rPr>
                                  </m:ctrlPr>
                                </m:dPr>
                                <m:e>
                                  <m:sSubSup>
                                    <m:sSubSupPr>
                                      <m:ctrlPr>
                                        <w:rPr>
                                          <w:rFonts w:ascii="Cambria Math" w:hAnsi="Cambria Math"/>
                                          <w:sz w:val="22"/>
                                          <w:szCs w:val="22"/>
                                        </w:rPr>
                                      </m:ctrlPr>
                                    </m:sSubSupPr>
                                    <m:e>
                                      <m:r>
                                        <w:rPr>
                                          <w:rFonts w:ascii="Cambria Math" w:hAnsi="Cambria Math"/>
                                          <w:sz w:val="22"/>
                                          <w:szCs w:val="22"/>
                                        </w:rPr>
                                        <m:t>z</m:t>
                                      </m:r>
                                    </m:e>
                                    <m:sub>
                                      <m:r>
                                        <w:rPr>
                                          <w:rFonts w:ascii="Cambria Math" w:hAnsi="Cambria Math"/>
                                          <w:sz w:val="22"/>
                                          <w:szCs w:val="22"/>
                                        </w:rPr>
                                        <m:t>i</m:t>
                                      </m:r>
                                    </m:sub>
                                    <m:sup>
                                      <m:r>
                                        <m:rPr>
                                          <m:sty m:val="p"/>
                                        </m:rPr>
                                        <w:rPr>
                                          <w:rFonts w:ascii="Cambria Math" w:hAnsi="Cambria Math"/>
                                          <w:sz w:val="22"/>
                                          <w:szCs w:val="22"/>
                                        </w:rPr>
                                        <m:t>'</m:t>
                                      </m:r>
                                    </m:sup>
                                  </m:sSubSup>
                                  <m:r>
                                    <w:rPr>
                                      <w:rFonts w:ascii="Cambria Math" w:hAnsi="Cambria Math"/>
                                      <w:sz w:val="22"/>
                                      <w:szCs w:val="22"/>
                                    </w:rPr>
                                    <m:t>θ</m:t>
                                  </m:r>
                                </m:e>
                              </m:d>
                              <m:r>
                                <m:rPr>
                                  <m:sty m:val="p"/>
                                </m:rPr>
                                <w:rPr>
                                  <w:rFonts w:ascii="Cambria Math" w:hAnsi="Cambria Math"/>
                                  <w:sz w:val="22"/>
                                  <w:szCs w:val="22"/>
                                </w:rPr>
                                <m:t xml:space="preserve"> </m:t>
                              </m:r>
                            </m:e>
                          </m:d>
                        </m:e>
                        <m:sup>
                          <m:sSub>
                            <m:sSubPr>
                              <m:ctrlPr>
                                <w:rPr>
                                  <w:rFonts w:ascii="Cambria Math" w:hAnsi="Cambria Math"/>
                                  <w:sz w:val="22"/>
                                  <w:szCs w:val="22"/>
                                </w:rPr>
                              </m:ctrlPr>
                            </m:sSubPr>
                            <m:e>
                              <m:r>
                                <w:rPr>
                                  <w:rFonts w:ascii="Cambria Math" w:hAnsi="Cambria Math"/>
                                  <w:sz w:val="22"/>
                                  <w:szCs w:val="22"/>
                                </w:rPr>
                                <m:t>y</m:t>
                              </m:r>
                            </m:e>
                            <m:sub>
                              <m:r>
                                <w:rPr>
                                  <w:rFonts w:ascii="Cambria Math" w:hAnsi="Cambria Math"/>
                                  <w:sz w:val="22"/>
                                  <w:szCs w:val="22"/>
                                </w:rPr>
                                <m:t>ij</m:t>
                              </m:r>
                            </m:sub>
                          </m:sSub>
                        </m:sup>
                      </m:sSup>
                      <m:sSup>
                        <m:sSupPr>
                          <m:ctrlPr>
                            <w:rPr>
                              <w:rFonts w:ascii="Cambria Math" w:hAnsi="Cambria Math"/>
                              <w:sz w:val="22"/>
                              <w:szCs w:val="22"/>
                            </w:rPr>
                          </m:ctrlPr>
                        </m:sSupPr>
                        <m:e>
                          <m:d>
                            <m:dPr>
                              <m:ctrlPr>
                                <w:rPr>
                                  <w:rFonts w:ascii="Cambria Math" w:hAnsi="Cambria Math"/>
                                  <w:sz w:val="22"/>
                                  <w:szCs w:val="22"/>
                                </w:rPr>
                              </m:ctrlPr>
                            </m:dPr>
                            <m:e>
                              <m:r>
                                <m:rPr>
                                  <m:sty m:val="p"/>
                                </m:rPr>
                                <w:rPr>
                                  <w:rFonts w:ascii="Cambria Math" w:hAnsi="Cambria Math"/>
                                  <w:sz w:val="22"/>
                                  <w:szCs w:val="22"/>
                                </w:rPr>
                                <m:t>1-∅</m:t>
                              </m:r>
                              <m:d>
                                <m:dPr>
                                  <m:ctrlPr>
                                    <w:rPr>
                                      <w:rFonts w:ascii="Cambria Math" w:hAnsi="Cambria Math"/>
                                      <w:sz w:val="22"/>
                                      <w:szCs w:val="22"/>
                                    </w:rPr>
                                  </m:ctrlPr>
                                </m:dPr>
                                <m:e>
                                  <m:sSubSup>
                                    <m:sSubSupPr>
                                      <m:ctrlPr>
                                        <w:rPr>
                                          <w:rFonts w:ascii="Cambria Math" w:hAnsi="Cambria Math"/>
                                          <w:sz w:val="22"/>
                                          <w:szCs w:val="22"/>
                                        </w:rPr>
                                      </m:ctrlPr>
                                    </m:sSubSupPr>
                                    <m:e>
                                      <m:r>
                                        <w:rPr>
                                          <w:rFonts w:ascii="Cambria Math" w:hAnsi="Cambria Math"/>
                                          <w:sz w:val="22"/>
                                          <w:szCs w:val="22"/>
                                        </w:rPr>
                                        <m:t>z</m:t>
                                      </m:r>
                                    </m:e>
                                    <m:sub>
                                      <m:r>
                                        <w:rPr>
                                          <w:rFonts w:ascii="Cambria Math" w:hAnsi="Cambria Math"/>
                                          <w:sz w:val="22"/>
                                          <w:szCs w:val="22"/>
                                        </w:rPr>
                                        <m:t>i</m:t>
                                      </m:r>
                                    </m:sub>
                                    <m:sup>
                                      <m:r>
                                        <m:rPr>
                                          <m:sty m:val="p"/>
                                        </m:rPr>
                                        <w:rPr>
                                          <w:rFonts w:ascii="Cambria Math" w:hAnsi="Cambria Math"/>
                                          <w:sz w:val="22"/>
                                          <w:szCs w:val="22"/>
                                        </w:rPr>
                                        <m:t>'</m:t>
                                      </m:r>
                                    </m:sup>
                                  </m:sSubSup>
                                  <m:r>
                                    <w:rPr>
                                      <w:rFonts w:ascii="Cambria Math" w:hAnsi="Cambria Math"/>
                                      <w:sz w:val="22"/>
                                      <w:szCs w:val="22"/>
                                    </w:rPr>
                                    <m:t>θ</m:t>
                                  </m:r>
                                </m:e>
                              </m:d>
                              <m:r>
                                <m:rPr>
                                  <m:sty m:val="p"/>
                                </m:rPr>
                                <w:rPr>
                                  <w:rFonts w:ascii="Cambria Math" w:hAnsi="Cambria Math"/>
                                  <w:sz w:val="22"/>
                                  <w:szCs w:val="22"/>
                                </w:rPr>
                                <m:t xml:space="preserve"> </m:t>
                              </m:r>
                            </m:e>
                          </m:d>
                        </m:e>
                        <m:sup>
                          <m:d>
                            <m:dPr>
                              <m:ctrlPr>
                                <w:rPr>
                                  <w:rFonts w:ascii="Cambria Math" w:hAnsi="Cambria Math"/>
                                  <w:sz w:val="22"/>
                                  <w:szCs w:val="22"/>
                                </w:rPr>
                              </m:ctrlPr>
                            </m:dPr>
                            <m:e>
                              <m:r>
                                <m:rPr>
                                  <m:sty m:val="p"/>
                                </m:rPr>
                                <w:rPr>
                                  <w:rFonts w:ascii="Cambria Math" w:hAnsi="Cambria Math"/>
                                  <w:sz w:val="22"/>
                                  <w:szCs w:val="22"/>
                                </w:rPr>
                                <m:t>1-</m:t>
                              </m:r>
                              <m:sSub>
                                <m:sSubPr>
                                  <m:ctrlPr>
                                    <w:rPr>
                                      <w:rFonts w:ascii="Cambria Math" w:hAnsi="Cambria Math"/>
                                      <w:sz w:val="22"/>
                                      <w:szCs w:val="22"/>
                                    </w:rPr>
                                  </m:ctrlPr>
                                </m:sSubPr>
                                <m:e>
                                  <m:r>
                                    <w:rPr>
                                      <w:rFonts w:ascii="Cambria Math" w:hAnsi="Cambria Math"/>
                                      <w:sz w:val="22"/>
                                      <w:szCs w:val="22"/>
                                    </w:rPr>
                                    <m:t>y</m:t>
                                  </m:r>
                                </m:e>
                                <m:sub>
                                  <m:r>
                                    <w:rPr>
                                      <w:rFonts w:ascii="Cambria Math" w:hAnsi="Cambria Math"/>
                                      <w:sz w:val="22"/>
                                      <w:szCs w:val="22"/>
                                    </w:rPr>
                                    <m:t>ij</m:t>
                                  </m:r>
                                </m:sub>
                              </m:sSub>
                            </m:e>
                          </m:d>
                        </m:sup>
                      </m:sSup>
                    </m:e>
                  </m:nary>
                </m:e>
              </m:d>
            </m:e>
          </m:nary>
          <m:r>
            <m:rPr>
              <m:sty m:val="p"/>
            </m:rPr>
            <w:rPr>
              <w:rFonts w:ascii="Cambria Math" w:hAnsi="Cambria Math"/>
              <w:sz w:val="22"/>
              <w:szCs w:val="22"/>
            </w:rPr>
            <m:t xml:space="preserve">                           Eq. (A.1)</m:t>
          </m:r>
        </m:oMath>
      </m:oMathPara>
    </w:p>
    <w:p w:rsidR="00E21249" w:rsidRDefault="00E21249" w:rsidP="00E21249">
      <w:pPr>
        <w:spacing w:line="240" w:lineRule="auto"/>
        <w:rPr>
          <w:sz w:val="22"/>
          <w:szCs w:val="22"/>
        </w:rPr>
      </w:pPr>
      <w:r w:rsidRPr="00E773FD">
        <w:rPr>
          <w:sz w:val="22"/>
          <w:szCs w:val="22"/>
        </w:rPr>
        <w:t>Independent Gaussian distributions</w:t>
      </w:r>
      <m:oMath>
        <m:r>
          <m:rPr>
            <m:sty m:val="p"/>
          </m:rPr>
          <w:rPr>
            <w:rFonts w:ascii="Cambria Math" w:hAnsi="Cambria Math"/>
            <w:sz w:val="22"/>
            <w:szCs w:val="22"/>
          </w:rPr>
          <m:t xml:space="preserve"> </m:t>
        </m:r>
        <m:r>
          <w:rPr>
            <w:rFonts w:ascii="Cambria Math" w:hAnsi="Cambria Math"/>
            <w:sz w:val="22"/>
            <w:szCs w:val="22"/>
          </w:rPr>
          <m:t>N</m:t>
        </m:r>
        <m:d>
          <m:dPr>
            <m:ctrlPr>
              <w:rPr>
                <w:rFonts w:ascii="Cambria Math" w:hAnsi="Cambria Math"/>
                <w:sz w:val="22"/>
                <w:szCs w:val="22"/>
              </w:rPr>
            </m:ctrlPr>
          </m:dPr>
          <m:e>
            <m:r>
              <w:rPr>
                <w:rFonts w:ascii="Cambria Math" w:hAnsi="Cambria Math"/>
                <w:sz w:val="22"/>
                <w:szCs w:val="22"/>
              </w:rPr>
              <m:t>μ</m:t>
            </m:r>
            <m:r>
              <m:rPr>
                <m:sty m:val="p"/>
              </m:rPr>
              <w:rPr>
                <w:rFonts w:ascii="Cambria Math" w:hAnsi="Cambria Math"/>
                <w:sz w:val="22"/>
                <w:szCs w:val="22"/>
              </w:rPr>
              <m:t xml:space="preserve">, </m:t>
            </m:r>
            <m:sSup>
              <m:sSupPr>
                <m:ctrlPr>
                  <w:rPr>
                    <w:rFonts w:ascii="Cambria Math" w:hAnsi="Cambria Math"/>
                    <w:sz w:val="22"/>
                    <w:szCs w:val="22"/>
                  </w:rPr>
                </m:ctrlPr>
              </m:sSupPr>
              <m:e>
                <m:r>
                  <w:rPr>
                    <w:rFonts w:ascii="Cambria Math" w:hAnsi="Cambria Math"/>
                    <w:sz w:val="22"/>
                    <w:szCs w:val="22"/>
                  </w:rPr>
                  <m:t>σ</m:t>
                </m:r>
              </m:e>
              <m:sup>
                <m:r>
                  <m:rPr>
                    <m:sty m:val="p"/>
                  </m:rPr>
                  <w:rPr>
                    <w:rFonts w:ascii="Cambria Math" w:hAnsi="Cambria Math"/>
                    <w:sz w:val="22"/>
                    <w:szCs w:val="22"/>
                  </w:rPr>
                  <m:t>2</m:t>
                </m:r>
              </m:sup>
            </m:sSup>
          </m:e>
        </m:d>
      </m:oMath>
      <w:r w:rsidRPr="00E773FD">
        <w:rPr>
          <w:sz w:val="22"/>
          <w:szCs w:val="22"/>
        </w:rPr>
        <w:t xml:space="preserve"> with unknown variance </w:t>
      </w:r>
      <m:oMath>
        <m:sSup>
          <m:sSupPr>
            <m:ctrlPr>
              <w:rPr>
                <w:rFonts w:ascii="Cambria Math" w:hAnsi="Cambria Math"/>
                <w:sz w:val="22"/>
                <w:szCs w:val="22"/>
              </w:rPr>
            </m:ctrlPr>
          </m:sSupPr>
          <m:e>
            <m:r>
              <w:rPr>
                <w:rFonts w:ascii="Cambria Math" w:hAnsi="Cambria Math"/>
                <w:sz w:val="22"/>
                <w:szCs w:val="22"/>
              </w:rPr>
              <m:t>σ</m:t>
            </m:r>
          </m:e>
          <m:sup>
            <m:r>
              <m:rPr>
                <m:sty m:val="p"/>
              </m:rPr>
              <w:rPr>
                <w:rFonts w:ascii="Cambria Math" w:hAnsi="Cambria Math"/>
                <w:sz w:val="22"/>
                <w:szCs w:val="22"/>
              </w:rPr>
              <m:t>2</m:t>
            </m:r>
          </m:sup>
        </m:sSup>
        <m:r>
          <m:rPr>
            <m:sty m:val="p"/>
          </m:rPr>
          <w:rPr>
            <w:rFonts w:ascii="Cambria Math" w:hAnsi="Cambria Math"/>
            <w:sz w:val="22"/>
            <w:szCs w:val="22"/>
          </w:rPr>
          <m:t>~</m:t>
        </m:r>
        <m:r>
          <w:rPr>
            <w:rFonts w:ascii="Cambria Math" w:hAnsi="Cambria Math"/>
            <w:sz w:val="22"/>
            <w:szCs w:val="22"/>
          </w:rPr>
          <m:t>InvGamma</m:t>
        </m:r>
        <m:d>
          <m:dPr>
            <m:ctrlPr>
              <w:rPr>
                <w:rFonts w:ascii="Cambria Math" w:hAnsi="Cambria Math"/>
                <w:sz w:val="22"/>
                <w:szCs w:val="22"/>
              </w:rPr>
            </m:ctrlPr>
          </m:dPr>
          <m:e>
            <m:r>
              <w:rPr>
                <w:rFonts w:ascii="Cambria Math" w:hAnsi="Cambria Math"/>
                <w:sz w:val="22"/>
                <w:szCs w:val="22"/>
              </w:rPr>
              <m:t>shape</m:t>
            </m:r>
            <m:r>
              <m:rPr>
                <m:sty m:val="p"/>
              </m:rPr>
              <w:rPr>
                <w:rFonts w:ascii="Cambria Math" w:hAnsi="Cambria Math"/>
                <w:sz w:val="22"/>
                <w:szCs w:val="22"/>
              </w:rPr>
              <m:t>=</m:t>
            </m:r>
            <m:r>
              <w:rPr>
                <w:rFonts w:ascii="Cambria Math" w:hAnsi="Cambria Math"/>
                <w:sz w:val="22"/>
                <w:szCs w:val="22"/>
              </w:rPr>
              <m:t>α</m:t>
            </m:r>
            <m:r>
              <m:rPr>
                <m:sty m:val="p"/>
              </m:rPr>
              <w:rPr>
                <w:rFonts w:ascii="Cambria Math" w:hAnsi="Cambria Math"/>
                <w:sz w:val="22"/>
                <w:szCs w:val="22"/>
              </w:rPr>
              <m:t>,</m:t>
            </m:r>
            <m:r>
              <w:rPr>
                <w:rFonts w:ascii="Cambria Math" w:hAnsi="Cambria Math"/>
                <w:sz w:val="22"/>
                <w:szCs w:val="22"/>
              </w:rPr>
              <m:t>scale</m:t>
            </m:r>
            <m:r>
              <m:rPr>
                <m:sty m:val="p"/>
              </m:rPr>
              <w:rPr>
                <w:rFonts w:ascii="Cambria Math" w:hAnsi="Cambria Math"/>
                <w:sz w:val="22"/>
                <w:szCs w:val="22"/>
              </w:rPr>
              <m:t>=</m:t>
            </m:r>
            <m:r>
              <w:rPr>
                <w:rFonts w:ascii="Cambria Math" w:hAnsi="Cambria Math"/>
                <w:sz w:val="22"/>
                <w:szCs w:val="22"/>
              </w:rPr>
              <m:t>β</m:t>
            </m:r>
          </m:e>
        </m:d>
      </m:oMath>
      <w:r w:rsidRPr="00E773FD">
        <w:rPr>
          <w:sz w:val="22"/>
          <w:szCs w:val="22"/>
        </w:rPr>
        <w:t xml:space="preserve"> were used as prior distributions to model the uncertainty in sensitivity and specificity as well as the PTB prevalence.</w:t>
      </w:r>
      <w:r>
        <w:rPr>
          <w:sz w:val="22"/>
          <w:szCs w:val="22"/>
        </w:rPr>
        <w:t xml:space="preserve"> </w:t>
      </w:r>
      <w:r>
        <w:rPr>
          <w:color w:val="auto"/>
          <w:sz w:val="22"/>
          <w:szCs w:val="22"/>
        </w:rPr>
        <w:t>The</w:t>
      </w:r>
      <w:r w:rsidRPr="00610369">
        <w:rPr>
          <w:color w:val="auto"/>
          <w:sz w:val="22"/>
          <w:szCs w:val="22"/>
        </w:rPr>
        <w:t xml:space="preserve"> number of parameters to be estimated for LCA with </w:t>
      </w:r>
      <w:r>
        <w:rPr>
          <w:color w:val="auto"/>
          <w:sz w:val="22"/>
          <w:szCs w:val="22"/>
        </w:rPr>
        <w:t xml:space="preserve">five diagnostic tests are less than the number estimable. Thus, the data could support estimation. However, with </w:t>
      </w:r>
      <w:r w:rsidRPr="00610369">
        <w:rPr>
          <w:color w:val="auto"/>
          <w:sz w:val="22"/>
          <w:szCs w:val="22"/>
        </w:rPr>
        <w:t xml:space="preserve">three diagnostic tests </w:t>
      </w:r>
      <w:r>
        <w:rPr>
          <w:color w:val="auto"/>
          <w:sz w:val="22"/>
          <w:szCs w:val="22"/>
        </w:rPr>
        <w:t>the number of parameters to be estimated are</w:t>
      </w:r>
      <w:r w:rsidRPr="00610369">
        <w:rPr>
          <w:color w:val="auto"/>
          <w:sz w:val="22"/>
          <w:szCs w:val="22"/>
        </w:rPr>
        <w:t xml:space="preserve"> more than the number estimable hence </w:t>
      </w:r>
      <w:r>
        <w:rPr>
          <w:color w:val="auto"/>
          <w:sz w:val="22"/>
          <w:szCs w:val="22"/>
        </w:rPr>
        <w:t xml:space="preserve">the </w:t>
      </w:r>
      <w:r w:rsidRPr="00610369">
        <w:rPr>
          <w:color w:val="auto"/>
          <w:sz w:val="22"/>
          <w:szCs w:val="22"/>
        </w:rPr>
        <w:t xml:space="preserve">data cannot support estimation, a </w:t>
      </w:r>
      <w:r w:rsidRPr="00770F5E">
        <w:rPr>
          <w:sz w:val="22"/>
          <w:szCs w:val="22"/>
        </w:rPr>
        <w:t>statistical problem referred to as non-identifiability. Therefore, evaluation of three diagnostic tests relied on specification of informative prior distributions for some parameters. For the sensitivity and specificity, the prior distributions have means of 1 while for prevalence they have prior means of -1. The difference in sensitivity and specificity and the difference in prevalence between the HIV- and HIV+ subpopulations were assigned priors from normal distributions with mean zero and unknown variance (</w:t>
      </w:r>
      <m:oMath>
        <m:sSup>
          <m:sSupPr>
            <m:ctrlPr>
              <w:rPr>
                <w:rFonts w:ascii="Cambria Math" w:hAnsi="Cambria Math"/>
                <w:sz w:val="22"/>
                <w:szCs w:val="22"/>
              </w:rPr>
            </m:ctrlPr>
          </m:sSupPr>
          <m:e>
            <m:r>
              <w:rPr>
                <w:rFonts w:ascii="Cambria Math" w:hAnsi="Cambria Math"/>
                <w:sz w:val="22"/>
                <w:szCs w:val="22"/>
              </w:rPr>
              <m:t>σ</m:t>
            </m:r>
          </m:e>
          <m:sup>
            <m:r>
              <m:rPr>
                <m:sty m:val="p"/>
              </m:rPr>
              <w:rPr>
                <w:rFonts w:ascii="Cambria Math" w:hAnsi="Cambria Math"/>
                <w:sz w:val="22"/>
                <w:szCs w:val="22"/>
              </w:rPr>
              <m:t>2</m:t>
            </m:r>
          </m:sup>
        </m:sSup>
        <m:r>
          <m:rPr>
            <m:sty m:val="p"/>
          </m:rPr>
          <w:rPr>
            <w:rFonts w:ascii="Cambria Math" w:hAnsi="Cambria Math"/>
            <w:sz w:val="22"/>
            <w:szCs w:val="22"/>
          </w:rPr>
          <m:t>)</m:t>
        </m:r>
      </m:oMath>
      <w:r w:rsidRPr="00770F5E">
        <w:rPr>
          <w:sz w:val="22"/>
          <w:szCs w:val="22"/>
        </w:rPr>
        <w:t xml:space="preserve">. For five diagnostic tests </w:t>
      </w:r>
      <w:r w:rsidRPr="00E773FD">
        <w:rPr>
          <w:sz w:val="22"/>
          <w:szCs w:val="22"/>
        </w:rPr>
        <w:t xml:space="preserve"> </w:t>
      </w:r>
      <m:oMath>
        <m:sSup>
          <m:sSupPr>
            <m:ctrlPr>
              <w:rPr>
                <w:rFonts w:ascii="Cambria Math" w:hAnsi="Cambria Math"/>
                <w:sz w:val="22"/>
                <w:szCs w:val="22"/>
              </w:rPr>
            </m:ctrlPr>
          </m:sSupPr>
          <m:e>
            <m:r>
              <w:rPr>
                <w:rFonts w:ascii="Cambria Math" w:hAnsi="Cambria Math"/>
                <w:sz w:val="22"/>
                <w:szCs w:val="22"/>
              </w:rPr>
              <m:t>σ</m:t>
            </m:r>
          </m:e>
          <m:sup>
            <m:r>
              <m:rPr>
                <m:sty m:val="p"/>
              </m:rPr>
              <w:rPr>
                <w:rFonts w:ascii="Cambria Math" w:hAnsi="Cambria Math"/>
                <w:sz w:val="22"/>
                <w:szCs w:val="22"/>
              </w:rPr>
              <m:t>2</m:t>
            </m:r>
          </m:sup>
        </m:sSup>
        <m:r>
          <m:rPr>
            <m:sty m:val="p"/>
          </m:rPr>
          <w:rPr>
            <w:rFonts w:ascii="Cambria Math" w:hAnsi="Cambria Math"/>
            <w:sz w:val="22"/>
            <w:szCs w:val="22"/>
          </w:rPr>
          <m:t>~</m:t>
        </m:r>
        <m:r>
          <w:rPr>
            <w:rFonts w:ascii="Cambria Math" w:hAnsi="Cambria Math"/>
            <w:sz w:val="22"/>
            <w:szCs w:val="22"/>
          </w:rPr>
          <m:t>InvGamma</m:t>
        </m:r>
        <m:d>
          <m:dPr>
            <m:ctrlPr>
              <w:rPr>
                <w:rFonts w:ascii="Cambria Math" w:hAnsi="Cambria Math"/>
                <w:sz w:val="22"/>
                <w:szCs w:val="22"/>
              </w:rPr>
            </m:ctrlPr>
          </m:dPr>
          <m:e>
            <m:sSup>
              <m:sSupPr>
                <m:ctrlPr>
                  <w:rPr>
                    <w:rFonts w:ascii="Cambria Math" w:hAnsi="Cambria Math"/>
                    <w:sz w:val="22"/>
                    <w:szCs w:val="22"/>
                  </w:rPr>
                </m:ctrlPr>
              </m:sSupPr>
              <m:e>
                <m:r>
                  <m:rPr>
                    <m:sty m:val="p"/>
                  </m:rPr>
                  <w:rPr>
                    <w:rFonts w:ascii="Cambria Math" w:hAnsi="Cambria Math"/>
                    <w:sz w:val="22"/>
                    <w:szCs w:val="22"/>
                  </w:rPr>
                  <m:t>10</m:t>
                </m:r>
              </m:e>
              <m:sup>
                <m:r>
                  <m:rPr>
                    <m:sty m:val="p"/>
                  </m:rPr>
                  <w:rPr>
                    <w:rFonts w:ascii="Cambria Math" w:hAnsi="Cambria Math"/>
                    <w:sz w:val="22"/>
                    <w:szCs w:val="22"/>
                  </w:rPr>
                  <m:t>-3</m:t>
                </m:r>
              </m:sup>
            </m:sSup>
            <m:r>
              <m:rPr>
                <m:sty m:val="p"/>
              </m:rPr>
              <w:rPr>
                <w:rFonts w:ascii="Cambria Math" w:hAnsi="Cambria Math"/>
                <w:sz w:val="22"/>
                <w:szCs w:val="22"/>
              </w:rPr>
              <m:t>,</m:t>
            </m:r>
            <m:sSup>
              <m:sSupPr>
                <m:ctrlPr>
                  <w:rPr>
                    <w:rFonts w:ascii="Cambria Math" w:hAnsi="Cambria Math"/>
                    <w:sz w:val="22"/>
                    <w:szCs w:val="22"/>
                  </w:rPr>
                </m:ctrlPr>
              </m:sSupPr>
              <m:e>
                <m:r>
                  <m:rPr>
                    <m:sty m:val="p"/>
                  </m:rPr>
                  <w:rPr>
                    <w:rFonts w:ascii="Cambria Math" w:hAnsi="Cambria Math"/>
                    <w:sz w:val="22"/>
                    <w:szCs w:val="22"/>
                  </w:rPr>
                  <m:t>10</m:t>
                </m:r>
              </m:e>
              <m:sup>
                <m:r>
                  <m:rPr>
                    <m:sty m:val="p"/>
                  </m:rPr>
                  <w:rPr>
                    <w:rFonts w:ascii="Cambria Math" w:hAnsi="Cambria Math"/>
                    <w:sz w:val="22"/>
                    <w:szCs w:val="22"/>
                  </w:rPr>
                  <m:t>-3</m:t>
                </m:r>
              </m:sup>
            </m:sSup>
          </m:e>
        </m:d>
      </m:oMath>
      <w:r w:rsidRPr="00E773FD">
        <w:rPr>
          <w:sz w:val="22"/>
          <w:szCs w:val="22"/>
        </w:rPr>
        <w:t xml:space="preserve"> </w:t>
      </w:r>
      <w:r w:rsidRPr="00770F5E">
        <w:rPr>
          <w:sz w:val="22"/>
          <w:szCs w:val="22"/>
        </w:rPr>
        <w:t xml:space="preserve">while for three diagnostic </w:t>
      </w:r>
      <w:r w:rsidRPr="00770F5E">
        <w:rPr>
          <w:sz w:val="22"/>
          <w:szCs w:val="22"/>
        </w:rPr>
        <w:lastRenderedPageBreak/>
        <w:t>tests</w:t>
      </w:r>
      <m:oMath>
        <m:sSup>
          <m:sSupPr>
            <m:ctrlPr>
              <w:rPr>
                <w:rFonts w:ascii="Cambria Math" w:hAnsi="Cambria Math"/>
                <w:sz w:val="22"/>
                <w:szCs w:val="22"/>
              </w:rPr>
            </m:ctrlPr>
          </m:sSupPr>
          <m:e>
            <m:r>
              <m:rPr>
                <m:sty m:val="p"/>
              </m:rPr>
              <w:rPr>
                <w:rFonts w:ascii="Cambria Math" w:hAnsi="Cambria Math"/>
                <w:sz w:val="22"/>
                <w:szCs w:val="22"/>
              </w:rPr>
              <m:t xml:space="preserve"> </m:t>
            </m:r>
            <m:r>
              <w:rPr>
                <w:rFonts w:ascii="Cambria Math" w:hAnsi="Cambria Math"/>
                <w:sz w:val="22"/>
                <w:szCs w:val="22"/>
              </w:rPr>
              <m:t>σ</m:t>
            </m:r>
          </m:e>
          <m:sup>
            <m:r>
              <m:rPr>
                <m:sty m:val="p"/>
              </m:rPr>
              <w:rPr>
                <w:rFonts w:ascii="Cambria Math" w:hAnsi="Cambria Math"/>
                <w:sz w:val="22"/>
                <w:szCs w:val="22"/>
              </w:rPr>
              <m:t>2</m:t>
            </m:r>
          </m:sup>
        </m:sSup>
        <m:r>
          <m:rPr>
            <m:sty m:val="p"/>
          </m:rPr>
          <w:rPr>
            <w:rFonts w:ascii="Cambria Math" w:hAnsi="Cambria Math"/>
            <w:sz w:val="22"/>
            <w:szCs w:val="22"/>
          </w:rPr>
          <m:t>~</m:t>
        </m:r>
        <m:r>
          <w:rPr>
            <w:rFonts w:ascii="Cambria Math" w:hAnsi="Cambria Math"/>
            <w:sz w:val="22"/>
            <w:szCs w:val="22"/>
          </w:rPr>
          <m:t>InvGamma</m:t>
        </m:r>
        <m:d>
          <m:dPr>
            <m:ctrlPr>
              <w:rPr>
                <w:rFonts w:ascii="Cambria Math" w:hAnsi="Cambria Math"/>
                <w:sz w:val="22"/>
                <w:szCs w:val="22"/>
              </w:rPr>
            </m:ctrlPr>
          </m:dPr>
          <m:e>
            <m:r>
              <m:rPr>
                <m:sty m:val="p"/>
              </m:rPr>
              <w:rPr>
                <w:rFonts w:ascii="Cambria Math" w:hAnsi="Cambria Math"/>
                <w:sz w:val="22"/>
                <w:szCs w:val="22"/>
              </w:rPr>
              <m:t>2,3</m:t>
            </m:r>
          </m:e>
        </m:d>
      </m:oMath>
      <w:r>
        <w:rPr>
          <w:sz w:val="22"/>
          <w:szCs w:val="22"/>
        </w:rPr>
        <w:t xml:space="preserve">. </w:t>
      </w:r>
      <w:r w:rsidRPr="00770F5E">
        <w:rPr>
          <w:sz w:val="22"/>
          <w:szCs w:val="22"/>
        </w:rPr>
        <w:t xml:space="preserve">The variance parameters of the difference in prevalence and the difference in sensitivity and specificity between the HIV- and HIV+ were </w:t>
      </w:r>
      <m:oMath>
        <m:sSup>
          <m:sSupPr>
            <m:ctrlPr>
              <w:rPr>
                <w:rFonts w:ascii="Cambria Math" w:hAnsi="Cambria Math"/>
                <w:sz w:val="22"/>
                <w:szCs w:val="22"/>
              </w:rPr>
            </m:ctrlPr>
          </m:sSupPr>
          <m:e>
            <m:r>
              <w:rPr>
                <w:rFonts w:ascii="Cambria Math" w:hAnsi="Cambria Math"/>
                <w:sz w:val="22"/>
                <w:szCs w:val="22"/>
              </w:rPr>
              <m:t>σ</m:t>
            </m:r>
          </m:e>
          <m:sup>
            <m:r>
              <m:rPr>
                <m:sty m:val="p"/>
              </m:rPr>
              <w:rPr>
                <w:rFonts w:ascii="Cambria Math" w:hAnsi="Cambria Math"/>
                <w:sz w:val="22"/>
                <w:szCs w:val="22"/>
              </w:rPr>
              <m:t>2</m:t>
            </m:r>
          </m:sup>
        </m:sSup>
        <m:r>
          <m:rPr>
            <m:sty m:val="p"/>
          </m:rPr>
          <w:rPr>
            <w:rFonts w:ascii="Cambria Math" w:hAnsi="Cambria Math"/>
            <w:sz w:val="22"/>
            <w:szCs w:val="22"/>
          </w:rPr>
          <m:t>~</m:t>
        </m:r>
        <m:r>
          <w:rPr>
            <w:rFonts w:ascii="Cambria Math" w:hAnsi="Cambria Math"/>
            <w:sz w:val="22"/>
            <w:szCs w:val="22"/>
          </w:rPr>
          <m:t>InvGamma</m:t>
        </m:r>
        <m:d>
          <m:dPr>
            <m:ctrlPr>
              <w:rPr>
                <w:rFonts w:ascii="Cambria Math" w:hAnsi="Cambria Math"/>
                <w:sz w:val="22"/>
                <w:szCs w:val="22"/>
              </w:rPr>
            </m:ctrlPr>
          </m:dPr>
          <m:e>
            <m:sSup>
              <m:sSupPr>
                <m:ctrlPr>
                  <w:rPr>
                    <w:rFonts w:ascii="Cambria Math" w:hAnsi="Cambria Math"/>
                    <w:sz w:val="22"/>
                    <w:szCs w:val="22"/>
                  </w:rPr>
                </m:ctrlPr>
              </m:sSupPr>
              <m:e>
                <m:r>
                  <m:rPr>
                    <m:sty m:val="p"/>
                  </m:rPr>
                  <w:rPr>
                    <w:rFonts w:ascii="Cambria Math" w:hAnsi="Cambria Math"/>
                    <w:sz w:val="22"/>
                    <w:szCs w:val="22"/>
                  </w:rPr>
                  <m:t>10</m:t>
                </m:r>
              </m:e>
              <m:sup>
                <m:r>
                  <m:rPr>
                    <m:sty m:val="p"/>
                  </m:rPr>
                  <w:rPr>
                    <w:rFonts w:ascii="Cambria Math" w:hAnsi="Cambria Math"/>
                    <w:sz w:val="22"/>
                    <w:szCs w:val="22"/>
                  </w:rPr>
                  <m:t>-3</m:t>
                </m:r>
              </m:sup>
            </m:sSup>
            <m:r>
              <m:rPr>
                <m:sty m:val="p"/>
              </m:rPr>
              <w:rPr>
                <w:rFonts w:ascii="Cambria Math" w:hAnsi="Cambria Math"/>
                <w:sz w:val="22"/>
                <w:szCs w:val="22"/>
              </w:rPr>
              <m:t>,</m:t>
            </m:r>
            <m:sSup>
              <m:sSupPr>
                <m:ctrlPr>
                  <w:rPr>
                    <w:rFonts w:ascii="Cambria Math" w:hAnsi="Cambria Math"/>
                    <w:sz w:val="22"/>
                    <w:szCs w:val="22"/>
                  </w:rPr>
                </m:ctrlPr>
              </m:sSupPr>
              <m:e>
                <m:r>
                  <m:rPr>
                    <m:sty m:val="p"/>
                  </m:rPr>
                  <w:rPr>
                    <w:rFonts w:ascii="Cambria Math" w:hAnsi="Cambria Math"/>
                    <w:sz w:val="22"/>
                    <w:szCs w:val="22"/>
                  </w:rPr>
                  <m:t>10</m:t>
                </m:r>
              </m:e>
              <m:sup>
                <m:r>
                  <m:rPr>
                    <m:sty m:val="p"/>
                  </m:rPr>
                  <w:rPr>
                    <w:rFonts w:ascii="Cambria Math" w:hAnsi="Cambria Math"/>
                    <w:sz w:val="22"/>
                    <w:szCs w:val="22"/>
                  </w:rPr>
                  <m:t>-3</m:t>
                </m:r>
              </m:sup>
            </m:sSup>
          </m:e>
        </m:d>
      </m:oMath>
      <w:r w:rsidRPr="00E773FD">
        <w:rPr>
          <w:sz w:val="22"/>
          <w:szCs w:val="22"/>
        </w:rPr>
        <w:t xml:space="preserve"> </w:t>
      </w:r>
      <w:r w:rsidRPr="00770F5E">
        <w:rPr>
          <w:sz w:val="22"/>
          <w:szCs w:val="22"/>
        </w:rPr>
        <w:t xml:space="preserve">for five diagnostic tests and </w:t>
      </w:r>
      <m:oMath>
        <m:sSup>
          <m:sSupPr>
            <m:ctrlPr>
              <w:rPr>
                <w:rFonts w:ascii="Cambria Math" w:hAnsi="Cambria Math"/>
                <w:sz w:val="22"/>
                <w:szCs w:val="22"/>
              </w:rPr>
            </m:ctrlPr>
          </m:sSupPr>
          <m:e>
            <m:r>
              <w:rPr>
                <w:rFonts w:ascii="Cambria Math" w:hAnsi="Cambria Math"/>
                <w:sz w:val="22"/>
                <w:szCs w:val="22"/>
              </w:rPr>
              <m:t>σ</m:t>
            </m:r>
          </m:e>
          <m:sup>
            <m:r>
              <m:rPr>
                <m:sty m:val="p"/>
              </m:rPr>
              <w:rPr>
                <w:rFonts w:ascii="Cambria Math" w:hAnsi="Cambria Math"/>
                <w:sz w:val="22"/>
                <w:szCs w:val="22"/>
              </w:rPr>
              <m:t>2</m:t>
            </m:r>
          </m:sup>
        </m:sSup>
        <m:r>
          <m:rPr>
            <m:sty m:val="p"/>
          </m:rPr>
          <w:rPr>
            <w:rFonts w:ascii="Cambria Math" w:hAnsi="Cambria Math"/>
            <w:sz w:val="22"/>
            <w:szCs w:val="22"/>
          </w:rPr>
          <m:t>~</m:t>
        </m:r>
        <m:r>
          <w:rPr>
            <w:rFonts w:ascii="Cambria Math" w:hAnsi="Cambria Math"/>
            <w:sz w:val="22"/>
            <w:szCs w:val="22"/>
          </w:rPr>
          <m:t>InvGamma</m:t>
        </m:r>
        <m:d>
          <m:dPr>
            <m:ctrlPr>
              <w:rPr>
                <w:rFonts w:ascii="Cambria Math" w:hAnsi="Cambria Math"/>
                <w:sz w:val="22"/>
                <w:szCs w:val="22"/>
              </w:rPr>
            </m:ctrlPr>
          </m:dPr>
          <m:e>
            <m:r>
              <m:rPr>
                <m:sty m:val="p"/>
              </m:rPr>
              <w:rPr>
                <w:rFonts w:ascii="Cambria Math" w:hAnsi="Cambria Math"/>
                <w:sz w:val="22"/>
                <w:szCs w:val="22"/>
              </w:rPr>
              <m:t>3,1</m:t>
            </m:r>
          </m:e>
        </m:d>
      </m:oMath>
      <w:r w:rsidRPr="00E773FD">
        <w:rPr>
          <w:sz w:val="22"/>
          <w:szCs w:val="22"/>
        </w:rPr>
        <w:t xml:space="preserve"> </w:t>
      </w:r>
      <w:r w:rsidRPr="00770F5E">
        <w:rPr>
          <w:sz w:val="22"/>
          <w:szCs w:val="22"/>
        </w:rPr>
        <w:t>for three diagnostic tests. The values of the inverse Gamma distribution were chosen such that the variation in the estimate would span the range of plausible values for the parameter.</w:t>
      </w:r>
      <w:r>
        <w:rPr>
          <w:sz w:val="22"/>
          <w:szCs w:val="22"/>
        </w:rPr>
        <w:t xml:space="preserve"> An illustration for the case of three diagnostic tests is shown in Table A.1. The prior distribution for the combined groups was also used as the prior distribution for the HIV- group.</w:t>
      </w:r>
    </w:p>
    <w:p w:rsidR="00E21249" w:rsidRPr="00017FE6" w:rsidRDefault="00E21249" w:rsidP="00E21249">
      <w:pPr>
        <w:pStyle w:val="Caption"/>
        <w:keepNext/>
        <w:rPr>
          <w:i w:val="0"/>
          <w:iCs w:val="0"/>
          <w:color w:val="000000" w:themeColor="text1"/>
          <w:sz w:val="22"/>
          <w:szCs w:val="22"/>
        </w:rPr>
      </w:pPr>
      <w:r>
        <w:rPr>
          <w:i w:val="0"/>
          <w:iCs w:val="0"/>
          <w:color w:val="000000" w:themeColor="text1"/>
          <w:sz w:val="22"/>
          <w:szCs w:val="22"/>
        </w:rPr>
        <w:t>Table A.2</w:t>
      </w:r>
      <w:r w:rsidRPr="00017FE6">
        <w:rPr>
          <w:i w:val="0"/>
          <w:iCs w:val="0"/>
          <w:color w:val="000000" w:themeColor="text1"/>
          <w:sz w:val="22"/>
          <w:szCs w:val="22"/>
        </w:rPr>
        <w:t>: Prior distributions used in the analysis of three diagnostic tests</w:t>
      </w:r>
    </w:p>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717"/>
        <w:gridCol w:w="1125"/>
        <w:gridCol w:w="1134"/>
        <w:gridCol w:w="850"/>
        <w:gridCol w:w="1578"/>
        <w:gridCol w:w="1544"/>
      </w:tblGrid>
      <w:tr w:rsidR="00E21249" w:rsidRPr="00017FE6" w:rsidTr="00EB5B70">
        <w:trPr>
          <w:trHeight w:val="283"/>
        </w:trPr>
        <w:tc>
          <w:tcPr>
            <w:tcW w:w="1288" w:type="pct"/>
            <w:tcBorders>
              <w:top w:val="single" w:sz="4" w:space="0" w:color="auto"/>
              <w:bottom w:val="single" w:sz="4" w:space="0" w:color="auto"/>
            </w:tcBorders>
          </w:tcPr>
          <w:p w:rsidR="00E21249" w:rsidRPr="00017FE6" w:rsidRDefault="00E21249" w:rsidP="00EB5B70">
            <w:pPr>
              <w:rPr>
                <w:sz w:val="22"/>
                <w:szCs w:val="22"/>
              </w:rPr>
            </w:pPr>
          </w:p>
        </w:tc>
        <w:tc>
          <w:tcPr>
            <w:tcW w:w="1590" w:type="pct"/>
            <w:gridSpan w:val="3"/>
            <w:tcBorders>
              <w:top w:val="single" w:sz="4" w:space="0" w:color="auto"/>
              <w:bottom w:val="single" w:sz="4" w:space="0" w:color="auto"/>
              <w:right w:val="single" w:sz="4" w:space="0" w:color="auto"/>
            </w:tcBorders>
          </w:tcPr>
          <w:p w:rsidR="00E21249" w:rsidRPr="00017FE6" w:rsidRDefault="00E21249" w:rsidP="00EB5B70">
            <w:pPr>
              <w:jc w:val="center"/>
              <w:rPr>
                <w:sz w:val="22"/>
                <w:szCs w:val="22"/>
              </w:rPr>
            </w:pPr>
            <w:proofErr w:type="spellStart"/>
            <w:r w:rsidRPr="00017FE6">
              <w:rPr>
                <w:sz w:val="22"/>
                <w:szCs w:val="22"/>
              </w:rPr>
              <w:t>Probit</w:t>
            </w:r>
            <w:proofErr w:type="spellEnd"/>
            <w:r w:rsidRPr="00017FE6">
              <w:rPr>
                <w:sz w:val="22"/>
                <w:szCs w:val="22"/>
              </w:rPr>
              <w:t xml:space="preserve"> scale</w:t>
            </w:r>
          </w:p>
        </w:tc>
        <w:tc>
          <w:tcPr>
            <w:tcW w:w="2122" w:type="pct"/>
            <w:gridSpan w:val="3"/>
            <w:tcBorders>
              <w:top w:val="single" w:sz="4" w:space="0" w:color="auto"/>
              <w:left w:val="single" w:sz="4" w:space="0" w:color="auto"/>
              <w:bottom w:val="single" w:sz="4" w:space="0" w:color="auto"/>
            </w:tcBorders>
          </w:tcPr>
          <w:p w:rsidR="00E21249" w:rsidRPr="00017FE6" w:rsidRDefault="00E21249" w:rsidP="00EB5B70">
            <w:pPr>
              <w:jc w:val="center"/>
              <w:rPr>
                <w:sz w:val="22"/>
                <w:szCs w:val="22"/>
              </w:rPr>
            </w:pPr>
            <w:r w:rsidRPr="00017FE6">
              <w:rPr>
                <w:sz w:val="22"/>
                <w:szCs w:val="22"/>
              </w:rPr>
              <w:t>Probability</w:t>
            </w:r>
          </w:p>
        </w:tc>
      </w:tr>
      <w:tr w:rsidR="00E21249" w:rsidRPr="00017FE6" w:rsidTr="00EB5B70">
        <w:trPr>
          <w:trHeight w:val="283"/>
        </w:trPr>
        <w:tc>
          <w:tcPr>
            <w:tcW w:w="1288" w:type="pct"/>
            <w:tcBorders>
              <w:top w:val="single" w:sz="4" w:space="0" w:color="auto"/>
              <w:bottom w:val="single" w:sz="4" w:space="0" w:color="auto"/>
            </w:tcBorders>
          </w:tcPr>
          <w:p w:rsidR="00E21249" w:rsidRPr="00017FE6" w:rsidRDefault="00E21249" w:rsidP="00EB5B70">
            <w:pPr>
              <w:rPr>
                <w:sz w:val="22"/>
                <w:szCs w:val="22"/>
              </w:rPr>
            </w:pPr>
          </w:p>
        </w:tc>
        <w:tc>
          <w:tcPr>
            <w:tcW w:w="383" w:type="pct"/>
            <w:tcBorders>
              <w:top w:val="single" w:sz="4" w:space="0" w:color="auto"/>
              <w:bottom w:val="single" w:sz="4" w:space="0" w:color="auto"/>
            </w:tcBorders>
          </w:tcPr>
          <w:p w:rsidR="00E21249" w:rsidRPr="00017FE6" w:rsidRDefault="00E21249" w:rsidP="00EB5B70">
            <w:pPr>
              <w:jc w:val="center"/>
              <w:rPr>
                <w:rFonts w:eastAsia="Calibri"/>
                <w:sz w:val="22"/>
                <w:szCs w:val="22"/>
              </w:rPr>
            </w:pPr>
            <w:r w:rsidRPr="00017FE6">
              <w:rPr>
                <w:rFonts w:eastAsia="Calibri"/>
                <w:sz w:val="22"/>
                <w:szCs w:val="22"/>
              </w:rPr>
              <w:t>Mean</w:t>
            </w:r>
          </w:p>
        </w:tc>
        <w:tc>
          <w:tcPr>
            <w:tcW w:w="601" w:type="pct"/>
            <w:tcBorders>
              <w:top w:val="single" w:sz="4" w:space="0" w:color="auto"/>
              <w:bottom w:val="single" w:sz="4" w:space="0" w:color="auto"/>
            </w:tcBorders>
          </w:tcPr>
          <w:p w:rsidR="00E21249" w:rsidRPr="00017FE6" w:rsidRDefault="00E21249" w:rsidP="00EB5B70">
            <w:pPr>
              <w:jc w:val="center"/>
              <w:rPr>
                <w:rFonts w:eastAsia="Calibri"/>
                <w:sz w:val="22"/>
                <w:szCs w:val="22"/>
              </w:rPr>
            </w:pPr>
            <w:r w:rsidRPr="00017FE6">
              <w:rPr>
                <w:rFonts w:eastAsia="Calibri"/>
                <w:sz w:val="22"/>
                <w:szCs w:val="22"/>
              </w:rPr>
              <w:t>Lower</w:t>
            </w:r>
          </w:p>
        </w:tc>
        <w:tc>
          <w:tcPr>
            <w:tcW w:w="606" w:type="pct"/>
            <w:tcBorders>
              <w:top w:val="single" w:sz="4" w:space="0" w:color="auto"/>
              <w:bottom w:val="single" w:sz="4" w:space="0" w:color="auto"/>
              <w:right w:val="single" w:sz="4" w:space="0" w:color="auto"/>
            </w:tcBorders>
          </w:tcPr>
          <w:p w:rsidR="00E21249" w:rsidRPr="00017FE6" w:rsidRDefault="00E21249" w:rsidP="00EB5B70">
            <w:pPr>
              <w:jc w:val="center"/>
              <w:rPr>
                <w:rFonts w:eastAsia="Calibri"/>
                <w:sz w:val="22"/>
                <w:szCs w:val="22"/>
              </w:rPr>
            </w:pPr>
            <w:r w:rsidRPr="00017FE6">
              <w:rPr>
                <w:rFonts w:eastAsia="Calibri"/>
                <w:sz w:val="22"/>
                <w:szCs w:val="22"/>
              </w:rPr>
              <w:t>Upper</w:t>
            </w:r>
          </w:p>
        </w:tc>
        <w:tc>
          <w:tcPr>
            <w:tcW w:w="454" w:type="pct"/>
            <w:tcBorders>
              <w:top w:val="single" w:sz="4" w:space="0" w:color="auto"/>
              <w:left w:val="single" w:sz="4" w:space="0" w:color="auto"/>
              <w:bottom w:val="single" w:sz="4" w:space="0" w:color="auto"/>
            </w:tcBorders>
          </w:tcPr>
          <w:p w:rsidR="00E21249" w:rsidRPr="00017FE6" w:rsidRDefault="00E21249" w:rsidP="00EB5B70">
            <w:pPr>
              <w:jc w:val="center"/>
              <w:rPr>
                <w:rFonts w:eastAsia="Calibri"/>
                <w:sz w:val="22"/>
                <w:szCs w:val="22"/>
              </w:rPr>
            </w:pPr>
            <w:r w:rsidRPr="00017FE6">
              <w:rPr>
                <w:rFonts w:eastAsia="Calibri"/>
                <w:sz w:val="22"/>
                <w:szCs w:val="22"/>
              </w:rPr>
              <w:t>Mean</w:t>
            </w:r>
          </w:p>
        </w:tc>
        <w:tc>
          <w:tcPr>
            <w:tcW w:w="843" w:type="pct"/>
            <w:tcBorders>
              <w:top w:val="single" w:sz="4" w:space="0" w:color="auto"/>
              <w:bottom w:val="single" w:sz="4" w:space="0" w:color="auto"/>
            </w:tcBorders>
          </w:tcPr>
          <w:p w:rsidR="00E21249" w:rsidRPr="00017FE6" w:rsidRDefault="00E21249" w:rsidP="00EB5B70">
            <w:pPr>
              <w:jc w:val="center"/>
              <w:rPr>
                <w:rFonts w:eastAsia="Calibri"/>
                <w:sz w:val="22"/>
                <w:szCs w:val="22"/>
              </w:rPr>
            </w:pPr>
            <w:r w:rsidRPr="00017FE6">
              <w:rPr>
                <w:rFonts w:eastAsia="Calibri"/>
                <w:sz w:val="22"/>
                <w:szCs w:val="22"/>
              </w:rPr>
              <w:t>Lower</w:t>
            </w:r>
          </w:p>
        </w:tc>
        <w:tc>
          <w:tcPr>
            <w:tcW w:w="825" w:type="pct"/>
            <w:tcBorders>
              <w:top w:val="single" w:sz="4" w:space="0" w:color="auto"/>
              <w:bottom w:val="single" w:sz="4" w:space="0" w:color="auto"/>
            </w:tcBorders>
          </w:tcPr>
          <w:p w:rsidR="00E21249" w:rsidRPr="00017FE6" w:rsidRDefault="00E21249" w:rsidP="00EB5B70">
            <w:pPr>
              <w:jc w:val="center"/>
              <w:rPr>
                <w:rFonts w:eastAsia="Calibri"/>
                <w:sz w:val="22"/>
                <w:szCs w:val="22"/>
              </w:rPr>
            </w:pPr>
            <w:r w:rsidRPr="00017FE6">
              <w:rPr>
                <w:rFonts w:eastAsia="Calibri"/>
                <w:sz w:val="22"/>
                <w:szCs w:val="22"/>
              </w:rPr>
              <w:t>Upper</w:t>
            </w:r>
          </w:p>
        </w:tc>
      </w:tr>
      <w:tr w:rsidR="00E21249" w:rsidRPr="00017FE6" w:rsidTr="00EB5B70">
        <w:trPr>
          <w:trHeight w:val="283"/>
        </w:trPr>
        <w:tc>
          <w:tcPr>
            <w:tcW w:w="1288" w:type="pct"/>
            <w:tcBorders>
              <w:top w:val="single" w:sz="4" w:space="0" w:color="auto"/>
              <w:bottom w:val="single" w:sz="4" w:space="0" w:color="auto"/>
            </w:tcBorders>
          </w:tcPr>
          <w:p w:rsidR="00E21249" w:rsidRPr="00017FE6" w:rsidRDefault="00E21249" w:rsidP="00EB5B70">
            <w:pPr>
              <w:rPr>
                <w:sz w:val="22"/>
                <w:szCs w:val="22"/>
              </w:rPr>
            </w:pPr>
          </w:p>
        </w:tc>
        <w:tc>
          <w:tcPr>
            <w:tcW w:w="383" w:type="pct"/>
            <w:tcBorders>
              <w:top w:val="single" w:sz="4" w:space="0" w:color="auto"/>
              <w:bottom w:val="single" w:sz="4" w:space="0" w:color="auto"/>
            </w:tcBorders>
          </w:tcPr>
          <w:p w:rsidR="00E21249" w:rsidRPr="00017FE6" w:rsidRDefault="00E21249" w:rsidP="00EB5B70">
            <w:pPr>
              <w:jc w:val="center"/>
              <w:rPr>
                <w:sz w:val="22"/>
                <w:szCs w:val="22"/>
              </w:rPr>
            </w:pPr>
            <m:oMathPara>
              <m:oMath>
                <m:r>
                  <w:rPr>
                    <w:rFonts w:ascii="Cambria Math" w:hAnsi="Cambria Math"/>
                    <w:sz w:val="22"/>
                    <w:szCs w:val="22"/>
                  </w:rPr>
                  <m:t>μ</m:t>
                </m:r>
              </m:oMath>
            </m:oMathPara>
          </w:p>
        </w:tc>
        <w:tc>
          <w:tcPr>
            <w:tcW w:w="601" w:type="pct"/>
            <w:tcBorders>
              <w:top w:val="single" w:sz="4" w:space="0" w:color="auto"/>
              <w:bottom w:val="single" w:sz="4" w:space="0" w:color="auto"/>
            </w:tcBorders>
          </w:tcPr>
          <w:p w:rsidR="00E21249" w:rsidRPr="00017FE6" w:rsidRDefault="00E21249" w:rsidP="00EB5B70">
            <w:pPr>
              <w:jc w:val="center"/>
              <w:rPr>
                <w:sz w:val="22"/>
                <w:szCs w:val="22"/>
              </w:rPr>
            </w:pPr>
            <m:oMath>
              <m:r>
                <w:rPr>
                  <w:rFonts w:ascii="Cambria Math" w:hAnsi="Cambria Math"/>
                  <w:sz w:val="22"/>
                  <w:szCs w:val="22"/>
                </w:rPr>
                <m:t>μ-</m:t>
              </m:r>
              <m:rad>
                <m:radPr>
                  <m:degHide m:val="1"/>
                  <m:ctrlPr>
                    <w:rPr>
                      <w:rFonts w:ascii="Cambria Math" w:hAnsi="Cambria Math"/>
                      <w:i/>
                      <w:sz w:val="22"/>
                      <w:szCs w:val="22"/>
                    </w:rPr>
                  </m:ctrlPr>
                </m:radPr>
                <m:deg/>
                <m:e>
                  <m:f>
                    <m:fPr>
                      <m:ctrlPr>
                        <w:rPr>
                          <w:rFonts w:ascii="Cambria Math" w:hAnsi="Cambria Math"/>
                          <w:i/>
                          <w:sz w:val="22"/>
                          <w:szCs w:val="22"/>
                        </w:rPr>
                      </m:ctrlPr>
                    </m:fPr>
                    <m:num>
                      <m:r>
                        <w:rPr>
                          <w:rFonts w:ascii="Cambria Math" w:hAnsi="Cambria Math"/>
                          <w:sz w:val="22"/>
                          <w:szCs w:val="22"/>
                        </w:rPr>
                        <m:t>β</m:t>
                      </m:r>
                    </m:num>
                    <m:den>
                      <m:r>
                        <w:rPr>
                          <w:rFonts w:ascii="Cambria Math" w:hAnsi="Cambria Math"/>
                          <w:sz w:val="22"/>
                          <w:szCs w:val="22"/>
                        </w:rPr>
                        <m:t>α-1</m:t>
                      </m:r>
                    </m:den>
                  </m:f>
                </m:e>
              </m:rad>
            </m:oMath>
            <w:r w:rsidRPr="00017FE6">
              <w:rPr>
                <w:sz w:val="22"/>
                <w:szCs w:val="22"/>
              </w:rPr>
              <w:t xml:space="preserve"> </w:t>
            </w:r>
          </w:p>
        </w:tc>
        <w:tc>
          <w:tcPr>
            <w:tcW w:w="606" w:type="pct"/>
            <w:tcBorders>
              <w:top w:val="single" w:sz="4" w:space="0" w:color="auto"/>
              <w:bottom w:val="single" w:sz="4" w:space="0" w:color="auto"/>
              <w:right w:val="single" w:sz="4" w:space="0" w:color="auto"/>
            </w:tcBorders>
          </w:tcPr>
          <w:p w:rsidR="00E21249" w:rsidRPr="00017FE6" w:rsidRDefault="00E21249" w:rsidP="00EB5B70">
            <w:pPr>
              <w:jc w:val="center"/>
              <w:rPr>
                <w:sz w:val="22"/>
                <w:szCs w:val="22"/>
              </w:rPr>
            </w:pPr>
            <m:oMath>
              <m:r>
                <w:rPr>
                  <w:rFonts w:ascii="Cambria Math" w:hAnsi="Cambria Math"/>
                  <w:sz w:val="22"/>
                  <w:szCs w:val="22"/>
                </w:rPr>
                <m:t>μ+</m:t>
              </m:r>
              <m:rad>
                <m:radPr>
                  <m:degHide m:val="1"/>
                  <m:ctrlPr>
                    <w:rPr>
                      <w:rFonts w:ascii="Cambria Math" w:hAnsi="Cambria Math"/>
                      <w:i/>
                      <w:sz w:val="22"/>
                      <w:szCs w:val="22"/>
                    </w:rPr>
                  </m:ctrlPr>
                </m:radPr>
                <m:deg/>
                <m:e>
                  <m:f>
                    <m:fPr>
                      <m:ctrlPr>
                        <w:rPr>
                          <w:rFonts w:ascii="Cambria Math" w:hAnsi="Cambria Math"/>
                          <w:i/>
                          <w:sz w:val="22"/>
                          <w:szCs w:val="22"/>
                        </w:rPr>
                      </m:ctrlPr>
                    </m:fPr>
                    <m:num>
                      <m:r>
                        <w:rPr>
                          <w:rFonts w:ascii="Cambria Math" w:hAnsi="Cambria Math"/>
                          <w:sz w:val="22"/>
                          <w:szCs w:val="22"/>
                        </w:rPr>
                        <m:t>β</m:t>
                      </m:r>
                    </m:num>
                    <m:den>
                      <m:r>
                        <w:rPr>
                          <w:rFonts w:ascii="Cambria Math" w:hAnsi="Cambria Math"/>
                          <w:sz w:val="22"/>
                          <w:szCs w:val="22"/>
                        </w:rPr>
                        <m:t>α-1</m:t>
                      </m:r>
                    </m:den>
                  </m:f>
                </m:e>
              </m:rad>
            </m:oMath>
            <w:r w:rsidRPr="00017FE6">
              <w:rPr>
                <w:sz w:val="22"/>
                <w:szCs w:val="22"/>
              </w:rPr>
              <w:t xml:space="preserve"> </w:t>
            </w:r>
          </w:p>
        </w:tc>
        <w:tc>
          <w:tcPr>
            <w:tcW w:w="454" w:type="pct"/>
            <w:tcBorders>
              <w:top w:val="single" w:sz="4" w:space="0" w:color="auto"/>
              <w:left w:val="single" w:sz="4" w:space="0" w:color="auto"/>
              <w:bottom w:val="single" w:sz="4" w:space="0" w:color="auto"/>
            </w:tcBorders>
          </w:tcPr>
          <w:p w:rsidR="00E21249" w:rsidRPr="00017FE6" w:rsidRDefault="00E21249" w:rsidP="00EB5B70">
            <w:pPr>
              <w:jc w:val="center"/>
              <w:rPr>
                <w:sz w:val="22"/>
                <w:szCs w:val="22"/>
              </w:rPr>
            </w:pPr>
            <m:oMath>
              <m:r>
                <w:rPr>
                  <w:rFonts w:ascii="Cambria Math" w:hAnsi="Cambria Math"/>
                  <w:sz w:val="22"/>
                  <w:szCs w:val="22"/>
                </w:rPr>
                <m:t>∅</m:t>
              </m:r>
              <m:d>
                <m:dPr>
                  <m:ctrlPr>
                    <w:rPr>
                      <w:rFonts w:ascii="Cambria Math" w:hAnsi="Cambria Math"/>
                      <w:i/>
                      <w:sz w:val="22"/>
                      <w:szCs w:val="22"/>
                    </w:rPr>
                  </m:ctrlPr>
                </m:dPr>
                <m:e>
                  <m:r>
                    <w:rPr>
                      <w:rFonts w:ascii="Cambria Math" w:hAnsi="Cambria Math"/>
                      <w:sz w:val="22"/>
                      <w:szCs w:val="22"/>
                    </w:rPr>
                    <m:t>μ</m:t>
                  </m:r>
                </m:e>
              </m:d>
            </m:oMath>
            <w:r w:rsidRPr="00017FE6">
              <w:rPr>
                <w:sz w:val="22"/>
                <w:szCs w:val="22"/>
              </w:rPr>
              <w:t xml:space="preserve"> </w:t>
            </w:r>
          </w:p>
        </w:tc>
        <w:tc>
          <w:tcPr>
            <w:tcW w:w="843" w:type="pct"/>
            <w:tcBorders>
              <w:top w:val="single" w:sz="4" w:space="0" w:color="auto"/>
              <w:bottom w:val="single" w:sz="4" w:space="0" w:color="auto"/>
            </w:tcBorders>
          </w:tcPr>
          <w:p w:rsidR="00E21249" w:rsidRPr="00017FE6" w:rsidRDefault="00E21249" w:rsidP="00EB5B70">
            <w:pPr>
              <w:jc w:val="center"/>
              <w:rPr>
                <w:sz w:val="22"/>
                <w:szCs w:val="22"/>
              </w:rPr>
            </w:pPr>
            <m:oMath>
              <m:r>
                <w:rPr>
                  <w:rFonts w:ascii="Cambria Math" w:hAnsi="Cambria Math"/>
                  <w:sz w:val="22"/>
                  <w:szCs w:val="22"/>
                </w:rPr>
                <m:t>∅</m:t>
              </m:r>
              <m:d>
                <m:dPr>
                  <m:ctrlPr>
                    <w:rPr>
                      <w:rFonts w:ascii="Cambria Math" w:hAnsi="Cambria Math"/>
                      <w:i/>
                      <w:sz w:val="22"/>
                      <w:szCs w:val="22"/>
                    </w:rPr>
                  </m:ctrlPr>
                </m:dPr>
                <m:e>
                  <m:r>
                    <w:rPr>
                      <w:rFonts w:ascii="Cambria Math" w:hAnsi="Cambria Math"/>
                      <w:sz w:val="22"/>
                      <w:szCs w:val="22"/>
                    </w:rPr>
                    <m:t>μ-</m:t>
                  </m:r>
                  <m:rad>
                    <m:radPr>
                      <m:degHide m:val="1"/>
                      <m:ctrlPr>
                        <w:rPr>
                          <w:rFonts w:ascii="Cambria Math" w:hAnsi="Cambria Math"/>
                          <w:i/>
                          <w:sz w:val="22"/>
                          <w:szCs w:val="22"/>
                        </w:rPr>
                      </m:ctrlPr>
                    </m:radPr>
                    <m:deg/>
                    <m:e>
                      <m:f>
                        <m:fPr>
                          <m:ctrlPr>
                            <w:rPr>
                              <w:rFonts w:ascii="Cambria Math" w:hAnsi="Cambria Math"/>
                              <w:i/>
                              <w:sz w:val="22"/>
                              <w:szCs w:val="22"/>
                            </w:rPr>
                          </m:ctrlPr>
                        </m:fPr>
                        <m:num>
                          <m:r>
                            <w:rPr>
                              <w:rFonts w:ascii="Cambria Math" w:hAnsi="Cambria Math"/>
                              <w:sz w:val="22"/>
                              <w:szCs w:val="22"/>
                            </w:rPr>
                            <m:t>β</m:t>
                          </m:r>
                        </m:num>
                        <m:den>
                          <m:r>
                            <w:rPr>
                              <w:rFonts w:ascii="Cambria Math" w:hAnsi="Cambria Math"/>
                              <w:sz w:val="22"/>
                              <w:szCs w:val="22"/>
                            </w:rPr>
                            <m:t>α-1</m:t>
                          </m:r>
                        </m:den>
                      </m:f>
                    </m:e>
                  </m:rad>
                </m:e>
              </m:d>
            </m:oMath>
            <w:r w:rsidRPr="00017FE6">
              <w:rPr>
                <w:sz w:val="22"/>
                <w:szCs w:val="22"/>
              </w:rPr>
              <w:t xml:space="preserve"> </w:t>
            </w:r>
          </w:p>
        </w:tc>
        <w:tc>
          <w:tcPr>
            <w:tcW w:w="825" w:type="pct"/>
            <w:tcBorders>
              <w:top w:val="single" w:sz="4" w:space="0" w:color="auto"/>
              <w:bottom w:val="single" w:sz="4" w:space="0" w:color="auto"/>
            </w:tcBorders>
          </w:tcPr>
          <w:p w:rsidR="00E21249" w:rsidRPr="00017FE6" w:rsidRDefault="00E21249" w:rsidP="00EB5B70">
            <w:pPr>
              <w:jc w:val="center"/>
              <w:rPr>
                <w:sz w:val="22"/>
                <w:szCs w:val="22"/>
              </w:rPr>
            </w:pPr>
            <m:oMath>
              <m:r>
                <w:rPr>
                  <w:rFonts w:ascii="Cambria Math" w:hAnsi="Cambria Math"/>
                  <w:sz w:val="22"/>
                  <w:szCs w:val="22"/>
                </w:rPr>
                <m:t>∅</m:t>
              </m:r>
              <m:d>
                <m:dPr>
                  <m:ctrlPr>
                    <w:rPr>
                      <w:rFonts w:ascii="Cambria Math" w:hAnsi="Cambria Math"/>
                      <w:i/>
                      <w:sz w:val="22"/>
                      <w:szCs w:val="22"/>
                    </w:rPr>
                  </m:ctrlPr>
                </m:dPr>
                <m:e>
                  <m:r>
                    <w:rPr>
                      <w:rFonts w:ascii="Cambria Math" w:hAnsi="Cambria Math"/>
                      <w:sz w:val="22"/>
                      <w:szCs w:val="22"/>
                    </w:rPr>
                    <m:t>μ+</m:t>
                  </m:r>
                  <m:rad>
                    <m:radPr>
                      <m:degHide m:val="1"/>
                      <m:ctrlPr>
                        <w:rPr>
                          <w:rFonts w:ascii="Cambria Math" w:hAnsi="Cambria Math"/>
                          <w:i/>
                          <w:sz w:val="22"/>
                          <w:szCs w:val="22"/>
                        </w:rPr>
                      </m:ctrlPr>
                    </m:radPr>
                    <m:deg/>
                    <m:e>
                      <m:f>
                        <m:fPr>
                          <m:ctrlPr>
                            <w:rPr>
                              <w:rFonts w:ascii="Cambria Math" w:hAnsi="Cambria Math"/>
                              <w:i/>
                              <w:sz w:val="22"/>
                              <w:szCs w:val="22"/>
                            </w:rPr>
                          </m:ctrlPr>
                        </m:fPr>
                        <m:num>
                          <m:r>
                            <w:rPr>
                              <w:rFonts w:ascii="Cambria Math" w:hAnsi="Cambria Math"/>
                              <w:sz w:val="22"/>
                              <w:szCs w:val="22"/>
                            </w:rPr>
                            <m:t>β</m:t>
                          </m:r>
                        </m:num>
                        <m:den>
                          <m:r>
                            <w:rPr>
                              <w:rFonts w:ascii="Cambria Math" w:hAnsi="Cambria Math"/>
                              <w:sz w:val="22"/>
                              <w:szCs w:val="22"/>
                            </w:rPr>
                            <m:t>α-1</m:t>
                          </m:r>
                        </m:den>
                      </m:f>
                    </m:e>
                  </m:rad>
                </m:e>
              </m:d>
            </m:oMath>
            <w:r w:rsidRPr="00017FE6">
              <w:rPr>
                <w:sz w:val="22"/>
                <w:szCs w:val="22"/>
              </w:rPr>
              <w:t xml:space="preserve"> </w:t>
            </w:r>
          </w:p>
        </w:tc>
      </w:tr>
      <w:tr w:rsidR="00E21249" w:rsidRPr="00017FE6" w:rsidTr="00EB5B70">
        <w:trPr>
          <w:trHeight w:val="283"/>
        </w:trPr>
        <w:tc>
          <w:tcPr>
            <w:tcW w:w="1288" w:type="pct"/>
            <w:tcBorders>
              <w:top w:val="single" w:sz="4" w:space="0" w:color="auto"/>
            </w:tcBorders>
          </w:tcPr>
          <w:p w:rsidR="00E21249" w:rsidRPr="00017FE6" w:rsidRDefault="00E21249" w:rsidP="00EB5B70">
            <w:pPr>
              <w:spacing w:before="120" w:after="120"/>
              <w:rPr>
                <w:b/>
                <w:sz w:val="22"/>
                <w:szCs w:val="22"/>
              </w:rPr>
            </w:pPr>
            <w:r w:rsidRPr="00017FE6">
              <w:rPr>
                <w:b/>
                <w:sz w:val="22"/>
                <w:szCs w:val="22"/>
              </w:rPr>
              <w:t>Prevalence</w:t>
            </w:r>
          </w:p>
        </w:tc>
        <w:tc>
          <w:tcPr>
            <w:tcW w:w="383" w:type="pct"/>
            <w:tcBorders>
              <w:top w:val="single" w:sz="4" w:space="0" w:color="auto"/>
            </w:tcBorders>
          </w:tcPr>
          <w:p w:rsidR="00E21249" w:rsidRPr="00017FE6" w:rsidRDefault="00E21249" w:rsidP="00EB5B70">
            <w:pPr>
              <w:spacing w:before="120" w:after="120"/>
              <w:jc w:val="center"/>
              <w:rPr>
                <w:sz w:val="22"/>
                <w:szCs w:val="22"/>
              </w:rPr>
            </w:pPr>
          </w:p>
        </w:tc>
        <w:tc>
          <w:tcPr>
            <w:tcW w:w="601" w:type="pct"/>
            <w:tcBorders>
              <w:top w:val="single" w:sz="4" w:space="0" w:color="auto"/>
            </w:tcBorders>
          </w:tcPr>
          <w:p w:rsidR="00E21249" w:rsidRPr="00017FE6" w:rsidRDefault="00E21249" w:rsidP="00EB5B70">
            <w:pPr>
              <w:spacing w:before="120" w:after="120"/>
              <w:jc w:val="center"/>
              <w:rPr>
                <w:sz w:val="22"/>
                <w:szCs w:val="22"/>
              </w:rPr>
            </w:pPr>
          </w:p>
        </w:tc>
        <w:tc>
          <w:tcPr>
            <w:tcW w:w="606" w:type="pct"/>
            <w:tcBorders>
              <w:top w:val="single" w:sz="4" w:space="0" w:color="auto"/>
              <w:right w:val="single" w:sz="4" w:space="0" w:color="auto"/>
            </w:tcBorders>
          </w:tcPr>
          <w:p w:rsidR="00E21249" w:rsidRPr="00017FE6" w:rsidRDefault="00E21249" w:rsidP="00EB5B70">
            <w:pPr>
              <w:spacing w:before="120" w:after="120"/>
              <w:jc w:val="center"/>
              <w:rPr>
                <w:sz w:val="22"/>
                <w:szCs w:val="22"/>
              </w:rPr>
            </w:pPr>
          </w:p>
        </w:tc>
        <w:tc>
          <w:tcPr>
            <w:tcW w:w="454" w:type="pct"/>
            <w:tcBorders>
              <w:top w:val="single" w:sz="4" w:space="0" w:color="auto"/>
              <w:left w:val="single" w:sz="4" w:space="0" w:color="auto"/>
            </w:tcBorders>
          </w:tcPr>
          <w:p w:rsidR="00E21249" w:rsidRPr="00017FE6" w:rsidRDefault="00E21249" w:rsidP="00EB5B70">
            <w:pPr>
              <w:spacing w:before="120" w:after="120"/>
              <w:jc w:val="center"/>
              <w:rPr>
                <w:sz w:val="22"/>
                <w:szCs w:val="22"/>
              </w:rPr>
            </w:pPr>
          </w:p>
        </w:tc>
        <w:tc>
          <w:tcPr>
            <w:tcW w:w="843" w:type="pct"/>
            <w:tcBorders>
              <w:top w:val="single" w:sz="4" w:space="0" w:color="auto"/>
            </w:tcBorders>
          </w:tcPr>
          <w:p w:rsidR="00E21249" w:rsidRPr="00017FE6" w:rsidRDefault="00E21249" w:rsidP="00EB5B70">
            <w:pPr>
              <w:spacing w:before="120" w:after="120"/>
              <w:jc w:val="center"/>
              <w:rPr>
                <w:sz w:val="22"/>
                <w:szCs w:val="22"/>
              </w:rPr>
            </w:pPr>
          </w:p>
        </w:tc>
        <w:tc>
          <w:tcPr>
            <w:tcW w:w="825" w:type="pct"/>
            <w:tcBorders>
              <w:top w:val="single" w:sz="4" w:space="0" w:color="auto"/>
            </w:tcBorders>
          </w:tcPr>
          <w:p w:rsidR="00E21249" w:rsidRPr="00017FE6" w:rsidRDefault="00E21249" w:rsidP="00EB5B70">
            <w:pPr>
              <w:spacing w:before="120" w:after="120"/>
              <w:jc w:val="center"/>
              <w:rPr>
                <w:sz w:val="22"/>
                <w:szCs w:val="22"/>
              </w:rPr>
            </w:pPr>
          </w:p>
        </w:tc>
      </w:tr>
      <w:tr w:rsidR="00E21249" w:rsidRPr="00017FE6" w:rsidTr="00EB5B70">
        <w:trPr>
          <w:trHeight w:val="283"/>
        </w:trPr>
        <w:tc>
          <w:tcPr>
            <w:tcW w:w="1288" w:type="pct"/>
          </w:tcPr>
          <w:p w:rsidR="00E21249" w:rsidRPr="00017FE6" w:rsidRDefault="00E21249" w:rsidP="00EB5B70">
            <w:pPr>
              <w:rPr>
                <w:b/>
                <w:sz w:val="22"/>
                <w:szCs w:val="22"/>
              </w:rPr>
            </w:pPr>
            <w:r w:rsidRPr="00017FE6">
              <w:rPr>
                <w:b/>
                <w:sz w:val="22"/>
                <w:szCs w:val="22"/>
              </w:rPr>
              <w:t>Overall/HIV-</w:t>
            </w:r>
          </w:p>
        </w:tc>
        <w:tc>
          <w:tcPr>
            <w:tcW w:w="383" w:type="pct"/>
          </w:tcPr>
          <w:p w:rsidR="00E21249" w:rsidRPr="00017FE6" w:rsidRDefault="00E21249" w:rsidP="00EB5B70">
            <w:pPr>
              <w:jc w:val="center"/>
              <w:rPr>
                <w:sz w:val="22"/>
                <w:szCs w:val="22"/>
              </w:rPr>
            </w:pPr>
          </w:p>
        </w:tc>
        <w:tc>
          <w:tcPr>
            <w:tcW w:w="601" w:type="pct"/>
          </w:tcPr>
          <w:p w:rsidR="00E21249" w:rsidRPr="00017FE6" w:rsidRDefault="00E21249" w:rsidP="00EB5B70">
            <w:pPr>
              <w:jc w:val="center"/>
              <w:rPr>
                <w:sz w:val="22"/>
                <w:szCs w:val="22"/>
              </w:rPr>
            </w:pPr>
          </w:p>
        </w:tc>
        <w:tc>
          <w:tcPr>
            <w:tcW w:w="606" w:type="pct"/>
            <w:tcBorders>
              <w:right w:val="single" w:sz="4" w:space="0" w:color="auto"/>
            </w:tcBorders>
          </w:tcPr>
          <w:p w:rsidR="00E21249" w:rsidRPr="00017FE6" w:rsidRDefault="00E21249" w:rsidP="00EB5B70">
            <w:pPr>
              <w:jc w:val="center"/>
              <w:rPr>
                <w:sz w:val="22"/>
                <w:szCs w:val="22"/>
              </w:rPr>
            </w:pPr>
          </w:p>
        </w:tc>
        <w:tc>
          <w:tcPr>
            <w:tcW w:w="454" w:type="pct"/>
            <w:tcBorders>
              <w:left w:val="single" w:sz="4" w:space="0" w:color="auto"/>
            </w:tcBorders>
          </w:tcPr>
          <w:p w:rsidR="00E21249" w:rsidRPr="00017FE6" w:rsidRDefault="00E21249" w:rsidP="00EB5B70">
            <w:pPr>
              <w:jc w:val="center"/>
              <w:rPr>
                <w:sz w:val="22"/>
                <w:szCs w:val="22"/>
              </w:rPr>
            </w:pPr>
          </w:p>
        </w:tc>
        <w:tc>
          <w:tcPr>
            <w:tcW w:w="843" w:type="pct"/>
          </w:tcPr>
          <w:p w:rsidR="00E21249" w:rsidRPr="00017FE6" w:rsidRDefault="00E21249" w:rsidP="00EB5B70">
            <w:pPr>
              <w:jc w:val="center"/>
              <w:rPr>
                <w:sz w:val="22"/>
                <w:szCs w:val="22"/>
              </w:rPr>
            </w:pPr>
          </w:p>
        </w:tc>
        <w:tc>
          <w:tcPr>
            <w:tcW w:w="825" w:type="pct"/>
          </w:tcPr>
          <w:p w:rsidR="00E21249" w:rsidRPr="00017FE6" w:rsidRDefault="00E21249" w:rsidP="00EB5B70">
            <w:pPr>
              <w:jc w:val="center"/>
              <w:rPr>
                <w:sz w:val="22"/>
                <w:szCs w:val="22"/>
              </w:rPr>
            </w:pPr>
          </w:p>
        </w:tc>
      </w:tr>
      <w:tr w:rsidR="00E21249" w:rsidRPr="00017FE6" w:rsidTr="00EB5B70">
        <w:trPr>
          <w:trHeight w:val="283"/>
        </w:trPr>
        <w:tc>
          <w:tcPr>
            <w:tcW w:w="1288" w:type="pct"/>
          </w:tcPr>
          <w:p w:rsidR="00E21249" w:rsidRPr="00017FE6" w:rsidRDefault="00E21249" w:rsidP="00EB5B70">
            <w:pPr>
              <w:jc w:val="center"/>
              <w:rPr>
                <w:sz w:val="22"/>
                <w:szCs w:val="22"/>
              </w:rPr>
            </w:pPr>
            <m:oMathPara>
              <m:oMath>
                <m:r>
                  <w:rPr>
                    <w:rFonts w:ascii="Cambria Math" w:hAnsi="Cambria Math"/>
                    <w:sz w:val="22"/>
                    <w:szCs w:val="22"/>
                  </w:rPr>
                  <m:t>a~N</m:t>
                </m:r>
                <m:d>
                  <m:dPr>
                    <m:ctrlPr>
                      <w:rPr>
                        <w:rFonts w:ascii="Cambria Math" w:hAnsi="Cambria Math"/>
                        <w:i/>
                        <w:sz w:val="22"/>
                        <w:szCs w:val="22"/>
                      </w:rPr>
                    </m:ctrlPr>
                  </m:dPr>
                  <m:e>
                    <m:r>
                      <w:rPr>
                        <w:rFonts w:ascii="Cambria Math" w:hAnsi="Cambria Math"/>
                        <w:sz w:val="22"/>
                        <w:szCs w:val="22"/>
                      </w:rPr>
                      <m:t>-1, s</m:t>
                    </m:r>
                  </m:e>
                </m:d>
              </m:oMath>
            </m:oMathPara>
          </w:p>
          <w:p w:rsidR="00E21249" w:rsidRPr="00017FE6" w:rsidRDefault="00E21249" w:rsidP="00EB5B70">
            <w:pPr>
              <w:jc w:val="center"/>
              <w:rPr>
                <w:sz w:val="22"/>
                <w:szCs w:val="22"/>
              </w:rPr>
            </w:pPr>
            <m:oMathPara>
              <m:oMath>
                <m:r>
                  <w:rPr>
                    <w:rFonts w:ascii="Cambria Math" w:hAnsi="Cambria Math"/>
                    <w:sz w:val="22"/>
                    <w:szCs w:val="22"/>
                  </w:rPr>
                  <m:t>s~InvGamma</m:t>
                </m:r>
                <m:d>
                  <m:dPr>
                    <m:ctrlPr>
                      <w:rPr>
                        <w:rFonts w:ascii="Cambria Math" w:hAnsi="Cambria Math"/>
                        <w:i/>
                        <w:sz w:val="22"/>
                        <w:szCs w:val="22"/>
                      </w:rPr>
                    </m:ctrlPr>
                  </m:dPr>
                  <m:e>
                    <m:r>
                      <w:rPr>
                        <w:rFonts w:ascii="Cambria Math" w:hAnsi="Cambria Math"/>
                        <w:sz w:val="22"/>
                        <w:szCs w:val="22"/>
                      </w:rPr>
                      <m:t>2,3</m:t>
                    </m:r>
                  </m:e>
                </m:d>
              </m:oMath>
            </m:oMathPara>
          </w:p>
        </w:tc>
        <w:tc>
          <w:tcPr>
            <w:tcW w:w="383" w:type="pct"/>
          </w:tcPr>
          <w:p w:rsidR="00E21249" w:rsidRPr="00017FE6" w:rsidRDefault="00E21249" w:rsidP="00EB5B70">
            <w:pPr>
              <w:jc w:val="center"/>
              <w:rPr>
                <w:sz w:val="22"/>
                <w:szCs w:val="22"/>
              </w:rPr>
            </w:pPr>
            <w:r w:rsidRPr="00017FE6">
              <w:rPr>
                <w:sz w:val="22"/>
                <w:szCs w:val="22"/>
              </w:rPr>
              <w:t>-1</w:t>
            </w:r>
          </w:p>
        </w:tc>
        <w:tc>
          <w:tcPr>
            <w:tcW w:w="601" w:type="pct"/>
          </w:tcPr>
          <w:p w:rsidR="00E21249" w:rsidRPr="00017FE6" w:rsidRDefault="00E21249" w:rsidP="00EB5B70">
            <w:pPr>
              <w:jc w:val="center"/>
              <w:rPr>
                <w:sz w:val="22"/>
                <w:szCs w:val="22"/>
              </w:rPr>
            </w:pPr>
            <w:r w:rsidRPr="00017FE6">
              <w:rPr>
                <w:sz w:val="22"/>
                <w:szCs w:val="22"/>
              </w:rPr>
              <w:t>-2.73</w:t>
            </w:r>
          </w:p>
        </w:tc>
        <w:tc>
          <w:tcPr>
            <w:tcW w:w="606" w:type="pct"/>
            <w:tcBorders>
              <w:right w:val="single" w:sz="4" w:space="0" w:color="auto"/>
            </w:tcBorders>
          </w:tcPr>
          <w:p w:rsidR="00E21249" w:rsidRPr="00017FE6" w:rsidRDefault="00E21249" w:rsidP="00EB5B70">
            <w:pPr>
              <w:jc w:val="center"/>
              <w:rPr>
                <w:sz w:val="22"/>
                <w:szCs w:val="22"/>
              </w:rPr>
            </w:pPr>
            <w:r w:rsidRPr="00017FE6">
              <w:rPr>
                <w:sz w:val="22"/>
                <w:szCs w:val="22"/>
              </w:rPr>
              <w:t>0.73</w:t>
            </w:r>
          </w:p>
        </w:tc>
        <w:tc>
          <w:tcPr>
            <w:tcW w:w="454" w:type="pct"/>
            <w:tcBorders>
              <w:left w:val="single" w:sz="4" w:space="0" w:color="auto"/>
            </w:tcBorders>
          </w:tcPr>
          <w:p w:rsidR="00E21249" w:rsidRPr="00017FE6" w:rsidRDefault="00E21249" w:rsidP="00EB5B70">
            <w:pPr>
              <w:jc w:val="center"/>
              <w:rPr>
                <w:sz w:val="22"/>
                <w:szCs w:val="22"/>
              </w:rPr>
            </w:pPr>
            <w:r>
              <w:rPr>
                <w:sz w:val="22"/>
                <w:szCs w:val="22"/>
              </w:rPr>
              <w:t>15.9</w:t>
            </w:r>
            <w:r w:rsidRPr="00017FE6">
              <w:rPr>
                <w:sz w:val="22"/>
                <w:szCs w:val="22"/>
              </w:rPr>
              <w:t>%</w:t>
            </w:r>
          </w:p>
        </w:tc>
        <w:tc>
          <w:tcPr>
            <w:tcW w:w="843" w:type="pct"/>
          </w:tcPr>
          <w:p w:rsidR="00E21249" w:rsidRPr="00017FE6" w:rsidRDefault="00E21249" w:rsidP="00EB5B70">
            <w:pPr>
              <w:jc w:val="center"/>
              <w:rPr>
                <w:sz w:val="22"/>
                <w:szCs w:val="22"/>
              </w:rPr>
            </w:pPr>
            <w:r>
              <w:rPr>
                <w:sz w:val="22"/>
                <w:szCs w:val="22"/>
              </w:rPr>
              <w:t>0.3</w:t>
            </w:r>
            <w:r w:rsidRPr="00017FE6">
              <w:rPr>
                <w:sz w:val="22"/>
                <w:szCs w:val="22"/>
              </w:rPr>
              <w:t>%</w:t>
            </w:r>
          </w:p>
        </w:tc>
        <w:tc>
          <w:tcPr>
            <w:tcW w:w="825" w:type="pct"/>
          </w:tcPr>
          <w:p w:rsidR="00E21249" w:rsidRPr="00017FE6" w:rsidRDefault="00E21249" w:rsidP="00EB5B70">
            <w:pPr>
              <w:jc w:val="center"/>
              <w:rPr>
                <w:sz w:val="22"/>
                <w:szCs w:val="22"/>
              </w:rPr>
            </w:pPr>
            <w:r>
              <w:rPr>
                <w:sz w:val="22"/>
                <w:szCs w:val="22"/>
              </w:rPr>
              <w:t>76.7</w:t>
            </w:r>
            <w:r w:rsidRPr="00017FE6">
              <w:rPr>
                <w:sz w:val="22"/>
                <w:szCs w:val="22"/>
              </w:rPr>
              <w:t>%</w:t>
            </w:r>
          </w:p>
        </w:tc>
      </w:tr>
      <w:tr w:rsidR="00E21249" w:rsidRPr="00017FE6" w:rsidTr="00EB5B70">
        <w:trPr>
          <w:trHeight w:val="283"/>
        </w:trPr>
        <w:tc>
          <w:tcPr>
            <w:tcW w:w="1288" w:type="pct"/>
          </w:tcPr>
          <w:p w:rsidR="00E21249" w:rsidRPr="00017FE6" w:rsidRDefault="00E21249" w:rsidP="00EB5B70">
            <w:pPr>
              <w:rPr>
                <w:b/>
                <w:sz w:val="22"/>
                <w:szCs w:val="22"/>
              </w:rPr>
            </w:pPr>
            <w:r w:rsidRPr="00017FE6">
              <w:rPr>
                <w:b/>
                <w:sz w:val="22"/>
                <w:szCs w:val="22"/>
              </w:rPr>
              <w:t>Difference</w:t>
            </w:r>
          </w:p>
        </w:tc>
        <w:tc>
          <w:tcPr>
            <w:tcW w:w="383" w:type="pct"/>
          </w:tcPr>
          <w:p w:rsidR="00E21249" w:rsidRPr="00017FE6" w:rsidRDefault="00E21249" w:rsidP="00EB5B70">
            <w:pPr>
              <w:jc w:val="center"/>
              <w:rPr>
                <w:sz w:val="22"/>
                <w:szCs w:val="22"/>
              </w:rPr>
            </w:pPr>
          </w:p>
        </w:tc>
        <w:tc>
          <w:tcPr>
            <w:tcW w:w="601" w:type="pct"/>
          </w:tcPr>
          <w:p w:rsidR="00E21249" w:rsidRPr="00017FE6" w:rsidRDefault="00E21249" w:rsidP="00EB5B70">
            <w:pPr>
              <w:jc w:val="center"/>
              <w:rPr>
                <w:sz w:val="22"/>
                <w:szCs w:val="22"/>
              </w:rPr>
            </w:pPr>
          </w:p>
        </w:tc>
        <w:tc>
          <w:tcPr>
            <w:tcW w:w="606" w:type="pct"/>
            <w:tcBorders>
              <w:right w:val="single" w:sz="4" w:space="0" w:color="auto"/>
            </w:tcBorders>
          </w:tcPr>
          <w:p w:rsidR="00E21249" w:rsidRPr="00017FE6" w:rsidRDefault="00E21249" w:rsidP="00EB5B70">
            <w:pPr>
              <w:jc w:val="center"/>
              <w:rPr>
                <w:sz w:val="22"/>
                <w:szCs w:val="22"/>
              </w:rPr>
            </w:pPr>
          </w:p>
        </w:tc>
        <w:tc>
          <w:tcPr>
            <w:tcW w:w="454" w:type="pct"/>
            <w:tcBorders>
              <w:left w:val="single" w:sz="4" w:space="0" w:color="auto"/>
            </w:tcBorders>
          </w:tcPr>
          <w:p w:rsidR="00E21249" w:rsidRPr="00017FE6" w:rsidRDefault="00E21249" w:rsidP="00EB5B70">
            <w:pPr>
              <w:jc w:val="center"/>
              <w:rPr>
                <w:sz w:val="22"/>
                <w:szCs w:val="22"/>
              </w:rPr>
            </w:pPr>
          </w:p>
        </w:tc>
        <w:tc>
          <w:tcPr>
            <w:tcW w:w="843" w:type="pct"/>
          </w:tcPr>
          <w:p w:rsidR="00E21249" w:rsidRPr="00017FE6" w:rsidRDefault="00E21249" w:rsidP="00EB5B70">
            <w:pPr>
              <w:jc w:val="center"/>
              <w:rPr>
                <w:sz w:val="22"/>
                <w:szCs w:val="22"/>
              </w:rPr>
            </w:pPr>
          </w:p>
        </w:tc>
        <w:tc>
          <w:tcPr>
            <w:tcW w:w="825" w:type="pct"/>
          </w:tcPr>
          <w:p w:rsidR="00E21249" w:rsidRPr="00017FE6" w:rsidRDefault="00E21249" w:rsidP="00EB5B70">
            <w:pPr>
              <w:jc w:val="center"/>
              <w:rPr>
                <w:sz w:val="22"/>
                <w:szCs w:val="22"/>
              </w:rPr>
            </w:pPr>
          </w:p>
        </w:tc>
      </w:tr>
      <w:tr w:rsidR="00E21249" w:rsidRPr="00017FE6" w:rsidTr="00EB5B70">
        <w:trPr>
          <w:trHeight w:val="283"/>
        </w:trPr>
        <w:tc>
          <w:tcPr>
            <w:tcW w:w="1288" w:type="pct"/>
          </w:tcPr>
          <w:p w:rsidR="00E21249" w:rsidRPr="00017FE6" w:rsidRDefault="00E21249" w:rsidP="00EB5B70">
            <w:pPr>
              <w:jc w:val="center"/>
              <w:rPr>
                <w:sz w:val="22"/>
                <w:szCs w:val="22"/>
              </w:rPr>
            </w:pPr>
            <m:oMathPara>
              <m:oMath>
                <m:r>
                  <w:rPr>
                    <w:rFonts w:ascii="Cambria Math" w:hAnsi="Cambria Math"/>
                    <w:sz w:val="22"/>
                    <w:szCs w:val="22"/>
                  </w:rPr>
                  <m:t>d~N</m:t>
                </m:r>
                <m:d>
                  <m:dPr>
                    <m:ctrlPr>
                      <w:rPr>
                        <w:rFonts w:ascii="Cambria Math" w:hAnsi="Cambria Math"/>
                        <w:i/>
                        <w:sz w:val="22"/>
                        <w:szCs w:val="22"/>
                      </w:rPr>
                    </m:ctrlPr>
                  </m:dPr>
                  <m:e>
                    <m:r>
                      <w:rPr>
                        <w:rFonts w:ascii="Cambria Math" w:hAnsi="Cambria Math"/>
                        <w:sz w:val="22"/>
                        <w:szCs w:val="22"/>
                      </w:rPr>
                      <m:t>0, v</m:t>
                    </m:r>
                  </m:e>
                </m:d>
              </m:oMath>
            </m:oMathPara>
          </w:p>
          <w:p w:rsidR="00E21249" w:rsidRPr="00017FE6" w:rsidRDefault="00E21249" w:rsidP="00EB5B70">
            <w:pPr>
              <w:jc w:val="center"/>
              <w:rPr>
                <w:sz w:val="22"/>
                <w:szCs w:val="22"/>
              </w:rPr>
            </w:pPr>
            <m:oMathPara>
              <m:oMath>
                <m:r>
                  <w:rPr>
                    <w:rFonts w:ascii="Cambria Math" w:hAnsi="Cambria Math"/>
                    <w:sz w:val="22"/>
                    <w:szCs w:val="22"/>
                  </w:rPr>
                  <m:t>v~InvGamma</m:t>
                </m:r>
                <m:d>
                  <m:dPr>
                    <m:ctrlPr>
                      <w:rPr>
                        <w:rFonts w:ascii="Cambria Math" w:hAnsi="Cambria Math"/>
                        <w:i/>
                        <w:sz w:val="22"/>
                        <w:szCs w:val="22"/>
                      </w:rPr>
                    </m:ctrlPr>
                  </m:dPr>
                  <m:e>
                    <m:r>
                      <w:rPr>
                        <w:rFonts w:ascii="Cambria Math" w:hAnsi="Cambria Math"/>
                        <w:sz w:val="22"/>
                        <w:szCs w:val="22"/>
                      </w:rPr>
                      <m:t>3,1</m:t>
                    </m:r>
                  </m:e>
                </m:d>
              </m:oMath>
            </m:oMathPara>
          </w:p>
        </w:tc>
        <w:tc>
          <w:tcPr>
            <w:tcW w:w="383" w:type="pct"/>
          </w:tcPr>
          <w:p w:rsidR="00E21249" w:rsidRPr="00017FE6" w:rsidRDefault="00E21249" w:rsidP="00EB5B70">
            <w:pPr>
              <w:jc w:val="center"/>
              <w:rPr>
                <w:sz w:val="22"/>
                <w:szCs w:val="22"/>
              </w:rPr>
            </w:pPr>
            <w:r w:rsidRPr="00017FE6">
              <w:rPr>
                <w:sz w:val="22"/>
                <w:szCs w:val="22"/>
              </w:rPr>
              <w:t>0</w:t>
            </w:r>
          </w:p>
        </w:tc>
        <w:tc>
          <w:tcPr>
            <w:tcW w:w="601" w:type="pct"/>
          </w:tcPr>
          <w:p w:rsidR="00E21249" w:rsidRPr="00017FE6" w:rsidRDefault="00E21249" w:rsidP="00EB5B70">
            <w:pPr>
              <w:jc w:val="center"/>
              <w:rPr>
                <w:sz w:val="22"/>
                <w:szCs w:val="22"/>
              </w:rPr>
            </w:pPr>
            <w:r w:rsidRPr="00017FE6">
              <w:rPr>
                <w:sz w:val="22"/>
                <w:szCs w:val="22"/>
              </w:rPr>
              <w:t>-0.71</w:t>
            </w:r>
          </w:p>
        </w:tc>
        <w:tc>
          <w:tcPr>
            <w:tcW w:w="606" w:type="pct"/>
            <w:tcBorders>
              <w:right w:val="single" w:sz="4" w:space="0" w:color="auto"/>
            </w:tcBorders>
          </w:tcPr>
          <w:p w:rsidR="00E21249" w:rsidRPr="00017FE6" w:rsidRDefault="00E21249" w:rsidP="00EB5B70">
            <w:pPr>
              <w:jc w:val="center"/>
              <w:rPr>
                <w:sz w:val="22"/>
                <w:szCs w:val="22"/>
              </w:rPr>
            </w:pPr>
            <w:r w:rsidRPr="00017FE6">
              <w:rPr>
                <w:sz w:val="22"/>
                <w:szCs w:val="22"/>
              </w:rPr>
              <w:t>0.71</w:t>
            </w:r>
          </w:p>
        </w:tc>
        <w:tc>
          <w:tcPr>
            <w:tcW w:w="454" w:type="pct"/>
            <w:tcBorders>
              <w:left w:val="single" w:sz="4" w:space="0" w:color="auto"/>
            </w:tcBorders>
          </w:tcPr>
          <w:p w:rsidR="00E21249" w:rsidRPr="00017FE6" w:rsidRDefault="00E21249" w:rsidP="00EB5B70">
            <w:pPr>
              <w:jc w:val="center"/>
              <w:rPr>
                <w:sz w:val="22"/>
                <w:szCs w:val="22"/>
              </w:rPr>
            </w:pPr>
            <w:r w:rsidRPr="00017FE6">
              <w:rPr>
                <w:sz w:val="22"/>
                <w:szCs w:val="22"/>
              </w:rPr>
              <w:t>-</w:t>
            </w:r>
          </w:p>
        </w:tc>
        <w:tc>
          <w:tcPr>
            <w:tcW w:w="843" w:type="pct"/>
          </w:tcPr>
          <w:p w:rsidR="00E21249" w:rsidRPr="00017FE6" w:rsidRDefault="00E21249" w:rsidP="00EB5B70">
            <w:pPr>
              <w:jc w:val="center"/>
              <w:rPr>
                <w:sz w:val="22"/>
                <w:szCs w:val="22"/>
              </w:rPr>
            </w:pPr>
            <w:r w:rsidRPr="00017FE6">
              <w:rPr>
                <w:sz w:val="22"/>
                <w:szCs w:val="22"/>
              </w:rPr>
              <w:t>-</w:t>
            </w:r>
          </w:p>
        </w:tc>
        <w:tc>
          <w:tcPr>
            <w:tcW w:w="825" w:type="pct"/>
          </w:tcPr>
          <w:p w:rsidR="00E21249" w:rsidRPr="00017FE6" w:rsidRDefault="00E21249" w:rsidP="00EB5B70">
            <w:pPr>
              <w:jc w:val="center"/>
              <w:rPr>
                <w:sz w:val="22"/>
                <w:szCs w:val="22"/>
              </w:rPr>
            </w:pPr>
            <w:r w:rsidRPr="00017FE6">
              <w:rPr>
                <w:sz w:val="22"/>
                <w:szCs w:val="22"/>
              </w:rPr>
              <w:t>-</w:t>
            </w:r>
          </w:p>
        </w:tc>
      </w:tr>
      <w:tr w:rsidR="00E21249" w:rsidRPr="00017FE6" w:rsidTr="00EB5B70">
        <w:trPr>
          <w:trHeight w:val="283"/>
        </w:trPr>
        <w:tc>
          <w:tcPr>
            <w:tcW w:w="1288" w:type="pct"/>
          </w:tcPr>
          <w:p w:rsidR="00E21249" w:rsidRPr="00017FE6" w:rsidRDefault="00E21249" w:rsidP="00EB5B70">
            <w:pPr>
              <w:rPr>
                <w:b/>
                <w:sz w:val="22"/>
                <w:szCs w:val="22"/>
              </w:rPr>
            </w:pPr>
            <w:r w:rsidRPr="00017FE6">
              <w:rPr>
                <w:b/>
                <w:sz w:val="22"/>
                <w:szCs w:val="22"/>
              </w:rPr>
              <w:t>HIV +</w:t>
            </w:r>
          </w:p>
        </w:tc>
        <w:tc>
          <w:tcPr>
            <w:tcW w:w="383" w:type="pct"/>
          </w:tcPr>
          <w:p w:rsidR="00E21249" w:rsidRPr="00017FE6" w:rsidRDefault="00E21249" w:rsidP="00EB5B70">
            <w:pPr>
              <w:jc w:val="center"/>
              <w:rPr>
                <w:sz w:val="22"/>
                <w:szCs w:val="22"/>
              </w:rPr>
            </w:pPr>
          </w:p>
        </w:tc>
        <w:tc>
          <w:tcPr>
            <w:tcW w:w="601" w:type="pct"/>
          </w:tcPr>
          <w:p w:rsidR="00E21249" w:rsidRPr="00017FE6" w:rsidRDefault="00E21249" w:rsidP="00EB5B70">
            <w:pPr>
              <w:jc w:val="center"/>
              <w:rPr>
                <w:sz w:val="22"/>
                <w:szCs w:val="22"/>
              </w:rPr>
            </w:pPr>
          </w:p>
        </w:tc>
        <w:tc>
          <w:tcPr>
            <w:tcW w:w="606" w:type="pct"/>
            <w:tcBorders>
              <w:right w:val="single" w:sz="4" w:space="0" w:color="auto"/>
            </w:tcBorders>
          </w:tcPr>
          <w:p w:rsidR="00E21249" w:rsidRPr="00017FE6" w:rsidRDefault="00E21249" w:rsidP="00EB5B70">
            <w:pPr>
              <w:jc w:val="center"/>
              <w:rPr>
                <w:sz w:val="22"/>
                <w:szCs w:val="22"/>
              </w:rPr>
            </w:pPr>
          </w:p>
        </w:tc>
        <w:tc>
          <w:tcPr>
            <w:tcW w:w="454" w:type="pct"/>
            <w:tcBorders>
              <w:left w:val="single" w:sz="4" w:space="0" w:color="auto"/>
            </w:tcBorders>
          </w:tcPr>
          <w:p w:rsidR="00E21249" w:rsidRPr="00017FE6" w:rsidRDefault="00E21249" w:rsidP="00EB5B70">
            <w:pPr>
              <w:jc w:val="center"/>
              <w:rPr>
                <w:sz w:val="22"/>
                <w:szCs w:val="22"/>
              </w:rPr>
            </w:pPr>
          </w:p>
        </w:tc>
        <w:tc>
          <w:tcPr>
            <w:tcW w:w="843" w:type="pct"/>
          </w:tcPr>
          <w:p w:rsidR="00E21249" w:rsidRPr="00017FE6" w:rsidRDefault="00E21249" w:rsidP="00EB5B70">
            <w:pPr>
              <w:jc w:val="center"/>
              <w:rPr>
                <w:sz w:val="22"/>
                <w:szCs w:val="22"/>
              </w:rPr>
            </w:pPr>
          </w:p>
        </w:tc>
        <w:tc>
          <w:tcPr>
            <w:tcW w:w="825" w:type="pct"/>
          </w:tcPr>
          <w:p w:rsidR="00E21249" w:rsidRPr="00017FE6" w:rsidRDefault="00E21249" w:rsidP="00EB5B70">
            <w:pPr>
              <w:jc w:val="center"/>
              <w:rPr>
                <w:sz w:val="22"/>
                <w:szCs w:val="22"/>
              </w:rPr>
            </w:pPr>
          </w:p>
        </w:tc>
      </w:tr>
      <w:tr w:rsidR="00E21249" w:rsidRPr="00017FE6" w:rsidTr="00EB5B70">
        <w:trPr>
          <w:trHeight w:val="283"/>
        </w:trPr>
        <w:tc>
          <w:tcPr>
            <w:tcW w:w="1288" w:type="pct"/>
            <w:tcBorders>
              <w:bottom w:val="single" w:sz="4" w:space="0" w:color="auto"/>
            </w:tcBorders>
          </w:tcPr>
          <w:p w:rsidR="00E21249" w:rsidRPr="00017FE6" w:rsidRDefault="00E21249" w:rsidP="00EB5B70">
            <w:pPr>
              <w:jc w:val="center"/>
              <w:rPr>
                <w:sz w:val="22"/>
                <w:szCs w:val="22"/>
              </w:rPr>
            </w:pPr>
            <m:oMathPara>
              <m:oMath>
                <m:r>
                  <w:rPr>
                    <w:rFonts w:ascii="Cambria Math" w:hAnsi="Cambria Math"/>
                    <w:sz w:val="22"/>
                    <w:szCs w:val="22"/>
                  </w:rPr>
                  <m:t>b~N</m:t>
                </m:r>
                <m:d>
                  <m:dPr>
                    <m:ctrlPr>
                      <w:rPr>
                        <w:rFonts w:ascii="Cambria Math" w:hAnsi="Cambria Math"/>
                        <w:i/>
                        <w:sz w:val="22"/>
                        <w:szCs w:val="22"/>
                      </w:rPr>
                    </m:ctrlPr>
                  </m:dPr>
                  <m:e>
                    <m:r>
                      <w:rPr>
                        <w:rFonts w:ascii="Cambria Math" w:hAnsi="Cambria Math"/>
                        <w:sz w:val="22"/>
                        <w:szCs w:val="22"/>
                      </w:rPr>
                      <m:t>a+d, u</m:t>
                    </m:r>
                  </m:e>
                </m:d>
              </m:oMath>
            </m:oMathPara>
          </w:p>
          <w:p w:rsidR="00E21249" w:rsidRPr="00017FE6" w:rsidRDefault="00E21249" w:rsidP="00EB5B70">
            <w:pPr>
              <w:jc w:val="center"/>
              <w:rPr>
                <w:sz w:val="22"/>
                <w:szCs w:val="22"/>
              </w:rPr>
            </w:pPr>
            <m:oMathPara>
              <m:oMath>
                <m:r>
                  <w:rPr>
                    <w:rFonts w:ascii="Cambria Math" w:hAnsi="Cambria Math"/>
                    <w:sz w:val="22"/>
                    <w:szCs w:val="22"/>
                  </w:rPr>
                  <m:t>u~InvGamma</m:t>
                </m:r>
                <m:d>
                  <m:dPr>
                    <m:ctrlPr>
                      <w:rPr>
                        <w:rFonts w:ascii="Cambria Math" w:hAnsi="Cambria Math"/>
                        <w:i/>
                        <w:sz w:val="22"/>
                        <w:szCs w:val="22"/>
                      </w:rPr>
                    </m:ctrlPr>
                  </m:dPr>
                  <m:e>
                    <m:r>
                      <w:rPr>
                        <w:rFonts w:ascii="Cambria Math" w:hAnsi="Cambria Math"/>
                        <w:sz w:val="22"/>
                        <w:szCs w:val="22"/>
                      </w:rPr>
                      <m:t>2,3</m:t>
                    </m:r>
                  </m:e>
                </m:d>
                <m:r>
                  <w:rPr>
                    <w:rFonts w:ascii="Cambria Math" w:hAnsi="Cambria Math"/>
                    <w:sz w:val="22"/>
                    <w:szCs w:val="22"/>
                  </w:rPr>
                  <m:t>+InvGamma</m:t>
                </m:r>
                <m:d>
                  <m:dPr>
                    <m:ctrlPr>
                      <w:rPr>
                        <w:rFonts w:ascii="Cambria Math" w:hAnsi="Cambria Math"/>
                        <w:i/>
                        <w:sz w:val="22"/>
                        <w:szCs w:val="22"/>
                      </w:rPr>
                    </m:ctrlPr>
                  </m:dPr>
                  <m:e>
                    <m:r>
                      <w:rPr>
                        <w:rFonts w:ascii="Cambria Math" w:hAnsi="Cambria Math"/>
                        <w:sz w:val="22"/>
                        <w:szCs w:val="22"/>
                      </w:rPr>
                      <m:t>3,1</m:t>
                    </m:r>
                  </m:e>
                </m:d>
              </m:oMath>
            </m:oMathPara>
          </w:p>
        </w:tc>
        <w:tc>
          <w:tcPr>
            <w:tcW w:w="383" w:type="pct"/>
            <w:tcBorders>
              <w:bottom w:val="single" w:sz="4" w:space="0" w:color="auto"/>
            </w:tcBorders>
          </w:tcPr>
          <w:p w:rsidR="00E21249" w:rsidRPr="00017FE6" w:rsidRDefault="00E21249" w:rsidP="00EB5B70">
            <w:pPr>
              <w:jc w:val="center"/>
              <w:rPr>
                <w:sz w:val="22"/>
                <w:szCs w:val="22"/>
              </w:rPr>
            </w:pPr>
            <w:r w:rsidRPr="00017FE6">
              <w:rPr>
                <w:sz w:val="22"/>
                <w:szCs w:val="22"/>
              </w:rPr>
              <w:t>-1</w:t>
            </w:r>
          </w:p>
        </w:tc>
        <w:tc>
          <w:tcPr>
            <w:tcW w:w="601" w:type="pct"/>
            <w:tcBorders>
              <w:bottom w:val="single" w:sz="4" w:space="0" w:color="auto"/>
            </w:tcBorders>
          </w:tcPr>
          <w:p w:rsidR="00E21249" w:rsidRPr="00017FE6" w:rsidRDefault="00E21249" w:rsidP="00EB5B70">
            <w:pPr>
              <w:jc w:val="center"/>
              <w:rPr>
                <w:sz w:val="22"/>
                <w:szCs w:val="22"/>
              </w:rPr>
            </w:pPr>
            <w:r w:rsidRPr="00017FE6">
              <w:rPr>
                <w:sz w:val="22"/>
                <w:szCs w:val="22"/>
              </w:rPr>
              <w:t>-2.87</w:t>
            </w:r>
          </w:p>
        </w:tc>
        <w:tc>
          <w:tcPr>
            <w:tcW w:w="606" w:type="pct"/>
            <w:tcBorders>
              <w:bottom w:val="single" w:sz="4" w:space="0" w:color="auto"/>
              <w:right w:val="single" w:sz="4" w:space="0" w:color="auto"/>
            </w:tcBorders>
          </w:tcPr>
          <w:p w:rsidR="00E21249" w:rsidRPr="00017FE6" w:rsidRDefault="00E21249" w:rsidP="00EB5B70">
            <w:pPr>
              <w:jc w:val="center"/>
              <w:rPr>
                <w:sz w:val="22"/>
                <w:szCs w:val="22"/>
              </w:rPr>
            </w:pPr>
            <w:r w:rsidRPr="00017FE6">
              <w:rPr>
                <w:sz w:val="22"/>
                <w:szCs w:val="22"/>
              </w:rPr>
              <w:t>0.87</w:t>
            </w:r>
          </w:p>
        </w:tc>
        <w:tc>
          <w:tcPr>
            <w:tcW w:w="454" w:type="pct"/>
            <w:tcBorders>
              <w:left w:val="single" w:sz="4" w:space="0" w:color="auto"/>
              <w:bottom w:val="single" w:sz="4" w:space="0" w:color="auto"/>
            </w:tcBorders>
          </w:tcPr>
          <w:p w:rsidR="00E21249" w:rsidRPr="00017FE6" w:rsidRDefault="00E21249" w:rsidP="00EB5B70">
            <w:pPr>
              <w:jc w:val="center"/>
              <w:rPr>
                <w:sz w:val="22"/>
                <w:szCs w:val="22"/>
              </w:rPr>
            </w:pPr>
            <w:r>
              <w:rPr>
                <w:sz w:val="22"/>
                <w:szCs w:val="22"/>
              </w:rPr>
              <w:t>15.9</w:t>
            </w:r>
            <w:r w:rsidRPr="00017FE6">
              <w:rPr>
                <w:sz w:val="22"/>
                <w:szCs w:val="22"/>
              </w:rPr>
              <w:t>%</w:t>
            </w:r>
          </w:p>
        </w:tc>
        <w:tc>
          <w:tcPr>
            <w:tcW w:w="843" w:type="pct"/>
            <w:tcBorders>
              <w:bottom w:val="single" w:sz="4" w:space="0" w:color="auto"/>
            </w:tcBorders>
          </w:tcPr>
          <w:p w:rsidR="00E21249" w:rsidRPr="00017FE6" w:rsidRDefault="00E21249" w:rsidP="00EB5B70">
            <w:pPr>
              <w:jc w:val="center"/>
              <w:rPr>
                <w:sz w:val="22"/>
                <w:szCs w:val="22"/>
              </w:rPr>
            </w:pPr>
            <w:r>
              <w:rPr>
                <w:sz w:val="22"/>
                <w:szCs w:val="22"/>
              </w:rPr>
              <w:t>0.2</w:t>
            </w:r>
            <w:r w:rsidRPr="00017FE6">
              <w:rPr>
                <w:sz w:val="22"/>
                <w:szCs w:val="22"/>
              </w:rPr>
              <w:t>%</w:t>
            </w:r>
          </w:p>
        </w:tc>
        <w:tc>
          <w:tcPr>
            <w:tcW w:w="825" w:type="pct"/>
            <w:tcBorders>
              <w:bottom w:val="single" w:sz="4" w:space="0" w:color="auto"/>
            </w:tcBorders>
          </w:tcPr>
          <w:p w:rsidR="00E21249" w:rsidRPr="00017FE6" w:rsidRDefault="00E21249" w:rsidP="00EB5B70">
            <w:pPr>
              <w:jc w:val="center"/>
              <w:rPr>
                <w:sz w:val="22"/>
                <w:szCs w:val="22"/>
              </w:rPr>
            </w:pPr>
            <w:r>
              <w:rPr>
                <w:sz w:val="22"/>
                <w:szCs w:val="22"/>
              </w:rPr>
              <w:t>80.8</w:t>
            </w:r>
            <w:r w:rsidRPr="00017FE6">
              <w:rPr>
                <w:sz w:val="22"/>
                <w:szCs w:val="22"/>
              </w:rPr>
              <w:t>%</w:t>
            </w:r>
          </w:p>
        </w:tc>
      </w:tr>
      <w:tr w:rsidR="00E21249" w:rsidRPr="00017FE6" w:rsidTr="00EB5B70">
        <w:trPr>
          <w:trHeight w:val="283"/>
        </w:trPr>
        <w:tc>
          <w:tcPr>
            <w:tcW w:w="1288" w:type="pct"/>
            <w:tcBorders>
              <w:top w:val="single" w:sz="4" w:space="0" w:color="auto"/>
              <w:bottom w:val="single" w:sz="4" w:space="0" w:color="auto"/>
            </w:tcBorders>
          </w:tcPr>
          <w:p w:rsidR="00E21249" w:rsidRPr="00017FE6" w:rsidRDefault="00E21249" w:rsidP="00EB5B70">
            <w:pPr>
              <w:spacing w:before="120" w:after="120"/>
              <w:rPr>
                <w:b/>
                <w:sz w:val="22"/>
                <w:szCs w:val="22"/>
              </w:rPr>
            </w:pPr>
            <w:r w:rsidRPr="00017FE6">
              <w:rPr>
                <w:b/>
                <w:sz w:val="22"/>
                <w:szCs w:val="22"/>
              </w:rPr>
              <w:t>Sensitivity/Specificity</w:t>
            </w:r>
          </w:p>
        </w:tc>
        <w:tc>
          <w:tcPr>
            <w:tcW w:w="383" w:type="pct"/>
            <w:tcBorders>
              <w:top w:val="single" w:sz="4" w:space="0" w:color="auto"/>
              <w:bottom w:val="single" w:sz="4" w:space="0" w:color="auto"/>
            </w:tcBorders>
          </w:tcPr>
          <w:p w:rsidR="00E21249" w:rsidRPr="00017FE6" w:rsidRDefault="00E21249" w:rsidP="00EB5B70">
            <w:pPr>
              <w:spacing w:before="120" w:after="120"/>
              <w:jc w:val="center"/>
              <w:rPr>
                <w:sz w:val="22"/>
                <w:szCs w:val="22"/>
              </w:rPr>
            </w:pPr>
          </w:p>
        </w:tc>
        <w:tc>
          <w:tcPr>
            <w:tcW w:w="601" w:type="pct"/>
            <w:tcBorders>
              <w:top w:val="single" w:sz="4" w:space="0" w:color="auto"/>
              <w:bottom w:val="single" w:sz="4" w:space="0" w:color="auto"/>
            </w:tcBorders>
          </w:tcPr>
          <w:p w:rsidR="00E21249" w:rsidRPr="00017FE6" w:rsidRDefault="00E21249" w:rsidP="00EB5B70">
            <w:pPr>
              <w:spacing w:before="120" w:after="120"/>
              <w:jc w:val="center"/>
              <w:rPr>
                <w:sz w:val="22"/>
                <w:szCs w:val="22"/>
              </w:rPr>
            </w:pPr>
          </w:p>
        </w:tc>
        <w:tc>
          <w:tcPr>
            <w:tcW w:w="606" w:type="pct"/>
            <w:tcBorders>
              <w:top w:val="single" w:sz="4" w:space="0" w:color="auto"/>
              <w:bottom w:val="single" w:sz="4" w:space="0" w:color="auto"/>
              <w:right w:val="single" w:sz="4" w:space="0" w:color="auto"/>
            </w:tcBorders>
          </w:tcPr>
          <w:p w:rsidR="00E21249" w:rsidRPr="00017FE6" w:rsidRDefault="00E21249" w:rsidP="00EB5B70">
            <w:pPr>
              <w:spacing w:before="120" w:after="120"/>
              <w:jc w:val="center"/>
              <w:rPr>
                <w:sz w:val="22"/>
                <w:szCs w:val="22"/>
              </w:rPr>
            </w:pPr>
          </w:p>
        </w:tc>
        <w:tc>
          <w:tcPr>
            <w:tcW w:w="454" w:type="pct"/>
            <w:tcBorders>
              <w:top w:val="single" w:sz="4" w:space="0" w:color="auto"/>
              <w:left w:val="single" w:sz="4" w:space="0" w:color="auto"/>
              <w:bottom w:val="single" w:sz="4" w:space="0" w:color="auto"/>
            </w:tcBorders>
          </w:tcPr>
          <w:p w:rsidR="00E21249" w:rsidRPr="00017FE6" w:rsidRDefault="00E21249" w:rsidP="00EB5B70">
            <w:pPr>
              <w:spacing w:before="120" w:after="120"/>
              <w:jc w:val="center"/>
              <w:rPr>
                <w:sz w:val="22"/>
                <w:szCs w:val="22"/>
              </w:rPr>
            </w:pPr>
          </w:p>
        </w:tc>
        <w:tc>
          <w:tcPr>
            <w:tcW w:w="843" w:type="pct"/>
            <w:tcBorders>
              <w:top w:val="single" w:sz="4" w:space="0" w:color="auto"/>
              <w:bottom w:val="single" w:sz="4" w:space="0" w:color="auto"/>
            </w:tcBorders>
          </w:tcPr>
          <w:p w:rsidR="00E21249" w:rsidRPr="00017FE6" w:rsidRDefault="00E21249" w:rsidP="00EB5B70">
            <w:pPr>
              <w:spacing w:before="120" w:after="120"/>
              <w:jc w:val="center"/>
              <w:rPr>
                <w:sz w:val="22"/>
                <w:szCs w:val="22"/>
              </w:rPr>
            </w:pPr>
          </w:p>
        </w:tc>
        <w:tc>
          <w:tcPr>
            <w:tcW w:w="825" w:type="pct"/>
            <w:tcBorders>
              <w:top w:val="single" w:sz="4" w:space="0" w:color="auto"/>
              <w:bottom w:val="single" w:sz="4" w:space="0" w:color="auto"/>
            </w:tcBorders>
          </w:tcPr>
          <w:p w:rsidR="00E21249" w:rsidRPr="00017FE6" w:rsidRDefault="00E21249" w:rsidP="00EB5B70">
            <w:pPr>
              <w:spacing w:before="120" w:after="120"/>
              <w:jc w:val="center"/>
              <w:rPr>
                <w:sz w:val="22"/>
                <w:szCs w:val="22"/>
              </w:rPr>
            </w:pPr>
          </w:p>
        </w:tc>
      </w:tr>
      <w:tr w:rsidR="00E21249" w:rsidRPr="00017FE6" w:rsidTr="00EB5B70">
        <w:trPr>
          <w:trHeight w:val="283"/>
        </w:trPr>
        <w:tc>
          <w:tcPr>
            <w:tcW w:w="1288" w:type="pct"/>
            <w:tcBorders>
              <w:top w:val="single" w:sz="4" w:space="0" w:color="auto"/>
            </w:tcBorders>
          </w:tcPr>
          <w:p w:rsidR="00E21249" w:rsidRPr="00017FE6" w:rsidRDefault="00E21249" w:rsidP="00EB5B70">
            <w:pPr>
              <w:rPr>
                <w:b/>
                <w:sz w:val="22"/>
                <w:szCs w:val="22"/>
              </w:rPr>
            </w:pPr>
            <w:r w:rsidRPr="00017FE6">
              <w:rPr>
                <w:b/>
                <w:sz w:val="22"/>
                <w:szCs w:val="22"/>
              </w:rPr>
              <w:t>Overall/HIV-</w:t>
            </w:r>
          </w:p>
        </w:tc>
        <w:tc>
          <w:tcPr>
            <w:tcW w:w="383" w:type="pct"/>
            <w:tcBorders>
              <w:top w:val="single" w:sz="4" w:space="0" w:color="auto"/>
            </w:tcBorders>
          </w:tcPr>
          <w:p w:rsidR="00E21249" w:rsidRPr="00017FE6" w:rsidRDefault="00E21249" w:rsidP="00EB5B70">
            <w:pPr>
              <w:jc w:val="center"/>
              <w:rPr>
                <w:sz w:val="22"/>
                <w:szCs w:val="22"/>
              </w:rPr>
            </w:pPr>
          </w:p>
        </w:tc>
        <w:tc>
          <w:tcPr>
            <w:tcW w:w="601" w:type="pct"/>
            <w:tcBorders>
              <w:top w:val="single" w:sz="4" w:space="0" w:color="auto"/>
            </w:tcBorders>
          </w:tcPr>
          <w:p w:rsidR="00E21249" w:rsidRPr="00017FE6" w:rsidRDefault="00E21249" w:rsidP="00EB5B70">
            <w:pPr>
              <w:jc w:val="center"/>
              <w:rPr>
                <w:sz w:val="22"/>
                <w:szCs w:val="22"/>
              </w:rPr>
            </w:pPr>
          </w:p>
        </w:tc>
        <w:tc>
          <w:tcPr>
            <w:tcW w:w="606" w:type="pct"/>
            <w:tcBorders>
              <w:top w:val="single" w:sz="4" w:space="0" w:color="auto"/>
              <w:right w:val="single" w:sz="4" w:space="0" w:color="auto"/>
            </w:tcBorders>
          </w:tcPr>
          <w:p w:rsidR="00E21249" w:rsidRPr="00017FE6" w:rsidRDefault="00E21249" w:rsidP="00EB5B70">
            <w:pPr>
              <w:jc w:val="center"/>
              <w:rPr>
                <w:sz w:val="22"/>
                <w:szCs w:val="22"/>
              </w:rPr>
            </w:pPr>
          </w:p>
        </w:tc>
        <w:tc>
          <w:tcPr>
            <w:tcW w:w="454" w:type="pct"/>
            <w:tcBorders>
              <w:top w:val="single" w:sz="4" w:space="0" w:color="auto"/>
              <w:left w:val="single" w:sz="4" w:space="0" w:color="auto"/>
            </w:tcBorders>
          </w:tcPr>
          <w:p w:rsidR="00E21249" w:rsidRPr="00017FE6" w:rsidRDefault="00E21249" w:rsidP="00EB5B70">
            <w:pPr>
              <w:jc w:val="center"/>
              <w:rPr>
                <w:sz w:val="22"/>
                <w:szCs w:val="22"/>
              </w:rPr>
            </w:pPr>
          </w:p>
        </w:tc>
        <w:tc>
          <w:tcPr>
            <w:tcW w:w="843" w:type="pct"/>
            <w:tcBorders>
              <w:top w:val="single" w:sz="4" w:space="0" w:color="auto"/>
            </w:tcBorders>
          </w:tcPr>
          <w:p w:rsidR="00E21249" w:rsidRPr="00017FE6" w:rsidRDefault="00E21249" w:rsidP="00EB5B70">
            <w:pPr>
              <w:jc w:val="center"/>
              <w:rPr>
                <w:sz w:val="22"/>
                <w:szCs w:val="22"/>
              </w:rPr>
            </w:pPr>
          </w:p>
        </w:tc>
        <w:tc>
          <w:tcPr>
            <w:tcW w:w="825" w:type="pct"/>
            <w:tcBorders>
              <w:top w:val="single" w:sz="4" w:space="0" w:color="auto"/>
            </w:tcBorders>
          </w:tcPr>
          <w:p w:rsidR="00E21249" w:rsidRPr="00017FE6" w:rsidRDefault="00E21249" w:rsidP="00EB5B70">
            <w:pPr>
              <w:jc w:val="center"/>
              <w:rPr>
                <w:sz w:val="22"/>
                <w:szCs w:val="22"/>
              </w:rPr>
            </w:pPr>
          </w:p>
        </w:tc>
      </w:tr>
      <w:tr w:rsidR="00E21249" w:rsidRPr="00017FE6" w:rsidTr="00EB5B70">
        <w:trPr>
          <w:trHeight w:val="283"/>
        </w:trPr>
        <w:tc>
          <w:tcPr>
            <w:tcW w:w="1288" w:type="pct"/>
          </w:tcPr>
          <w:p w:rsidR="00E21249" w:rsidRPr="00017FE6" w:rsidRDefault="00E21249" w:rsidP="00EB5B70">
            <w:pPr>
              <w:jc w:val="center"/>
              <w:rPr>
                <w:sz w:val="22"/>
                <w:szCs w:val="22"/>
              </w:rPr>
            </w:pPr>
            <m:oMathPara>
              <m:oMath>
                <m:r>
                  <w:rPr>
                    <w:rFonts w:ascii="Cambria Math" w:hAnsi="Cambria Math"/>
                    <w:sz w:val="22"/>
                    <w:szCs w:val="22"/>
                  </w:rPr>
                  <m:t>a~N</m:t>
                </m:r>
                <m:d>
                  <m:dPr>
                    <m:ctrlPr>
                      <w:rPr>
                        <w:rFonts w:ascii="Cambria Math" w:hAnsi="Cambria Math"/>
                        <w:i/>
                        <w:sz w:val="22"/>
                        <w:szCs w:val="22"/>
                      </w:rPr>
                    </m:ctrlPr>
                  </m:dPr>
                  <m:e>
                    <m:r>
                      <w:rPr>
                        <w:rFonts w:ascii="Cambria Math" w:hAnsi="Cambria Math"/>
                        <w:sz w:val="22"/>
                        <w:szCs w:val="22"/>
                      </w:rPr>
                      <m:t>-1, s</m:t>
                    </m:r>
                  </m:e>
                </m:d>
              </m:oMath>
            </m:oMathPara>
          </w:p>
          <w:p w:rsidR="00E21249" w:rsidRPr="00017FE6" w:rsidRDefault="00E21249" w:rsidP="00EB5B70">
            <w:pPr>
              <w:jc w:val="center"/>
              <w:rPr>
                <w:sz w:val="22"/>
                <w:szCs w:val="22"/>
              </w:rPr>
            </w:pPr>
            <m:oMathPara>
              <m:oMath>
                <m:r>
                  <w:rPr>
                    <w:rFonts w:ascii="Cambria Math" w:hAnsi="Cambria Math"/>
                    <w:sz w:val="22"/>
                    <w:szCs w:val="22"/>
                  </w:rPr>
                  <m:t>s~InvGamma</m:t>
                </m:r>
                <m:d>
                  <m:dPr>
                    <m:ctrlPr>
                      <w:rPr>
                        <w:rFonts w:ascii="Cambria Math" w:hAnsi="Cambria Math"/>
                        <w:i/>
                        <w:sz w:val="22"/>
                        <w:szCs w:val="22"/>
                      </w:rPr>
                    </m:ctrlPr>
                  </m:dPr>
                  <m:e>
                    <m:r>
                      <w:rPr>
                        <w:rFonts w:ascii="Cambria Math" w:hAnsi="Cambria Math"/>
                        <w:sz w:val="22"/>
                        <w:szCs w:val="22"/>
                      </w:rPr>
                      <m:t>2,3</m:t>
                    </m:r>
                  </m:e>
                </m:d>
              </m:oMath>
            </m:oMathPara>
          </w:p>
        </w:tc>
        <w:tc>
          <w:tcPr>
            <w:tcW w:w="383" w:type="pct"/>
          </w:tcPr>
          <w:p w:rsidR="00E21249" w:rsidRPr="00017FE6" w:rsidRDefault="00E21249" w:rsidP="00EB5B70">
            <w:pPr>
              <w:jc w:val="center"/>
              <w:rPr>
                <w:sz w:val="22"/>
                <w:szCs w:val="22"/>
              </w:rPr>
            </w:pPr>
            <w:r w:rsidRPr="00017FE6">
              <w:rPr>
                <w:sz w:val="22"/>
                <w:szCs w:val="22"/>
              </w:rPr>
              <w:t>1</w:t>
            </w:r>
          </w:p>
        </w:tc>
        <w:tc>
          <w:tcPr>
            <w:tcW w:w="601" w:type="pct"/>
          </w:tcPr>
          <w:p w:rsidR="00E21249" w:rsidRPr="00017FE6" w:rsidRDefault="00E21249" w:rsidP="00EB5B70">
            <w:pPr>
              <w:jc w:val="center"/>
              <w:rPr>
                <w:sz w:val="22"/>
                <w:szCs w:val="22"/>
              </w:rPr>
            </w:pPr>
            <w:r w:rsidRPr="00017FE6">
              <w:rPr>
                <w:sz w:val="22"/>
                <w:szCs w:val="22"/>
              </w:rPr>
              <w:t>-0.73</w:t>
            </w:r>
          </w:p>
        </w:tc>
        <w:tc>
          <w:tcPr>
            <w:tcW w:w="606" w:type="pct"/>
            <w:tcBorders>
              <w:right w:val="single" w:sz="4" w:space="0" w:color="auto"/>
            </w:tcBorders>
          </w:tcPr>
          <w:p w:rsidR="00E21249" w:rsidRPr="00017FE6" w:rsidRDefault="00E21249" w:rsidP="00EB5B70">
            <w:pPr>
              <w:jc w:val="center"/>
              <w:rPr>
                <w:sz w:val="22"/>
                <w:szCs w:val="22"/>
              </w:rPr>
            </w:pPr>
            <w:r w:rsidRPr="00017FE6">
              <w:rPr>
                <w:sz w:val="22"/>
                <w:szCs w:val="22"/>
              </w:rPr>
              <w:t>2.73</w:t>
            </w:r>
          </w:p>
        </w:tc>
        <w:tc>
          <w:tcPr>
            <w:tcW w:w="454" w:type="pct"/>
            <w:tcBorders>
              <w:left w:val="single" w:sz="4" w:space="0" w:color="auto"/>
            </w:tcBorders>
          </w:tcPr>
          <w:p w:rsidR="00E21249" w:rsidRPr="00017FE6" w:rsidRDefault="00E21249" w:rsidP="00EB5B70">
            <w:pPr>
              <w:jc w:val="center"/>
              <w:rPr>
                <w:sz w:val="22"/>
                <w:szCs w:val="22"/>
              </w:rPr>
            </w:pPr>
            <w:r w:rsidRPr="00017FE6">
              <w:rPr>
                <w:sz w:val="22"/>
                <w:szCs w:val="22"/>
              </w:rPr>
              <w:t>84</w:t>
            </w:r>
            <w:r>
              <w:rPr>
                <w:sz w:val="22"/>
                <w:szCs w:val="22"/>
              </w:rPr>
              <w:t>.1</w:t>
            </w:r>
            <w:r w:rsidRPr="00017FE6">
              <w:rPr>
                <w:sz w:val="22"/>
                <w:szCs w:val="22"/>
              </w:rPr>
              <w:t>%</w:t>
            </w:r>
          </w:p>
        </w:tc>
        <w:tc>
          <w:tcPr>
            <w:tcW w:w="843" w:type="pct"/>
          </w:tcPr>
          <w:p w:rsidR="00E21249" w:rsidRPr="00017FE6" w:rsidRDefault="00E21249" w:rsidP="00EB5B70">
            <w:pPr>
              <w:jc w:val="center"/>
              <w:rPr>
                <w:sz w:val="22"/>
                <w:szCs w:val="22"/>
              </w:rPr>
            </w:pPr>
            <w:r w:rsidRPr="00017FE6">
              <w:rPr>
                <w:sz w:val="22"/>
                <w:szCs w:val="22"/>
              </w:rPr>
              <w:t>23</w:t>
            </w:r>
            <w:r>
              <w:rPr>
                <w:sz w:val="22"/>
                <w:szCs w:val="22"/>
              </w:rPr>
              <w:t>.3</w:t>
            </w:r>
            <w:r w:rsidRPr="00017FE6">
              <w:rPr>
                <w:sz w:val="22"/>
                <w:szCs w:val="22"/>
              </w:rPr>
              <w:t>%</w:t>
            </w:r>
          </w:p>
        </w:tc>
        <w:tc>
          <w:tcPr>
            <w:tcW w:w="825" w:type="pct"/>
          </w:tcPr>
          <w:p w:rsidR="00E21249" w:rsidRPr="00017FE6" w:rsidRDefault="00E21249" w:rsidP="00EB5B70">
            <w:pPr>
              <w:jc w:val="center"/>
              <w:rPr>
                <w:sz w:val="22"/>
                <w:szCs w:val="22"/>
              </w:rPr>
            </w:pPr>
            <w:r>
              <w:rPr>
                <w:sz w:val="22"/>
                <w:szCs w:val="22"/>
              </w:rPr>
              <w:t>99.7</w:t>
            </w:r>
            <w:r w:rsidRPr="00017FE6">
              <w:rPr>
                <w:sz w:val="22"/>
                <w:szCs w:val="22"/>
              </w:rPr>
              <w:t>%</w:t>
            </w:r>
          </w:p>
        </w:tc>
      </w:tr>
      <w:tr w:rsidR="00E21249" w:rsidRPr="00017FE6" w:rsidTr="00EB5B70">
        <w:trPr>
          <w:trHeight w:val="283"/>
        </w:trPr>
        <w:tc>
          <w:tcPr>
            <w:tcW w:w="1288" w:type="pct"/>
          </w:tcPr>
          <w:p w:rsidR="00E21249" w:rsidRPr="00017FE6" w:rsidRDefault="00E21249" w:rsidP="00EB5B70">
            <w:pPr>
              <w:rPr>
                <w:b/>
                <w:sz w:val="22"/>
                <w:szCs w:val="22"/>
              </w:rPr>
            </w:pPr>
            <w:r w:rsidRPr="00017FE6">
              <w:rPr>
                <w:b/>
                <w:sz w:val="22"/>
                <w:szCs w:val="22"/>
              </w:rPr>
              <w:t>Difference</w:t>
            </w:r>
          </w:p>
        </w:tc>
        <w:tc>
          <w:tcPr>
            <w:tcW w:w="383" w:type="pct"/>
          </w:tcPr>
          <w:p w:rsidR="00E21249" w:rsidRPr="00017FE6" w:rsidRDefault="00E21249" w:rsidP="00EB5B70">
            <w:pPr>
              <w:jc w:val="center"/>
              <w:rPr>
                <w:sz w:val="22"/>
                <w:szCs w:val="22"/>
              </w:rPr>
            </w:pPr>
          </w:p>
        </w:tc>
        <w:tc>
          <w:tcPr>
            <w:tcW w:w="601" w:type="pct"/>
          </w:tcPr>
          <w:p w:rsidR="00E21249" w:rsidRPr="00017FE6" w:rsidRDefault="00E21249" w:rsidP="00EB5B70">
            <w:pPr>
              <w:jc w:val="center"/>
              <w:rPr>
                <w:sz w:val="22"/>
                <w:szCs w:val="22"/>
              </w:rPr>
            </w:pPr>
          </w:p>
        </w:tc>
        <w:tc>
          <w:tcPr>
            <w:tcW w:w="606" w:type="pct"/>
            <w:tcBorders>
              <w:right w:val="single" w:sz="4" w:space="0" w:color="auto"/>
            </w:tcBorders>
          </w:tcPr>
          <w:p w:rsidR="00E21249" w:rsidRPr="00017FE6" w:rsidRDefault="00E21249" w:rsidP="00EB5B70">
            <w:pPr>
              <w:jc w:val="center"/>
              <w:rPr>
                <w:sz w:val="22"/>
                <w:szCs w:val="22"/>
              </w:rPr>
            </w:pPr>
          </w:p>
        </w:tc>
        <w:tc>
          <w:tcPr>
            <w:tcW w:w="454" w:type="pct"/>
            <w:tcBorders>
              <w:left w:val="single" w:sz="4" w:space="0" w:color="auto"/>
            </w:tcBorders>
          </w:tcPr>
          <w:p w:rsidR="00E21249" w:rsidRPr="00017FE6" w:rsidRDefault="00E21249" w:rsidP="00EB5B70">
            <w:pPr>
              <w:jc w:val="center"/>
              <w:rPr>
                <w:sz w:val="22"/>
                <w:szCs w:val="22"/>
              </w:rPr>
            </w:pPr>
          </w:p>
        </w:tc>
        <w:tc>
          <w:tcPr>
            <w:tcW w:w="843" w:type="pct"/>
          </w:tcPr>
          <w:p w:rsidR="00E21249" w:rsidRPr="00017FE6" w:rsidRDefault="00E21249" w:rsidP="00EB5B70">
            <w:pPr>
              <w:jc w:val="center"/>
              <w:rPr>
                <w:sz w:val="22"/>
                <w:szCs w:val="22"/>
              </w:rPr>
            </w:pPr>
          </w:p>
        </w:tc>
        <w:tc>
          <w:tcPr>
            <w:tcW w:w="825" w:type="pct"/>
          </w:tcPr>
          <w:p w:rsidR="00E21249" w:rsidRPr="00017FE6" w:rsidRDefault="00E21249" w:rsidP="00EB5B70">
            <w:pPr>
              <w:jc w:val="center"/>
              <w:rPr>
                <w:sz w:val="22"/>
                <w:szCs w:val="22"/>
              </w:rPr>
            </w:pPr>
          </w:p>
        </w:tc>
      </w:tr>
      <w:tr w:rsidR="00E21249" w:rsidRPr="00017FE6" w:rsidTr="00EB5B70">
        <w:trPr>
          <w:trHeight w:val="283"/>
        </w:trPr>
        <w:tc>
          <w:tcPr>
            <w:tcW w:w="1288" w:type="pct"/>
          </w:tcPr>
          <w:p w:rsidR="00E21249" w:rsidRPr="00017FE6" w:rsidRDefault="00E21249" w:rsidP="00EB5B70">
            <w:pPr>
              <w:jc w:val="center"/>
              <w:rPr>
                <w:sz w:val="22"/>
                <w:szCs w:val="22"/>
              </w:rPr>
            </w:pPr>
            <m:oMathPara>
              <m:oMath>
                <m:r>
                  <w:rPr>
                    <w:rFonts w:ascii="Cambria Math" w:hAnsi="Cambria Math"/>
                    <w:sz w:val="22"/>
                    <w:szCs w:val="22"/>
                  </w:rPr>
                  <m:t>d~N</m:t>
                </m:r>
                <m:d>
                  <m:dPr>
                    <m:ctrlPr>
                      <w:rPr>
                        <w:rFonts w:ascii="Cambria Math" w:hAnsi="Cambria Math"/>
                        <w:i/>
                        <w:sz w:val="22"/>
                        <w:szCs w:val="22"/>
                      </w:rPr>
                    </m:ctrlPr>
                  </m:dPr>
                  <m:e>
                    <m:r>
                      <w:rPr>
                        <w:rFonts w:ascii="Cambria Math" w:hAnsi="Cambria Math"/>
                        <w:sz w:val="22"/>
                        <w:szCs w:val="22"/>
                      </w:rPr>
                      <m:t>0, v</m:t>
                    </m:r>
                  </m:e>
                </m:d>
              </m:oMath>
            </m:oMathPara>
          </w:p>
          <w:p w:rsidR="00E21249" w:rsidRPr="00017FE6" w:rsidRDefault="00E21249" w:rsidP="00EB5B70">
            <w:pPr>
              <w:jc w:val="center"/>
              <w:rPr>
                <w:sz w:val="22"/>
                <w:szCs w:val="22"/>
              </w:rPr>
            </w:pPr>
            <m:oMathPara>
              <m:oMath>
                <m:r>
                  <w:rPr>
                    <w:rFonts w:ascii="Cambria Math" w:hAnsi="Cambria Math"/>
                    <w:sz w:val="22"/>
                    <w:szCs w:val="22"/>
                  </w:rPr>
                  <m:t>v~InvGamma</m:t>
                </m:r>
                <m:d>
                  <m:dPr>
                    <m:ctrlPr>
                      <w:rPr>
                        <w:rFonts w:ascii="Cambria Math" w:hAnsi="Cambria Math"/>
                        <w:i/>
                        <w:sz w:val="22"/>
                        <w:szCs w:val="22"/>
                      </w:rPr>
                    </m:ctrlPr>
                  </m:dPr>
                  <m:e>
                    <m:r>
                      <w:rPr>
                        <w:rFonts w:ascii="Cambria Math" w:hAnsi="Cambria Math"/>
                        <w:sz w:val="22"/>
                        <w:szCs w:val="22"/>
                      </w:rPr>
                      <m:t>3,1</m:t>
                    </m:r>
                  </m:e>
                </m:d>
              </m:oMath>
            </m:oMathPara>
          </w:p>
        </w:tc>
        <w:tc>
          <w:tcPr>
            <w:tcW w:w="383" w:type="pct"/>
          </w:tcPr>
          <w:p w:rsidR="00E21249" w:rsidRPr="00017FE6" w:rsidRDefault="00E21249" w:rsidP="00EB5B70">
            <w:pPr>
              <w:jc w:val="center"/>
              <w:rPr>
                <w:sz w:val="22"/>
                <w:szCs w:val="22"/>
              </w:rPr>
            </w:pPr>
            <w:r w:rsidRPr="00017FE6">
              <w:rPr>
                <w:sz w:val="22"/>
                <w:szCs w:val="22"/>
              </w:rPr>
              <w:t>0</w:t>
            </w:r>
          </w:p>
        </w:tc>
        <w:tc>
          <w:tcPr>
            <w:tcW w:w="601" w:type="pct"/>
          </w:tcPr>
          <w:p w:rsidR="00E21249" w:rsidRPr="00017FE6" w:rsidRDefault="00E21249" w:rsidP="00EB5B70">
            <w:pPr>
              <w:jc w:val="center"/>
              <w:rPr>
                <w:sz w:val="22"/>
                <w:szCs w:val="22"/>
              </w:rPr>
            </w:pPr>
            <w:r w:rsidRPr="00017FE6">
              <w:rPr>
                <w:sz w:val="22"/>
                <w:szCs w:val="22"/>
              </w:rPr>
              <w:t>-0.71</w:t>
            </w:r>
          </w:p>
        </w:tc>
        <w:tc>
          <w:tcPr>
            <w:tcW w:w="606" w:type="pct"/>
            <w:tcBorders>
              <w:right w:val="single" w:sz="4" w:space="0" w:color="auto"/>
            </w:tcBorders>
          </w:tcPr>
          <w:p w:rsidR="00E21249" w:rsidRPr="00017FE6" w:rsidRDefault="00E21249" w:rsidP="00EB5B70">
            <w:pPr>
              <w:jc w:val="center"/>
              <w:rPr>
                <w:sz w:val="22"/>
                <w:szCs w:val="22"/>
              </w:rPr>
            </w:pPr>
            <w:r w:rsidRPr="00017FE6">
              <w:rPr>
                <w:sz w:val="22"/>
                <w:szCs w:val="22"/>
              </w:rPr>
              <w:t>0.71</w:t>
            </w:r>
          </w:p>
        </w:tc>
        <w:tc>
          <w:tcPr>
            <w:tcW w:w="454" w:type="pct"/>
            <w:tcBorders>
              <w:left w:val="single" w:sz="4" w:space="0" w:color="auto"/>
            </w:tcBorders>
          </w:tcPr>
          <w:p w:rsidR="00E21249" w:rsidRPr="00017FE6" w:rsidRDefault="00E21249" w:rsidP="00EB5B70">
            <w:pPr>
              <w:jc w:val="center"/>
              <w:rPr>
                <w:sz w:val="22"/>
                <w:szCs w:val="22"/>
              </w:rPr>
            </w:pPr>
            <w:r w:rsidRPr="00017FE6">
              <w:rPr>
                <w:sz w:val="22"/>
                <w:szCs w:val="22"/>
              </w:rPr>
              <w:t>-</w:t>
            </w:r>
          </w:p>
        </w:tc>
        <w:tc>
          <w:tcPr>
            <w:tcW w:w="843" w:type="pct"/>
          </w:tcPr>
          <w:p w:rsidR="00E21249" w:rsidRPr="00017FE6" w:rsidRDefault="00E21249" w:rsidP="00EB5B70">
            <w:pPr>
              <w:jc w:val="center"/>
              <w:rPr>
                <w:sz w:val="22"/>
                <w:szCs w:val="22"/>
              </w:rPr>
            </w:pPr>
            <w:r w:rsidRPr="00017FE6">
              <w:rPr>
                <w:sz w:val="22"/>
                <w:szCs w:val="22"/>
              </w:rPr>
              <w:t>-</w:t>
            </w:r>
          </w:p>
        </w:tc>
        <w:tc>
          <w:tcPr>
            <w:tcW w:w="825" w:type="pct"/>
          </w:tcPr>
          <w:p w:rsidR="00E21249" w:rsidRPr="00017FE6" w:rsidRDefault="00E21249" w:rsidP="00EB5B70">
            <w:pPr>
              <w:jc w:val="center"/>
              <w:rPr>
                <w:sz w:val="22"/>
                <w:szCs w:val="22"/>
              </w:rPr>
            </w:pPr>
            <w:r w:rsidRPr="00017FE6">
              <w:rPr>
                <w:sz w:val="22"/>
                <w:szCs w:val="22"/>
              </w:rPr>
              <w:t>-</w:t>
            </w:r>
          </w:p>
        </w:tc>
      </w:tr>
      <w:tr w:rsidR="00E21249" w:rsidRPr="00017FE6" w:rsidTr="00EB5B70">
        <w:trPr>
          <w:trHeight w:val="283"/>
        </w:trPr>
        <w:tc>
          <w:tcPr>
            <w:tcW w:w="1288" w:type="pct"/>
          </w:tcPr>
          <w:p w:rsidR="00E21249" w:rsidRPr="00017FE6" w:rsidRDefault="00E21249" w:rsidP="00EB5B70">
            <w:pPr>
              <w:rPr>
                <w:b/>
                <w:sz w:val="22"/>
                <w:szCs w:val="22"/>
              </w:rPr>
            </w:pPr>
            <w:r w:rsidRPr="00017FE6">
              <w:rPr>
                <w:b/>
                <w:sz w:val="22"/>
                <w:szCs w:val="22"/>
              </w:rPr>
              <w:t>HIV +</w:t>
            </w:r>
          </w:p>
        </w:tc>
        <w:tc>
          <w:tcPr>
            <w:tcW w:w="383" w:type="pct"/>
          </w:tcPr>
          <w:p w:rsidR="00E21249" w:rsidRPr="00017FE6" w:rsidRDefault="00E21249" w:rsidP="00EB5B70">
            <w:pPr>
              <w:jc w:val="center"/>
              <w:rPr>
                <w:sz w:val="22"/>
                <w:szCs w:val="22"/>
              </w:rPr>
            </w:pPr>
          </w:p>
        </w:tc>
        <w:tc>
          <w:tcPr>
            <w:tcW w:w="601" w:type="pct"/>
          </w:tcPr>
          <w:p w:rsidR="00E21249" w:rsidRPr="00017FE6" w:rsidRDefault="00E21249" w:rsidP="00EB5B70">
            <w:pPr>
              <w:jc w:val="center"/>
              <w:rPr>
                <w:sz w:val="22"/>
                <w:szCs w:val="22"/>
              </w:rPr>
            </w:pPr>
          </w:p>
        </w:tc>
        <w:tc>
          <w:tcPr>
            <w:tcW w:w="606" w:type="pct"/>
            <w:tcBorders>
              <w:right w:val="single" w:sz="4" w:space="0" w:color="auto"/>
            </w:tcBorders>
          </w:tcPr>
          <w:p w:rsidR="00E21249" w:rsidRPr="00017FE6" w:rsidRDefault="00E21249" w:rsidP="00EB5B70">
            <w:pPr>
              <w:jc w:val="center"/>
              <w:rPr>
                <w:sz w:val="22"/>
                <w:szCs w:val="22"/>
              </w:rPr>
            </w:pPr>
          </w:p>
        </w:tc>
        <w:tc>
          <w:tcPr>
            <w:tcW w:w="454" w:type="pct"/>
            <w:tcBorders>
              <w:left w:val="single" w:sz="4" w:space="0" w:color="auto"/>
            </w:tcBorders>
          </w:tcPr>
          <w:p w:rsidR="00E21249" w:rsidRPr="00017FE6" w:rsidRDefault="00E21249" w:rsidP="00EB5B70">
            <w:pPr>
              <w:jc w:val="center"/>
              <w:rPr>
                <w:sz w:val="22"/>
                <w:szCs w:val="22"/>
              </w:rPr>
            </w:pPr>
          </w:p>
        </w:tc>
        <w:tc>
          <w:tcPr>
            <w:tcW w:w="843" w:type="pct"/>
          </w:tcPr>
          <w:p w:rsidR="00E21249" w:rsidRPr="00017FE6" w:rsidRDefault="00E21249" w:rsidP="00EB5B70">
            <w:pPr>
              <w:jc w:val="center"/>
              <w:rPr>
                <w:sz w:val="22"/>
                <w:szCs w:val="22"/>
              </w:rPr>
            </w:pPr>
          </w:p>
        </w:tc>
        <w:tc>
          <w:tcPr>
            <w:tcW w:w="825" w:type="pct"/>
          </w:tcPr>
          <w:p w:rsidR="00E21249" w:rsidRPr="00017FE6" w:rsidRDefault="00E21249" w:rsidP="00EB5B70">
            <w:pPr>
              <w:jc w:val="center"/>
              <w:rPr>
                <w:sz w:val="22"/>
                <w:szCs w:val="22"/>
              </w:rPr>
            </w:pPr>
          </w:p>
        </w:tc>
      </w:tr>
      <w:tr w:rsidR="00E21249" w:rsidRPr="00017FE6" w:rsidTr="00EB5B70">
        <w:trPr>
          <w:trHeight w:val="283"/>
        </w:trPr>
        <w:tc>
          <w:tcPr>
            <w:tcW w:w="1288" w:type="pct"/>
            <w:tcBorders>
              <w:bottom w:val="single" w:sz="4" w:space="0" w:color="auto"/>
            </w:tcBorders>
          </w:tcPr>
          <w:p w:rsidR="00E21249" w:rsidRPr="00017FE6" w:rsidRDefault="00E21249" w:rsidP="00EB5B70">
            <w:pPr>
              <w:jc w:val="center"/>
              <w:rPr>
                <w:sz w:val="22"/>
                <w:szCs w:val="22"/>
              </w:rPr>
            </w:pPr>
            <m:oMathPara>
              <m:oMath>
                <m:r>
                  <w:rPr>
                    <w:rFonts w:ascii="Cambria Math" w:hAnsi="Cambria Math"/>
                    <w:sz w:val="22"/>
                    <w:szCs w:val="22"/>
                  </w:rPr>
                  <m:t>b~N</m:t>
                </m:r>
                <m:d>
                  <m:dPr>
                    <m:ctrlPr>
                      <w:rPr>
                        <w:rFonts w:ascii="Cambria Math" w:hAnsi="Cambria Math"/>
                        <w:i/>
                        <w:sz w:val="22"/>
                        <w:szCs w:val="22"/>
                      </w:rPr>
                    </m:ctrlPr>
                  </m:dPr>
                  <m:e>
                    <m:r>
                      <w:rPr>
                        <w:rFonts w:ascii="Cambria Math" w:hAnsi="Cambria Math"/>
                        <w:sz w:val="22"/>
                        <w:szCs w:val="22"/>
                      </w:rPr>
                      <m:t>a+d, u</m:t>
                    </m:r>
                  </m:e>
                </m:d>
              </m:oMath>
            </m:oMathPara>
          </w:p>
          <w:p w:rsidR="00E21249" w:rsidRPr="00017FE6" w:rsidRDefault="00E21249" w:rsidP="00EB5B70">
            <w:pPr>
              <w:jc w:val="center"/>
              <w:rPr>
                <w:sz w:val="22"/>
                <w:szCs w:val="22"/>
              </w:rPr>
            </w:pPr>
            <m:oMathPara>
              <m:oMath>
                <m:r>
                  <w:rPr>
                    <w:rFonts w:ascii="Cambria Math" w:hAnsi="Cambria Math"/>
                    <w:sz w:val="22"/>
                    <w:szCs w:val="22"/>
                  </w:rPr>
                  <m:t>u~InvGamma</m:t>
                </m:r>
                <m:d>
                  <m:dPr>
                    <m:ctrlPr>
                      <w:rPr>
                        <w:rFonts w:ascii="Cambria Math" w:hAnsi="Cambria Math"/>
                        <w:i/>
                        <w:sz w:val="22"/>
                        <w:szCs w:val="22"/>
                      </w:rPr>
                    </m:ctrlPr>
                  </m:dPr>
                  <m:e>
                    <m:r>
                      <w:rPr>
                        <w:rFonts w:ascii="Cambria Math" w:hAnsi="Cambria Math"/>
                        <w:sz w:val="22"/>
                        <w:szCs w:val="22"/>
                      </w:rPr>
                      <m:t>2,3</m:t>
                    </m:r>
                  </m:e>
                </m:d>
                <m:r>
                  <w:rPr>
                    <w:rFonts w:ascii="Cambria Math" w:hAnsi="Cambria Math"/>
                    <w:sz w:val="22"/>
                    <w:szCs w:val="22"/>
                  </w:rPr>
                  <m:t>+InvGamma</m:t>
                </m:r>
                <m:d>
                  <m:dPr>
                    <m:ctrlPr>
                      <w:rPr>
                        <w:rFonts w:ascii="Cambria Math" w:hAnsi="Cambria Math"/>
                        <w:i/>
                        <w:sz w:val="22"/>
                        <w:szCs w:val="22"/>
                      </w:rPr>
                    </m:ctrlPr>
                  </m:dPr>
                  <m:e>
                    <m:r>
                      <w:rPr>
                        <w:rFonts w:ascii="Cambria Math" w:hAnsi="Cambria Math"/>
                        <w:sz w:val="22"/>
                        <w:szCs w:val="22"/>
                      </w:rPr>
                      <m:t>3,1</m:t>
                    </m:r>
                  </m:e>
                </m:d>
              </m:oMath>
            </m:oMathPara>
          </w:p>
        </w:tc>
        <w:tc>
          <w:tcPr>
            <w:tcW w:w="383" w:type="pct"/>
            <w:tcBorders>
              <w:bottom w:val="single" w:sz="4" w:space="0" w:color="auto"/>
            </w:tcBorders>
          </w:tcPr>
          <w:p w:rsidR="00E21249" w:rsidRPr="00017FE6" w:rsidRDefault="00E21249" w:rsidP="00EB5B70">
            <w:pPr>
              <w:jc w:val="center"/>
              <w:rPr>
                <w:sz w:val="22"/>
                <w:szCs w:val="22"/>
              </w:rPr>
            </w:pPr>
            <w:r w:rsidRPr="00017FE6">
              <w:rPr>
                <w:sz w:val="22"/>
                <w:szCs w:val="22"/>
              </w:rPr>
              <w:t>1</w:t>
            </w:r>
          </w:p>
        </w:tc>
        <w:tc>
          <w:tcPr>
            <w:tcW w:w="601" w:type="pct"/>
            <w:tcBorders>
              <w:bottom w:val="single" w:sz="4" w:space="0" w:color="auto"/>
            </w:tcBorders>
          </w:tcPr>
          <w:p w:rsidR="00E21249" w:rsidRPr="00017FE6" w:rsidRDefault="00E21249" w:rsidP="00EB5B70">
            <w:pPr>
              <w:jc w:val="center"/>
              <w:rPr>
                <w:sz w:val="22"/>
                <w:szCs w:val="22"/>
              </w:rPr>
            </w:pPr>
            <w:r w:rsidRPr="00017FE6">
              <w:rPr>
                <w:sz w:val="22"/>
                <w:szCs w:val="22"/>
              </w:rPr>
              <w:t>-0.87</w:t>
            </w:r>
          </w:p>
        </w:tc>
        <w:tc>
          <w:tcPr>
            <w:tcW w:w="606" w:type="pct"/>
            <w:tcBorders>
              <w:bottom w:val="single" w:sz="4" w:space="0" w:color="auto"/>
              <w:right w:val="single" w:sz="4" w:space="0" w:color="auto"/>
            </w:tcBorders>
          </w:tcPr>
          <w:p w:rsidR="00E21249" w:rsidRPr="00017FE6" w:rsidRDefault="00E21249" w:rsidP="00EB5B70">
            <w:pPr>
              <w:jc w:val="center"/>
              <w:rPr>
                <w:sz w:val="22"/>
                <w:szCs w:val="22"/>
              </w:rPr>
            </w:pPr>
            <w:r w:rsidRPr="00017FE6">
              <w:rPr>
                <w:sz w:val="22"/>
                <w:szCs w:val="22"/>
              </w:rPr>
              <w:t>2.87</w:t>
            </w:r>
          </w:p>
        </w:tc>
        <w:tc>
          <w:tcPr>
            <w:tcW w:w="454" w:type="pct"/>
            <w:tcBorders>
              <w:left w:val="single" w:sz="4" w:space="0" w:color="auto"/>
              <w:bottom w:val="single" w:sz="4" w:space="0" w:color="auto"/>
            </w:tcBorders>
          </w:tcPr>
          <w:p w:rsidR="00E21249" w:rsidRPr="00017FE6" w:rsidRDefault="00E21249" w:rsidP="00EB5B70">
            <w:pPr>
              <w:jc w:val="center"/>
              <w:rPr>
                <w:sz w:val="22"/>
                <w:szCs w:val="22"/>
              </w:rPr>
            </w:pPr>
            <w:r w:rsidRPr="00017FE6">
              <w:rPr>
                <w:sz w:val="22"/>
                <w:szCs w:val="22"/>
              </w:rPr>
              <w:t>84</w:t>
            </w:r>
            <w:r>
              <w:rPr>
                <w:sz w:val="22"/>
                <w:szCs w:val="22"/>
              </w:rPr>
              <w:t>.1</w:t>
            </w:r>
            <w:r w:rsidRPr="00017FE6">
              <w:rPr>
                <w:sz w:val="22"/>
                <w:szCs w:val="22"/>
              </w:rPr>
              <w:t>%</w:t>
            </w:r>
          </w:p>
        </w:tc>
        <w:tc>
          <w:tcPr>
            <w:tcW w:w="843" w:type="pct"/>
            <w:tcBorders>
              <w:bottom w:val="single" w:sz="4" w:space="0" w:color="auto"/>
            </w:tcBorders>
          </w:tcPr>
          <w:p w:rsidR="00E21249" w:rsidRPr="00017FE6" w:rsidRDefault="00E21249" w:rsidP="00EB5B70">
            <w:pPr>
              <w:jc w:val="center"/>
              <w:rPr>
                <w:sz w:val="22"/>
                <w:szCs w:val="22"/>
              </w:rPr>
            </w:pPr>
            <w:r w:rsidRPr="00017FE6">
              <w:rPr>
                <w:sz w:val="22"/>
                <w:szCs w:val="22"/>
              </w:rPr>
              <w:t>19</w:t>
            </w:r>
            <w:r>
              <w:rPr>
                <w:sz w:val="22"/>
                <w:szCs w:val="22"/>
              </w:rPr>
              <w:t>.2</w:t>
            </w:r>
            <w:r w:rsidRPr="00017FE6">
              <w:rPr>
                <w:sz w:val="22"/>
                <w:szCs w:val="22"/>
              </w:rPr>
              <w:t>%</w:t>
            </w:r>
          </w:p>
        </w:tc>
        <w:tc>
          <w:tcPr>
            <w:tcW w:w="825" w:type="pct"/>
            <w:tcBorders>
              <w:bottom w:val="single" w:sz="4" w:space="0" w:color="auto"/>
            </w:tcBorders>
          </w:tcPr>
          <w:p w:rsidR="00E21249" w:rsidRPr="00017FE6" w:rsidRDefault="00E21249" w:rsidP="00EB5B70">
            <w:pPr>
              <w:jc w:val="center"/>
              <w:rPr>
                <w:sz w:val="22"/>
                <w:szCs w:val="22"/>
              </w:rPr>
            </w:pPr>
            <w:r>
              <w:rPr>
                <w:sz w:val="22"/>
                <w:szCs w:val="22"/>
              </w:rPr>
              <w:t>99.8</w:t>
            </w:r>
            <w:r w:rsidRPr="00017FE6">
              <w:rPr>
                <w:sz w:val="22"/>
                <w:szCs w:val="22"/>
              </w:rPr>
              <w:t>%</w:t>
            </w:r>
          </w:p>
        </w:tc>
      </w:tr>
    </w:tbl>
    <w:p w:rsidR="00E21249" w:rsidRPr="00480FF6" w:rsidRDefault="00E21249" w:rsidP="00E21249">
      <w:pPr>
        <w:spacing w:line="240" w:lineRule="auto"/>
        <w:rPr>
          <w:sz w:val="22"/>
          <w:szCs w:val="22"/>
        </w:rPr>
      </w:pPr>
      <m:oMath>
        <m:r>
          <w:rPr>
            <w:rFonts w:ascii="Cambria Math" w:hAnsi="Cambria Math"/>
            <w:sz w:val="22"/>
            <w:szCs w:val="22"/>
          </w:rPr>
          <m:t>μ</m:t>
        </m:r>
      </m:oMath>
      <w:r w:rsidRPr="00480FF6">
        <w:rPr>
          <w:sz w:val="22"/>
          <w:szCs w:val="22"/>
        </w:rPr>
        <w:t xml:space="preserve"> - Mean of the prior distribution; </w:t>
      </w:r>
      <m:oMath>
        <m:r>
          <w:rPr>
            <w:rFonts w:ascii="Cambria Math" w:hAnsi="Cambria Math"/>
            <w:sz w:val="22"/>
            <w:szCs w:val="22"/>
          </w:rPr>
          <m:t>α</m:t>
        </m:r>
        <m:r>
          <m:rPr>
            <m:sty m:val="p"/>
          </m:rPr>
          <w:rPr>
            <w:rFonts w:ascii="Cambria Math" w:hAnsi="Cambria Math"/>
            <w:sz w:val="22"/>
            <w:szCs w:val="22"/>
          </w:rPr>
          <m:t xml:space="preserve">, </m:t>
        </m:r>
        <m:r>
          <w:rPr>
            <w:rFonts w:ascii="Cambria Math" w:hAnsi="Cambria Math"/>
            <w:sz w:val="22"/>
            <w:szCs w:val="22"/>
          </w:rPr>
          <m:t>β</m:t>
        </m:r>
      </m:oMath>
      <w:r w:rsidRPr="00480FF6">
        <w:rPr>
          <w:sz w:val="22"/>
          <w:szCs w:val="22"/>
        </w:rPr>
        <w:t xml:space="preserve"> - shape and scale parameters respectively for the Inverse Gamma distribution; Lower and Upper represent estimates 1 standard deviation below and above the mean respectively; </w:t>
      </w:r>
      <m:oMath>
        <m:r>
          <m:rPr>
            <m:sty m:val="p"/>
          </m:rPr>
          <w:rPr>
            <w:rFonts w:ascii="Cambria Math" w:hAnsi="Cambria Math"/>
            <w:sz w:val="22"/>
            <w:szCs w:val="22"/>
          </w:rPr>
          <m:t>∅</m:t>
        </m:r>
        <m:d>
          <m:dPr>
            <m:ctrlPr>
              <w:rPr>
                <w:rFonts w:ascii="Cambria Math" w:hAnsi="Cambria Math"/>
                <w:sz w:val="22"/>
                <w:szCs w:val="22"/>
              </w:rPr>
            </m:ctrlPr>
          </m:dPr>
          <m:e>
            <m:r>
              <m:rPr>
                <m:sty m:val="p"/>
              </m:rPr>
              <w:rPr>
                <w:rFonts w:ascii="Cambria Math" w:hAnsi="Cambria Math"/>
                <w:sz w:val="22"/>
                <w:szCs w:val="22"/>
              </w:rPr>
              <m:t xml:space="preserve"> .</m:t>
            </m:r>
          </m:e>
        </m:d>
      </m:oMath>
      <w:r w:rsidRPr="00480FF6">
        <w:rPr>
          <w:sz w:val="22"/>
          <w:szCs w:val="22"/>
        </w:rPr>
        <w:t xml:space="preserve"> is the cumulative distribution function of the standard normal distribution d</w:t>
      </w:r>
      <w:proofErr w:type="spellStart"/>
      <w:r w:rsidRPr="00480FF6">
        <w:rPr>
          <w:sz w:val="22"/>
          <w:szCs w:val="22"/>
        </w:rPr>
        <w:t>enoting</w:t>
      </w:r>
      <w:proofErr w:type="spellEnd"/>
      <w:r w:rsidRPr="00480FF6">
        <w:rPr>
          <w:sz w:val="22"/>
          <w:szCs w:val="22"/>
        </w:rPr>
        <w:t xml:space="preserve"> transformation of the quantiles to probabilities.</w:t>
      </w:r>
    </w:p>
    <w:p w:rsidR="00E21249" w:rsidRDefault="00E21249" w:rsidP="00E21249">
      <w:pPr>
        <w:spacing w:line="240" w:lineRule="auto"/>
        <w:rPr>
          <w:sz w:val="22"/>
          <w:szCs w:val="22"/>
        </w:rPr>
      </w:pPr>
      <w:r>
        <w:rPr>
          <w:sz w:val="22"/>
          <w:szCs w:val="22"/>
        </w:rPr>
        <w:t>The simulated density functions of the prior and posterior distributions for LCA of five and three diagnostic tests for chosen replicate datasets were as shown below.</w:t>
      </w:r>
    </w:p>
    <w:p w:rsidR="00E21249" w:rsidRDefault="00E21249" w:rsidP="00E21249">
      <w:pPr>
        <w:spacing w:line="240" w:lineRule="auto"/>
        <w:ind w:left="357"/>
        <w:rPr>
          <w:sz w:val="22"/>
          <w:szCs w:val="22"/>
        </w:rPr>
      </w:pPr>
    </w:p>
    <w:p w:rsidR="00E21249" w:rsidRDefault="00E21249" w:rsidP="00E21249">
      <w:pPr>
        <w:spacing w:line="240" w:lineRule="auto"/>
        <w:ind w:left="357"/>
        <w:rPr>
          <w:sz w:val="22"/>
          <w:szCs w:val="22"/>
        </w:rPr>
      </w:pPr>
    </w:p>
    <w:p w:rsidR="00E21249" w:rsidRPr="005E21FC" w:rsidRDefault="00E21249" w:rsidP="00E21249">
      <w:pPr>
        <w:spacing w:line="240" w:lineRule="auto"/>
        <w:rPr>
          <w:b/>
          <w:sz w:val="22"/>
          <w:szCs w:val="22"/>
        </w:rPr>
      </w:pPr>
      <w:r w:rsidRPr="005E21FC">
        <w:rPr>
          <w:b/>
          <w:sz w:val="22"/>
          <w:szCs w:val="22"/>
        </w:rPr>
        <w:lastRenderedPageBreak/>
        <w:t>Density functions for the prior and posterior distributions resulting from LCA of five diagnostic tests using the model</w:t>
      </w:r>
      <w:r>
        <w:rPr>
          <w:b/>
          <w:sz w:val="22"/>
          <w:szCs w:val="22"/>
        </w:rPr>
        <w:t xml:space="preserve"> allowing the diagnostic test accuracy and PTB prevalence to vary across the HIV subpopulations</w:t>
      </w:r>
      <w:r w:rsidRPr="009F499D">
        <w:rPr>
          <w:b/>
          <w:sz w:val="22"/>
          <w:szCs w:val="22"/>
        </w:rPr>
        <w:t xml:space="preserve"> (Working model IV)</w:t>
      </w:r>
    </w:p>
    <w:p w:rsidR="00E21249" w:rsidRPr="005E21FC" w:rsidRDefault="00E21249" w:rsidP="00E21249">
      <w:pPr>
        <w:spacing w:line="240" w:lineRule="auto"/>
        <w:rPr>
          <w:sz w:val="22"/>
          <w:szCs w:val="22"/>
        </w:rPr>
      </w:pPr>
    </w:p>
    <w:p w:rsidR="00E21249" w:rsidRPr="005E21FC" w:rsidRDefault="00E21249" w:rsidP="00E21249">
      <w:pPr>
        <w:keepNext/>
        <w:spacing w:line="240" w:lineRule="auto"/>
        <w:jc w:val="center"/>
      </w:pPr>
      <w:r>
        <w:rPr>
          <w:noProof/>
        </w:rPr>
        <w:drawing>
          <wp:inline distT="0" distB="0" distL="0" distR="0" wp14:anchorId="14D65CFE" wp14:editId="7EBA3A63">
            <wp:extent cx="5943600" cy="446512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wo_pop_5_prev_prior_posterior.tiff"/>
                    <pic:cNvPicPr/>
                  </pic:nvPicPr>
                  <pic:blipFill rotWithShape="1">
                    <a:blip r:embed="rId7" cstate="print">
                      <a:extLst>
                        <a:ext uri="{28A0092B-C50C-407E-A947-70E740481C1C}">
                          <a14:useLocalDpi xmlns:a14="http://schemas.microsoft.com/office/drawing/2010/main" val="0"/>
                        </a:ext>
                      </a:extLst>
                    </a:blip>
                    <a:srcRect b="24875"/>
                    <a:stretch/>
                  </pic:blipFill>
                  <pic:spPr bwMode="auto">
                    <a:xfrm>
                      <a:off x="0" y="0"/>
                      <a:ext cx="5943600" cy="4465122"/>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i w:val="0"/>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A.1</w:t>
      </w:r>
      <w:r w:rsidRPr="005E21FC">
        <w:rPr>
          <w:i w:val="0"/>
          <w:color w:val="000000" w:themeColor="text1"/>
          <w:sz w:val="22"/>
          <w:szCs w:val="22"/>
        </w:rPr>
        <w:t xml:space="preserve">: Posterior distributions of PTB prevalence in the HIV- and HIV+ subpopulations resulting from LCA of five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Pr>
        <w:spacing w:line="240" w:lineRule="auto"/>
        <w:rPr>
          <w:sz w:val="22"/>
          <w:szCs w:val="22"/>
        </w:rPr>
      </w:pPr>
    </w:p>
    <w:p w:rsidR="00E21249" w:rsidRPr="005E21FC" w:rsidRDefault="00E21249" w:rsidP="00E21249">
      <w:pPr>
        <w:keepNext/>
        <w:spacing w:line="240" w:lineRule="auto"/>
      </w:pPr>
      <w:r>
        <w:rPr>
          <w:noProof/>
        </w:rPr>
        <w:lastRenderedPageBreak/>
        <w:drawing>
          <wp:inline distT="0" distB="0" distL="0" distR="0" wp14:anchorId="495ED80F" wp14:editId="56938719">
            <wp:extent cx="5943600" cy="450074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ny_symp_5_sen_prior_posterior.tiff"/>
                    <pic:cNvPicPr/>
                  </pic:nvPicPr>
                  <pic:blipFill rotWithShape="1">
                    <a:blip r:embed="rId8" cstate="print">
                      <a:extLst>
                        <a:ext uri="{28A0092B-C50C-407E-A947-70E740481C1C}">
                          <a14:useLocalDpi xmlns:a14="http://schemas.microsoft.com/office/drawing/2010/main" val="0"/>
                        </a:ext>
                      </a:extLst>
                    </a:blip>
                    <a:srcRect b="24276"/>
                    <a:stretch/>
                  </pic:blipFill>
                  <pic:spPr bwMode="auto">
                    <a:xfrm>
                      <a:off x="0" y="0"/>
                      <a:ext cx="5943600" cy="4500748"/>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i w:val="0"/>
          <w:color w:val="000000" w:themeColor="text1"/>
          <w:sz w:val="22"/>
          <w:szCs w:val="22"/>
        </w:rPr>
      </w:pPr>
      <w:r w:rsidRPr="005E21FC">
        <w:rPr>
          <w:i w:val="0"/>
          <w:color w:val="000000" w:themeColor="text1"/>
          <w:sz w:val="22"/>
          <w:szCs w:val="22"/>
        </w:rPr>
        <w:t>Figure</w:t>
      </w:r>
      <w:r w:rsidRPr="00025DE7">
        <w:rPr>
          <w:i w:val="0"/>
          <w:color w:val="000000" w:themeColor="text1"/>
          <w:sz w:val="22"/>
          <w:szCs w:val="22"/>
        </w:rPr>
        <w:t xml:space="preserve"> </w:t>
      </w:r>
      <w:r>
        <w:rPr>
          <w:i w:val="0"/>
          <w:color w:val="000000" w:themeColor="text1"/>
          <w:sz w:val="22"/>
          <w:szCs w:val="22"/>
        </w:rPr>
        <w:t>A.2</w:t>
      </w:r>
      <w:r w:rsidRPr="005E21FC">
        <w:rPr>
          <w:i w:val="0"/>
          <w:color w:val="000000" w:themeColor="text1"/>
          <w:sz w:val="22"/>
          <w:szCs w:val="22"/>
        </w:rPr>
        <w:t xml:space="preserve">: Posterior distributions of sensitivity for any PTB symptom in the HIV- and HIV+ subpopulations resulting from LCA of five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Pr>
        <w:keepNext/>
        <w:spacing w:line="240" w:lineRule="auto"/>
      </w:pPr>
      <w:r>
        <w:rPr>
          <w:noProof/>
        </w:rPr>
        <w:lastRenderedPageBreak/>
        <w:drawing>
          <wp:inline distT="0" distB="0" distL="0" distR="0" wp14:anchorId="74B2A724" wp14:editId="04C300D9">
            <wp:extent cx="5943600" cy="446512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y_symp_5_sp_prior_posterior.tiff"/>
                    <pic:cNvPicPr/>
                  </pic:nvPicPr>
                  <pic:blipFill rotWithShape="1">
                    <a:blip r:embed="rId9" cstate="print">
                      <a:extLst>
                        <a:ext uri="{28A0092B-C50C-407E-A947-70E740481C1C}">
                          <a14:useLocalDpi xmlns:a14="http://schemas.microsoft.com/office/drawing/2010/main" val="0"/>
                        </a:ext>
                      </a:extLst>
                    </a:blip>
                    <a:srcRect b="24875"/>
                    <a:stretch/>
                  </pic:blipFill>
                  <pic:spPr bwMode="auto">
                    <a:xfrm>
                      <a:off x="0" y="0"/>
                      <a:ext cx="5943600" cy="4465122"/>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i w:val="0"/>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A.3</w:t>
      </w:r>
      <w:r w:rsidRPr="005E21FC">
        <w:rPr>
          <w:i w:val="0"/>
          <w:color w:val="000000" w:themeColor="text1"/>
          <w:sz w:val="22"/>
          <w:szCs w:val="22"/>
        </w:rPr>
        <w:t xml:space="preserve">: Posterior distributions of specificity for any PTB symptom in the HIV- and HIV+ subpopulations resulting from LCA of five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Pr>
        <w:spacing w:line="240" w:lineRule="auto"/>
        <w:rPr>
          <w:sz w:val="22"/>
          <w:szCs w:val="22"/>
        </w:rPr>
      </w:pPr>
    </w:p>
    <w:p w:rsidR="00E21249" w:rsidRPr="005E21FC" w:rsidRDefault="00E21249" w:rsidP="00E21249">
      <w:pPr>
        <w:keepNext/>
        <w:spacing w:line="240" w:lineRule="auto"/>
      </w:pPr>
      <w:r>
        <w:rPr>
          <w:noProof/>
        </w:rPr>
        <w:lastRenderedPageBreak/>
        <w:drawing>
          <wp:inline distT="0" distB="0" distL="0" distR="0" wp14:anchorId="4804468B" wp14:editId="671327CC">
            <wp:extent cx="5943600" cy="4453247"/>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rp_5_sen_prior_posterior.tiff"/>
                    <pic:cNvPicPr/>
                  </pic:nvPicPr>
                  <pic:blipFill rotWithShape="1">
                    <a:blip r:embed="rId10" cstate="print">
                      <a:extLst>
                        <a:ext uri="{28A0092B-C50C-407E-A947-70E740481C1C}">
                          <a14:useLocalDpi xmlns:a14="http://schemas.microsoft.com/office/drawing/2010/main" val="0"/>
                        </a:ext>
                      </a:extLst>
                    </a:blip>
                    <a:srcRect b="25075"/>
                    <a:stretch/>
                  </pic:blipFill>
                  <pic:spPr bwMode="auto">
                    <a:xfrm>
                      <a:off x="0" y="0"/>
                      <a:ext cx="5943600" cy="4453247"/>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A.4</w:t>
      </w:r>
      <w:r w:rsidRPr="005E21FC">
        <w:rPr>
          <w:i w:val="0"/>
          <w:color w:val="000000" w:themeColor="text1"/>
          <w:sz w:val="22"/>
          <w:szCs w:val="22"/>
        </w:rPr>
        <w:t>:</w:t>
      </w:r>
      <w:r w:rsidRPr="005E21FC">
        <w:rPr>
          <w:color w:val="000000" w:themeColor="text1"/>
          <w:sz w:val="22"/>
          <w:szCs w:val="22"/>
        </w:rPr>
        <w:t xml:space="preserve"> </w:t>
      </w:r>
      <w:r w:rsidRPr="005E21FC">
        <w:rPr>
          <w:i w:val="0"/>
          <w:color w:val="000000" w:themeColor="text1"/>
          <w:sz w:val="22"/>
          <w:szCs w:val="22"/>
        </w:rPr>
        <w:t xml:space="preserve">Posterior distributions of sensitivity for CRP in the HIV- and HIV+ subpopulations resulting from LCA of five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Pr>
        <w:spacing w:line="240" w:lineRule="auto"/>
        <w:rPr>
          <w:sz w:val="22"/>
          <w:szCs w:val="22"/>
        </w:rPr>
      </w:pPr>
    </w:p>
    <w:p w:rsidR="00E21249" w:rsidRPr="005E21FC" w:rsidRDefault="00E21249" w:rsidP="00E21249">
      <w:pPr>
        <w:keepNext/>
        <w:spacing w:line="240" w:lineRule="auto"/>
      </w:pPr>
      <w:r>
        <w:rPr>
          <w:noProof/>
        </w:rPr>
        <w:lastRenderedPageBreak/>
        <w:drawing>
          <wp:inline distT="0" distB="0" distL="0" distR="0" wp14:anchorId="64EAAD20" wp14:editId="1A0093AC">
            <wp:extent cx="5943600" cy="4453247"/>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rp_5_sp_prior_posterior.tiff"/>
                    <pic:cNvPicPr/>
                  </pic:nvPicPr>
                  <pic:blipFill rotWithShape="1">
                    <a:blip r:embed="rId11" cstate="print">
                      <a:extLst>
                        <a:ext uri="{28A0092B-C50C-407E-A947-70E740481C1C}">
                          <a14:useLocalDpi xmlns:a14="http://schemas.microsoft.com/office/drawing/2010/main" val="0"/>
                        </a:ext>
                      </a:extLst>
                    </a:blip>
                    <a:srcRect b="25075"/>
                    <a:stretch/>
                  </pic:blipFill>
                  <pic:spPr bwMode="auto">
                    <a:xfrm>
                      <a:off x="0" y="0"/>
                      <a:ext cx="5943600" cy="4453247"/>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A.5</w:t>
      </w:r>
      <w:r w:rsidRPr="005E21FC">
        <w:rPr>
          <w:i w:val="0"/>
          <w:color w:val="000000" w:themeColor="text1"/>
          <w:sz w:val="22"/>
          <w:szCs w:val="22"/>
        </w:rPr>
        <w:t xml:space="preserve">: Posterior distributions of specificity for CRP in the HIV- and HIV+ subpopulations resulting from LCA of five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Pr>
        <w:keepNext/>
        <w:spacing w:line="240" w:lineRule="auto"/>
      </w:pPr>
    </w:p>
    <w:p w:rsidR="00E21249" w:rsidRPr="005E21FC" w:rsidRDefault="00E21249" w:rsidP="00E21249">
      <w:pPr>
        <w:spacing w:line="240" w:lineRule="auto"/>
        <w:ind w:left="357"/>
        <w:rPr>
          <w:b/>
          <w:sz w:val="22"/>
          <w:szCs w:val="22"/>
        </w:rPr>
      </w:pPr>
    </w:p>
    <w:p w:rsidR="00E21249" w:rsidRPr="005E21FC" w:rsidRDefault="00E21249" w:rsidP="00E21249">
      <w:pPr>
        <w:keepNext/>
        <w:spacing w:line="240" w:lineRule="auto"/>
        <w:ind w:left="357"/>
      </w:pPr>
      <w:r>
        <w:rPr>
          <w:noProof/>
        </w:rPr>
        <w:lastRenderedPageBreak/>
        <w:drawing>
          <wp:inline distT="0" distB="0" distL="0" distR="0" wp14:anchorId="232DE84E" wp14:editId="3335C25E">
            <wp:extent cx="5943600" cy="4435434"/>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ad4tb_5_sen_prior_posterior.tiff"/>
                    <pic:cNvPicPr/>
                  </pic:nvPicPr>
                  <pic:blipFill rotWithShape="1">
                    <a:blip r:embed="rId12" cstate="print">
                      <a:extLst>
                        <a:ext uri="{28A0092B-C50C-407E-A947-70E740481C1C}">
                          <a14:useLocalDpi xmlns:a14="http://schemas.microsoft.com/office/drawing/2010/main" val="0"/>
                        </a:ext>
                      </a:extLst>
                    </a:blip>
                    <a:srcRect b="25374"/>
                    <a:stretch/>
                  </pic:blipFill>
                  <pic:spPr bwMode="auto">
                    <a:xfrm>
                      <a:off x="0" y="0"/>
                      <a:ext cx="5943600" cy="4435434"/>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i w:val="0"/>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A.6</w:t>
      </w:r>
      <w:r w:rsidRPr="005E21FC">
        <w:rPr>
          <w:i w:val="0"/>
          <w:color w:val="000000" w:themeColor="text1"/>
          <w:sz w:val="22"/>
          <w:szCs w:val="22"/>
        </w:rPr>
        <w:t>:</w:t>
      </w:r>
      <w:r w:rsidRPr="005E21FC">
        <w:rPr>
          <w:color w:val="000000" w:themeColor="text1"/>
          <w:sz w:val="22"/>
          <w:szCs w:val="22"/>
        </w:rPr>
        <w:t xml:space="preserve"> </w:t>
      </w:r>
      <w:r w:rsidRPr="005E21FC">
        <w:rPr>
          <w:i w:val="0"/>
          <w:color w:val="000000" w:themeColor="text1"/>
          <w:sz w:val="22"/>
          <w:szCs w:val="22"/>
        </w:rPr>
        <w:t xml:space="preserve">Posterior distributions of sensitivity for CAD4TB in the HIV- and HIV+ subpopulations resulting from LCA of five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 w:rsidR="00E21249" w:rsidRPr="005E21FC" w:rsidRDefault="00E21249" w:rsidP="00E21249">
      <w:pPr>
        <w:keepNext/>
      </w:pPr>
      <w:r>
        <w:rPr>
          <w:noProof/>
        </w:rPr>
        <w:lastRenderedPageBreak/>
        <w:drawing>
          <wp:inline distT="0" distB="0" distL="0" distR="0" wp14:anchorId="306E554F" wp14:editId="13CB8447">
            <wp:extent cx="5943600" cy="446512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ad4tb_5_sp_prior_posterior.tiff"/>
                    <pic:cNvPicPr/>
                  </pic:nvPicPr>
                  <pic:blipFill rotWithShape="1">
                    <a:blip r:embed="rId13" cstate="print">
                      <a:extLst>
                        <a:ext uri="{28A0092B-C50C-407E-A947-70E740481C1C}">
                          <a14:useLocalDpi xmlns:a14="http://schemas.microsoft.com/office/drawing/2010/main" val="0"/>
                        </a:ext>
                      </a:extLst>
                    </a:blip>
                    <a:srcRect b="24875"/>
                    <a:stretch/>
                  </pic:blipFill>
                  <pic:spPr bwMode="auto">
                    <a:xfrm>
                      <a:off x="0" y="0"/>
                      <a:ext cx="5943600" cy="4465122"/>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i w:val="0"/>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A.7</w:t>
      </w:r>
      <w:r w:rsidRPr="005E21FC">
        <w:rPr>
          <w:i w:val="0"/>
          <w:color w:val="000000" w:themeColor="text1"/>
          <w:sz w:val="22"/>
          <w:szCs w:val="22"/>
        </w:rPr>
        <w:t xml:space="preserve">: Posterior distributions of specificity for CAD4TB in the HIV- and HIV+ subpopulations resulting from LCA of five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 w:rsidR="00E21249" w:rsidRPr="005E21FC" w:rsidRDefault="00E21249" w:rsidP="00E21249">
      <w:pPr>
        <w:keepNext/>
        <w:spacing w:line="240" w:lineRule="auto"/>
        <w:ind w:left="357"/>
      </w:pPr>
      <w:r>
        <w:rPr>
          <w:noProof/>
        </w:rPr>
        <w:lastRenderedPageBreak/>
        <w:drawing>
          <wp:inline distT="0" distB="0" distL="0" distR="0" wp14:anchorId="019E63B3" wp14:editId="34637D94">
            <wp:extent cx="5943600" cy="4471060"/>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ulture_5_sen_prior_posterior.tiff"/>
                    <pic:cNvPicPr/>
                  </pic:nvPicPr>
                  <pic:blipFill rotWithShape="1">
                    <a:blip r:embed="rId14" cstate="print">
                      <a:extLst>
                        <a:ext uri="{28A0092B-C50C-407E-A947-70E740481C1C}">
                          <a14:useLocalDpi xmlns:a14="http://schemas.microsoft.com/office/drawing/2010/main" val="0"/>
                        </a:ext>
                      </a:extLst>
                    </a:blip>
                    <a:srcRect b="24775"/>
                    <a:stretch/>
                  </pic:blipFill>
                  <pic:spPr bwMode="auto">
                    <a:xfrm>
                      <a:off x="0" y="0"/>
                      <a:ext cx="5943600" cy="4471060"/>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b/>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A.8</w:t>
      </w:r>
      <w:r w:rsidRPr="005E21FC">
        <w:rPr>
          <w:i w:val="0"/>
          <w:color w:val="000000" w:themeColor="text1"/>
          <w:sz w:val="22"/>
          <w:szCs w:val="22"/>
        </w:rPr>
        <w:t>:</w:t>
      </w:r>
      <w:r w:rsidRPr="005E21FC">
        <w:rPr>
          <w:color w:val="000000" w:themeColor="text1"/>
          <w:sz w:val="22"/>
          <w:szCs w:val="22"/>
        </w:rPr>
        <w:t xml:space="preserve"> </w:t>
      </w:r>
      <w:r w:rsidRPr="005E21FC">
        <w:rPr>
          <w:i w:val="0"/>
          <w:color w:val="000000" w:themeColor="text1"/>
          <w:sz w:val="22"/>
          <w:szCs w:val="22"/>
        </w:rPr>
        <w:t xml:space="preserve">Posterior distributions of sensitivity for culture in the HIV- and HIV+ subpopulations resulting from LCA of five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Pr>
        <w:keepNext/>
        <w:spacing w:line="240" w:lineRule="auto"/>
        <w:ind w:left="357"/>
      </w:pPr>
      <w:r>
        <w:rPr>
          <w:noProof/>
        </w:rPr>
        <w:lastRenderedPageBreak/>
        <w:drawing>
          <wp:inline distT="0" distB="0" distL="0" distR="0" wp14:anchorId="67D56F68" wp14:editId="021FC98E">
            <wp:extent cx="5943600" cy="444730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ulture_5_sp_prior_posterior.tiff"/>
                    <pic:cNvPicPr/>
                  </pic:nvPicPr>
                  <pic:blipFill rotWithShape="1">
                    <a:blip r:embed="rId15" cstate="print">
                      <a:extLst>
                        <a:ext uri="{28A0092B-C50C-407E-A947-70E740481C1C}">
                          <a14:useLocalDpi xmlns:a14="http://schemas.microsoft.com/office/drawing/2010/main" val="0"/>
                        </a:ext>
                      </a:extLst>
                    </a:blip>
                    <a:srcRect b="25175"/>
                    <a:stretch/>
                  </pic:blipFill>
                  <pic:spPr bwMode="auto">
                    <a:xfrm>
                      <a:off x="0" y="0"/>
                      <a:ext cx="5943600" cy="4447309"/>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b/>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A.9</w:t>
      </w:r>
      <w:r w:rsidRPr="005E21FC">
        <w:rPr>
          <w:i w:val="0"/>
          <w:color w:val="000000" w:themeColor="text1"/>
          <w:sz w:val="22"/>
          <w:szCs w:val="22"/>
        </w:rPr>
        <w:t>:</w:t>
      </w:r>
      <w:r w:rsidRPr="005E21FC">
        <w:rPr>
          <w:color w:val="000000" w:themeColor="text1"/>
          <w:sz w:val="22"/>
          <w:szCs w:val="22"/>
        </w:rPr>
        <w:t xml:space="preserve"> </w:t>
      </w:r>
      <w:r w:rsidRPr="005E21FC">
        <w:rPr>
          <w:i w:val="0"/>
          <w:color w:val="000000" w:themeColor="text1"/>
          <w:sz w:val="22"/>
          <w:szCs w:val="22"/>
        </w:rPr>
        <w:t xml:space="preserve">Posterior distributions of specificity for culture in the HIV- and HIV+ subpopulations resulting from LCA of five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Pr>
        <w:spacing w:line="240" w:lineRule="auto"/>
        <w:ind w:left="357"/>
        <w:rPr>
          <w:b/>
          <w:sz w:val="22"/>
          <w:szCs w:val="22"/>
        </w:rPr>
      </w:pPr>
    </w:p>
    <w:p w:rsidR="00E21249" w:rsidRPr="005E21FC" w:rsidRDefault="00E21249" w:rsidP="00E21249">
      <w:pPr>
        <w:keepNext/>
        <w:spacing w:line="240" w:lineRule="auto"/>
        <w:ind w:left="357"/>
      </w:pPr>
      <w:r>
        <w:rPr>
          <w:noProof/>
        </w:rPr>
        <w:lastRenderedPageBreak/>
        <w:drawing>
          <wp:inline distT="0" distB="0" distL="0" distR="0" wp14:anchorId="18840370" wp14:editId="1B8491AB">
            <wp:extent cx="5943600" cy="4435434"/>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xpert_5_sen_prior_posterior.tiff"/>
                    <pic:cNvPicPr/>
                  </pic:nvPicPr>
                  <pic:blipFill rotWithShape="1">
                    <a:blip r:embed="rId16" cstate="print">
                      <a:extLst>
                        <a:ext uri="{28A0092B-C50C-407E-A947-70E740481C1C}">
                          <a14:useLocalDpi xmlns:a14="http://schemas.microsoft.com/office/drawing/2010/main" val="0"/>
                        </a:ext>
                      </a:extLst>
                    </a:blip>
                    <a:srcRect b="25374"/>
                    <a:stretch/>
                  </pic:blipFill>
                  <pic:spPr bwMode="auto">
                    <a:xfrm>
                      <a:off x="0" y="0"/>
                      <a:ext cx="5943600" cy="4435434"/>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i w:val="0"/>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A.10</w:t>
      </w:r>
      <w:r w:rsidRPr="005E21FC">
        <w:rPr>
          <w:i w:val="0"/>
          <w:color w:val="000000" w:themeColor="text1"/>
          <w:sz w:val="22"/>
          <w:szCs w:val="22"/>
        </w:rPr>
        <w:t>:</w:t>
      </w:r>
      <w:r w:rsidRPr="005E21FC">
        <w:rPr>
          <w:color w:val="000000" w:themeColor="text1"/>
          <w:sz w:val="22"/>
          <w:szCs w:val="22"/>
        </w:rPr>
        <w:t xml:space="preserve"> </w:t>
      </w:r>
      <w:r w:rsidRPr="005E21FC">
        <w:rPr>
          <w:i w:val="0"/>
          <w:color w:val="000000" w:themeColor="text1"/>
          <w:sz w:val="22"/>
          <w:szCs w:val="22"/>
        </w:rPr>
        <w:t xml:space="preserve">Posterior distributions of sensitivity for </w:t>
      </w:r>
      <w:proofErr w:type="spellStart"/>
      <w:r w:rsidRPr="005E21FC">
        <w:rPr>
          <w:i w:val="0"/>
          <w:color w:val="000000" w:themeColor="text1"/>
          <w:sz w:val="22"/>
          <w:szCs w:val="22"/>
        </w:rPr>
        <w:t>Xpert</w:t>
      </w:r>
      <w:proofErr w:type="spellEnd"/>
      <w:r w:rsidRPr="005E21FC">
        <w:rPr>
          <w:i w:val="0"/>
          <w:color w:val="000000" w:themeColor="text1"/>
          <w:sz w:val="22"/>
          <w:szCs w:val="22"/>
        </w:rPr>
        <w:t xml:space="preserve"> MTB/RIF in the HIV- and HIV+ subpopulations resulting from LCA of five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 w:rsidR="00E21249" w:rsidRPr="005E21FC" w:rsidRDefault="00E21249" w:rsidP="00E21249">
      <w:pPr>
        <w:keepNext/>
      </w:pPr>
      <w:r>
        <w:rPr>
          <w:noProof/>
        </w:rPr>
        <w:lastRenderedPageBreak/>
        <w:drawing>
          <wp:inline distT="0" distB="0" distL="0" distR="0" wp14:anchorId="47D51D85" wp14:editId="55DA4D55">
            <wp:extent cx="5943600" cy="4441371"/>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xpert_5_sp_prior_posterior.tiff"/>
                    <pic:cNvPicPr/>
                  </pic:nvPicPr>
                  <pic:blipFill rotWithShape="1">
                    <a:blip r:embed="rId17" cstate="print">
                      <a:extLst>
                        <a:ext uri="{28A0092B-C50C-407E-A947-70E740481C1C}">
                          <a14:useLocalDpi xmlns:a14="http://schemas.microsoft.com/office/drawing/2010/main" val="0"/>
                        </a:ext>
                      </a:extLst>
                    </a:blip>
                    <a:srcRect b="25275"/>
                    <a:stretch/>
                  </pic:blipFill>
                  <pic:spPr bwMode="auto">
                    <a:xfrm>
                      <a:off x="0" y="0"/>
                      <a:ext cx="5943600" cy="4441371"/>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i w:val="0"/>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A.11</w:t>
      </w:r>
      <w:r w:rsidRPr="005E21FC">
        <w:rPr>
          <w:i w:val="0"/>
          <w:color w:val="000000" w:themeColor="text1"/>
          <w:sz w:val="22"/>
          <w:szCs w:val="22"/>
        </w:rPr>
        <w:t>:</w:t>
      </w:r>
      <w:r w:rsidRPr="005E21FC">
        <w:rPr>
          <w:color w:val="000000" w:themeColor="text1"/>
          <w:sz w:val="22"/>
          <w:szCs w:val="22"/>
        </w:rPr>
        <w:t xml:space="preserve"> </w:t>
      </w:r>
      <w:r w:rsidRPr="005E21FC">
        <w:rPr>
          <w:i w:val="0"/>
          <w:color w:val="000000" w:themeColor="text1"/>
          <w:sz w:val="22"/>
          <w:szCs w:val="22"/>
        </w:rPr>
        <w:t xml:space="preserve">Posterior distributions of specificity for </w:t>
      </w:r>
      <w:proofErr w:type="spellStart"/>
      <w:r w:rsidRPr="005E21FC">
        <w:rPr>
          <w:i w:val="0"/>
          <w:color w:val="000000" w:themeColor="text1"/>
          <w:sz w:val="22"/>
          <w:szCs w:val="22"/>
        </w:rPr>
        <w:t>Xpert</w:t>
      </w:r>
      <w:proofErr w:type="spellEnd"/>
      <w:r w:rsidRPr="005E21FC">
        <w:rPr>
          <w:i w:val="0"/>
          <w:color w:val="000000" w:themeColor="text1"/>
          <w:sz w:val="22"/>
          <w:szCs w:val="22"/>
        </w:rPr>
        <w:t xml:space="preserve"> MTB/RIF in the HIV- and HIV+ subpopulations resulting from LCA of five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 w:rsidR="00E21249" w:rsidRPr="005E21FC" w:rsidRDefault="00E21249" w:rsidP="00E21249"/>
    <w:p w:rsidR="00E21249" w:rsidRPr="005E21FC" w:rsidRDefault="00E21249" w:rsidP="00E21249"/>
    <w:p w:rsidR="00E21249" w:rsidRPr="005E21FC" w:rsidRDefault="00E21249" w:rsidP="00E21249"/>
    <w:p w:rsidR="00E21249" w:rsidRPr="005E21FC" w:rsidRDefault="00E21249" w:rsidP="00E21249"/>
    <w:p w:rsidR="00E21249" w:rsidRPr="005E21FC" w:rsidRDefault="00E21249" w:rsidP="00E21249"/>
    <w:p w:rsidR="00E21249" w:rsidRPr="005E21FC" w:rsidRDefault="00E21249" w:rsidP="00E21249"/>
    <w:p w:rsidR="00E21249" w:rsidRPr="005E21FC" w:rsidRDefault="00E21249" w:rsidP="00E21249">
      <w:pPr>
        <w:spacing w:line="240" w:lineRule="auto"/>
        <w:ind w:left="357"/>
        <w:rPr>
          <w:b/>
          <w:sz w:val="22"/>
          <w:szCs w:val="22"/>
        </w:rPr>
      </w:pPr>
      <w:r w:rsidRPr="005E21FC">
        <w:rPr>
          <w:b/>
          <w:sz w:val="22"/>
          <w:szCs w:val="22"/>
        </w:rPr>
        <w:lastRenderedPageBreak/>
        <w:t xml:space="preserve">Density functions for the prior and posterior distributions resulting from LCA of three diagnostic tests using </w:t>
      </w:r>
      <w:r w:rsidRPr="00EB66AE">
        <w:rPr>
          <w:b/>
          <w:sz w:val="22"/>
          <w:szCs w:val="22"/>
        </w:rPr>
        <w:t xml:space="preserve">the model allowing the diagnostic test accuracy and </w:t>
      </w:r>
      <w:r>
        <w:rPr>
          <w:b/>
          <w:sz w:val="22"/>
          <w:szCs w:val="22"/>
        </w:rPr>
        <w:t>PTB</w:t>
      </w:r>
      <w:r w:rsidRPr="00EB66AE">
        <w:rPr>
          <w:b/>
          <w:sz w:val="22"/>
          <w:szCs w:val="22"/>
        </w:rPr>
        <w:t xml:space="preserve"> prevalence to vary across the HIV subpopulations</w:t>
      </w:r>
      <w:r w:rsidRPr="009F499D">
        <w:rPr>
          <w:b/>
          <w:sz w:val="22"/>
          <w:szCs w:val="22"/>
        </w:rPr>
        <w:t xml:space="preserve"> (Working model IV)</w:t>
      </w:r>
    </w:p>
    <w:p w:rsidR="00E21249" w:rsidRPr="005E21FC" w:rsidRDefault="00E21249" w:rsidP="00E21249">
      <w:pPr>
        <w:spacing w:line="240" w:lineRule="auto"/>
        <w:rPr>
          <w:sz w:val="22"/>
          <w:szCs w:val="22"/>
        </w:rPr>
      </w:pPr>
    </w:p>
    <w:p w:rsidR="00E21249" w:rsidRPr="005E21FC" w:rsidRDefault="00E21249" w:rsidP="00E21249">
      <w:pPr>
        <w:keepNext/>
        <w:spacing w:line="240" w:lineRule="auto"/>
      </w:pPr>
      <w:r>
        <w:rPr>
          <w:noProof/>
        </w:rPr>
        <w:drawing>
          <wp:inline distT="0" distB="0" distL="0" distR="0" wp14:anchorId="32D5A3CD" wp14:editId="48F9B4DB">
            <wp:extent cx="5943600" cy="444137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two_pop_3_prev_prior_posterior.tiff"/>
                    <pic:cNvPicPr/>
                  </pic:nvPicPr>
                  <pic:blipFill rotWithShape="1">
                    <a:blip r:embed="rId18" cstate="print">
                      <a:extLst>
                        <a:ext uri="{28A0092B-C50C-407E-A947-70E740481C1C}">
                          <a14:useLocalDpi xmlns:a14="http://schemas.microsoft.com/office/drawing/2010/main" val="0"/>
                        </a:ext>
                      </a:extLst>
                    </a:blip>
                    <a:srcRect b="25275"/>
                    <a:stretch/>
                  </pic:blipFill>
                  <pic:spPr bwMode="auto">
                    <a:xfrm>
                      <a:off x="0" y="0"/>
                      <a:ext cx="5943600" cy="4441371"/>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A.12</w:t>
      </w:r>
      <w:r w:rsidRPr="005E21FC">
        <w:rPr>
          <w:i w:val="0"/>
          <w:color w:val="000000" w:themeColor="text1"/>
          <w:sz w:val="22"/>
          <w:szCs w:val="22"/>
        </w:rPr>
        <w:t>:</w:t>
      </w:r>
      <w:r w:rsidRPr="005E21FC">
        <w:rPr>
          <w:color w:val="000000" w:themeColor="text1"/>
          <w:sz w:val="22"/>
          <w:szCs w:val="22"/>
        </w:rPr>
        <w:t xml:space="preserve"> </w:t>
      </w:r>
      <w:r w:rsidRPr="005E21FC">
        <w:rPr>
          <w:i w:val="0"/>
          <w:color w:val="000000" w:themeColor="text1"/>
          <w:sz w:val="22"/>
          <w:szCs w:val="22"/>
        </w:rPr>
        <w:t xml:space="preserve">Posterior distributions of PTB prevalence in the HIV- and HIV+ subpopulations resulting from LCA of three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Pr>
        <w:spacing w:line="240" w:lineRule="auto"/>
        <w:rPr>
          <w:sz w:val="22"/>
          <w:szCs w:val="22"/>
        </w:rPr>
      </w:pPr>
    </w:p>
    <w:p w:rsidR="00E21249" w:rsidRPr="005E21FC" w:rsidRDefault="00E21249" w:rsidP="00E21249">
      <w:pPr>
        <w:keepNext/>
        <w:spacing w:line="240" w:lineRule="auto"/>
      </w:pPr>
      <w:r>
        <w:rPr>
          <w:noProof/>
        </w:rPr>
        <w:lastRenderedPageBreak/>
        <w:drawing>
          <wp:inline distT="0" distB="0" distL="0" distR="0" wp14:anchorId="2E9C170B" wp14:editId="352CC089">
            <wp:extent cx="5943600" cy="4447309"/>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any_symp_3_sen_prior_posterior.tiff"/>
                    <pic:cNvPicPr/>
                  </pic:nvPicPr>
                  <pic:blipFill rotWithShape="1">
                    <a:blip r:embed="rId19" cstate="print">
                      <a:extLst>
                        <a:ext uri="{28A0092B-C50C-407E-A947-70E740481C1C}">
                          <a14:useLocalDpi xmlns:a14="http://schemas.microsoft.com/office/drawing/2010/main" val="0"/>
                        </a:ext>
                      </a:extLst>
                    </a:blip>
                    <a:srcRect b="25175"/>
                    <a:stretch/>
                  </pic:blipFill>
                  <pic:spPr bwMode="auto">
                    <a:xfrm>
                      <a:off x="0" y="0"/>
                      <a:ext cx="5943600" cy="4447309"/>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A.13</w:t>
      </w:r>
      <w:r w:rsidRPr="005E21FC">
        <w:rPr>
          <w:i w:val="0"/>
          <w:color w:val="000000" w:themeColor="text1"/>
          <w:sz w:val="22"/>
          <w:szCs w:val="22"/>
        </w:rPr>
        <w:t>:</w:t>
      </w:r>
      <w:r w:rsidRPr="005E21FC">
        <w:rPr>
          <w:color w:val="000000" w:themeColor="text1"/>
          <w:sz w:val="22"/>
          <w:szCs w:val="22"/>
        </w:rPr>
        <w:t xml:space="preserve"> </w:t>
      </w:r>
      <w:r w:rsidRPr="005E21FC">
        <w:rPr>
          <w:i w:val="0"/>
          <w:color w:val="000000" w:themeColor="text1"/>
          <w:sz w:val="22"/>
          <w:szCs w:val="22"/>
        </w:rPr>
        <w:t xml:space="preserve">Posterior distributions of sensitivity for any PTB symptom in the HIV- and HIV+ subpopulations resulting from LCA of three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Pr>
        <w:keepNext/>
        <w:spacing w:line="240" w:lineRule="auto"/>
      </w:pPr>
      <w:r>
        <w:rPr>
          <w:noProof/>
        </w:rPr>
        <w:lastRenderedPageBreak/>
        <w:drawing>
          <wp:inline distT="0" distB="0" distL="0" distR="0" wp14:anchorId="10E322D0" wp14:editId="74BB2D46">
            <wp:extent cx="5943600" cy="4476997"/>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any_symp_3_sp_prior_posterior.tiff"/>
                    <pic:cNvPicPr/>
                  </pic:nvPicPr>
                  <pic:blipFill rotWithShape="1">
                    <a:blip r:embed="rId20" cstate="print">
                      <a:extLst>
                        <a:ext uri="{28A0092B-C50C-407E-A947-70E740481C1C}">
                          <a14:useLocalDpi xmlns:a14="http://schemas.microsoft.com/office/drawing/2010/main" val="0"/>
                        </a:ext>
                      </a:extLst>
                    </a:blip>
                    <a:srcRect b="24675"/>
                    <a:stretch/>
                  </pic:blipFill>
                  <pic:spPr bwMode="auto">
                    <a:xfrm>
                      <a:off x="0" y="0"/>
                      <a:ext cx="5943600" cy="4476997"/>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A.14</w:t>
      </w:r>
      <w:r w:rsidRPr="005E21FC">
        <w:rPr>
          <w:i w:val="0"/>
          <w:color w:val="000000" w:themeColor="text1"/>
          <w:sz w:val="22"/>
          <w:szCs w:val="22"/>
        </w:rPr>
        <w:t>:</w:t>
      </w:r>
      <w:r w:rsidRPr="005E21FC">
        <w:rPr>
          <w:color w:val="000000" w:themeColor="text1"/>
          <w:sz w:val="22"/>
          <w:szCs w:val="22"/>
        </w:rPr>
        <w:t xml:space="preserve"> </w:t>
      </w:r>
      <w:r w:rsidRPr="005E21FC">
        <w:rPr>
          <w:i w:val="0"/>
          <w:color w:val="000000" w:themeColor="text1"/>
          <w:sz w:val="22"/>
          <w:szCs w:val="22"/>
        </w:rPr>
        <w:t xml:space="preserve">Posterior distributions of specificity for any PTB symptom in the HIV- and HIV+ subpopulations resulting from LCA of three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Pr>
        <w:spacing w:line="240" w:lineRule="auto"/>
        <w:rPr>
          <w:sz w:val="22"/>
          <w:szCs w:val="22"/>
        </w:rPr>
      </w:pPr>
    </w:p>
    <w:p w:rsidR="00E21249" w:rsidRPr="005E21FC" w:rsidRDefault="00E21249" w:rsidP="00E21249">
      <w:pPr>
        <w:spacing w:line="240" w:lineRule="auto"/>
        <w:rPr>
          <w:sz w:val="22"/>
          <w:szCs w:val="22"/>
        </w:rPr>
      </w:pPr>
    </w:p>
    <w:p w:rsidR="00E21249" w:rsidRPr="005E21FC" w:rsidRDefault="00E21249" w:rsidP="00E21249">
      <w:pPr>
        <w:spacing w:line="240" w:lineRule="auto"/>
        <w:rPr>
          <w:sz w:val="22"/>
          <w:szCs w:val="22"/>
        </w:rPr>
      </w:pPr>
    </w:p>
    <w:p w:rsidR="00E21249" w:rsidRPr="005E21FC" w:rsidRDefault="00E21249" w:rsidP="00E21249">
      <w:pPr>
        <w:spacing w:line="240" w:lineRule="auto"/>
        <w:rPr>
          <w:sz w:val="22"/>
          <w:szCs w:val="22"/>
        </w:rPr>
      </w:pPr>
    </w:p>
    <w:p w:rsidR="00E21249" w:rsidRPr="005E21FC" w:rsidRDefault="00E21249" w:rsidP="00E21249">
      <w:pPr>
        <w:keepNext/>
        <w:spacing w:line="240" w:lineRule="auto"/>
      </w:pPr>
      <w:r>
        <w:rPr>
          <w:noProof/>
        </w:rPr>
        <w:lastRenderedPageBreak/>
        <w:drawing>
          <wp:inline distT="0" distB="0" distL="0" distR="0" wp14:anchorId="4BC4BA9C" wp14:editId="5537C6F7">
            <wp:extent cx="5943600" cy="4441371"/>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ad4tb_3_sen_prior_posterior.tiff"/>
                    <pic:cNvPicPr/>
                  </pic:nvPicPr>
                  <pic:blipFill rotWithShape="1">
                    <a:blip r:embed="rId21" cstate="print">
                      <a:extLst>
                        <a:ext uri="{28A0092B-C50C-407E-A947-70E740481C1C}">
                          <a14:useLocalDpi xmlns:a14="http://schemas.microsoft.com/office/drawing/2010/main" val="0"/>
                        </a:ext>
                      </a:extLst>
                    </a:blip>
                    <a:srcRect b="25275"/>
                    <a:stretch/>
                  </pic:blipFill>
                  <pic:spPr bwMode="auto">
                    <a:xfrm>
                      <a:off x="0" y="0"/>
                      <a:ext cx="5943600" cy="4441371"/>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A.15</w:t>
      </w:r>
      <w:r w:rsidRPr="005E21FC">
        <w:rPr>
          <w:i w:val="0"/>
          <w:color w:val="000000" w:themeColor="text1"/>
          <w:sz w:val="22"/>
          <w:szCs w:val="22"/>
        </w:rPr>
        <w:t>:</w:t>
      </w:r>
      <w:r w:rsidRPr="005E21FC">
        <w:rPr>
          <w:color w:val="000000" w:themeColor="text1"/>
          <w:sz w:val="22"/>
          <w:szCs w:val="22"/>
        </w:rPr>
        <w:t xml:space="preserve"> </w:t>
      </w:r>
      <w:r w:rsidRPr="005E21FC">
        <w:rPr>
          <w:i w:val="0"/>
          <w:color w:val="000000" w:themeColor="text1"/>
          <w:sz w:val="22"/>
          <w:szCs w:val="22"/>
        </w:rPr>
        <w:t xml:space="preserve">Posterior distributions of sensitivity for CAD4TB in the HIV- and HIV+ subpopulations resulting from LCA of three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Pr>
        <w:keepNext/>
        <w:spacing w:line="240" w:lineRule="auto"/>
      </w:pPr>
      <w:r>
        <w:rPr>
          <w:noProof/>
        </w:rPr>
        <w:lastRenderedPageBreak/>
        <w:drawing>
          <wp:inline distT="0" distB="0" distL="0" distR="0" wp14:anchorId="57D8D8D5" wp14:editId="35033AD2">
            <wp:extent cx="5943600" cy="4459184"/>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cad4tb_3_sp_prior_posterior.tiff"/>
                    <pic:cNvPicPr/>
                  </pic:nvPicPr>
                  <pic:blipFill rotWithShape="1">
                    <a:blip r:embed="rId22" cstate="print">
                      <a:extLst>
                        <a:ext uri="{28A0092B-C50C-407E-A947-70E740481C1C}">
                          <a14:useLocalDpi xmlns:a14="http://schemas.microsoft.com/office/drawing/2010/main" val="0"/>
                        </a:ext>
                      </a:extLst>
                    </a:blip>
                    <a:srcRect b="24975"/>
                    <a:stretch/>
                  </pic:blipFill>
                  <pic:spPr bwMode="auto">
                    <a:xfrm>
                      <a:off x="0" y="0"/>
                      <a:ext cx="5943600" cy="4459184"/>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A.16</w:t>
      </w:r>
      <w:r w:rsidRPr="005E21FC">
        <w:rPr>
          <w:i w:val="0"/>
          <w:color w:val="000000" w:themeColor="text1"/>
          <w:sz w:val="22"/>
          <w:szCs w:val="22"/>
        </w:rPr>
        <w:t>:</w:t>
      </w:r>
      <w:r w:rsidRPr="005E21FC">
        <w:rPr>
          <w:color w:val="000000" w:themeColor="text1"/>
          <w:sz w:val="22"/>
          <w:szCs w:val="22"/>
        </w:rPr>
        <w:t xml:space="preserve"> </w:t>
      </w:r>
      <w:r w:rsidRPr="005E21FC">
        <w:rPr>
          <w:i w:val="0"/>
          <w:color w:val="000000" w:themeColor="text1"/>
          <w:sz w:val="22"/>
          <w:szCs w:val="22"/>
        </w:rPr>
        <w:t xml:space="preserve">Posterior distributions of specificity for CAD4TB in the HIV- and HIV+ subpopulations resulting from LCA of three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Pr>
        <w:spacing w:line="240" w:lineRule="auto"/>
        <w:rPr>
          <w:sz w:val="22"/>
          <w:szCs w:val="22"/>
        </w:rPr>
      </w:pPr>
    </w:p>
    <w:p w:rsidR="00E21249" w:rsidRPr="005E21FC" w:rsidRDefault="00E21249" w:rsidP="00E21249">
      <w:pPr>
        <w:ind w:left="720" w:hanging="360"/>
      </w:pPr>
    </w:p>
    <w:p w:rsidR="00E21249" w:rsidRPr="005E21FC" w:rsidRDefault="00E21249" w:rsidP="00E21249">
      <w:pPr>
        <w:ind w:left="720" w:hanging="360"/>
      </w:pPr>
    </w:p>
    <w:p w:rsidR="00E21249" w:rsidRPr="005E21FC" w:rsidRDefault="00E21249" w:rsidP="00E21249">
      <w:pPr>
        <w:keepNext/>
        <w:ind w:left="720" w:hanging="360"/>
      </w:pPr>
      <w:r>
        <w:rPr>
          <w:noProof/>
        </w:rPr>
        <w:lastRenderedPageBreak/>
        <w:drawing>
          <wp:inline distT="0" distB="0" distL="0" distR="0" wp14:anchorId="57F46327" wp14:editId="558CB957">
            <wp:extent cx="5943600" cy="4471060"/>
            <wp:effectExtent l="0" t="0" r="0" b="571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xpert_3_sen_prior_posterior.tiff"/>
                    <pic:cNvPicPr/>
                  </pic:nvPicPr>
                  <pic:blipFill rotWithShape="1">
                    <a:blip r:embed="rId23" cstate="print">
                      <a:extLst>
                        <a:ext uri="{28A0092B-C50C-407E-A947-70E740481C1C}">
                          <a14:useLocalDpi xmlns:a14="http://schemas.microsoft.com/office/drawing/2010/main" val="0"/>
                        </a:ext>
                      </a:extLst>
                    </a:blip>
                    <a:srcRect b="24775"/>
                    <a:stretch/>
                  </pic:blipFill>
                  <pic:spPr bwMode="auto">
                    <a:xfrm>
                      <a:off x="0" y="0"/>
                      <a:ext cx="5943600" cy="4471060"/>
                    </a:xfrm>
                    <a:prstGeom prst="rect">
                      <a:avLst/>
                    </a:prstGeom>
                    <a:ln>
                      <a:noFill/>
                    </a:ln>
                    <a:extLst>
                      <a:ext uri="{53640926-AAD7-44D8-BBD7-CCE9431645EC}">
                        <a14:shadowObscured xmlns:a14="http://schemas.microsoft.com/office/drawing/2010/main"/>
                      </a:ext>
                    </a:extLst>
                  </pic:spPr>
                </pic:pic>
              </a:graphicData>
            </a:graphic>
          </wp:inline>
        </w:drawing>
      </w:r>
    </w:p>
    <w:p w:rsidR="00E21249" w:rsidRPr="005E21FC" w:rsidRDefault="00E21249" w:rsidP="00E21249">
      <w:pPr>
        <w:pStyle w:val="Caption"/>
        <w:rPr>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A.17</w:t>
      </w:r>
      <w:r w:rsidRPr="005E21FC">
        <w:rPr>
          <w:i w:val="0"/>
          <w:color w:val="000000" w:themeColor="text1"/>
          <w:sz w:val="22"/>
          <w:szCs w:val="22"/>
        </w:rPr>
        <w:t>:</w:t>
      </w:r>
      <w:r w:rsidRPr="005E21FC">
        <w:rPr>
          <w:color w:val="000000" w:themeColor="text1"/>
          <w:sz w:val="22"/>
          <w:szCs w:val="22"/>
        </w:rPr>
        <w:t xml:space="preserve"> </w:t>
      </w:r>
      <w:r w:rsidRPr="005E21FC">
        <w:rPr>
          <w:i w:val="0"/>
          <w:color w:val="000000" w:themeColor="text1"/>
          <w:sz w:val="22"/>
          <w:szCs w:val="22"/>
        </w:rPr>
        <w:t xml:space="preserve">Posterior distributions of sensitivity for </w:t>
      </w:r>
      <w:proofErr w:type="spellStart"/>
      <w:r w:rsidRPr="005E21FC">
        <w:rPr>
          <w:i w:val="0"/>
          <w:color w:val="000000" w:themeColor="text1"/>
          <w:sz w:val="22"/>
          <w:szCs w:val="22"/>
        </w:rPr>
        <w:t>Xpert</w:t>
      </w:r>
      <w:proofErr w:type="spellEnd"/>
      <w:r w:rsidRPr="005E21FC">
        <w:rPr>
          <w:i w:val="0"/>
          <w:color w:val="000000" w:themeColor="text1"/>
          <w:sz w:val="22"/>
          <w:szCs w:val="22"/>
        </w:rPr>
        <w:t xml:space="preserve"> MTB/RIF in the HIV- and HIV+ subpopulations resulting from LCA of three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p w:rsidR="00E21249" w:rsidRPr="005E21FC" w:rsidRDefault="00E21249" w:rsidP="00E21249">
      <w:pPr>
        <w:keepNext/>
        <w:ind w:left="720" w:hanging="360"/>
      </w:pPr>
      <w:r>
        <w:rPr>
          <w:noProof/>
        </w:rPr>
        <w:lastRenderedPageBreak/>
        <w:drawing>
          <wp:inline distT="0" distB="0" distL="0" distR="0" wp14:anchorId="12AF2735" wp14:editId="647FE59B">
            <wp:extent cx="5943600" cy="4447309"/>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xpert_3_sp_prior_posterior.tiff"/>
                    <pic:cNvPicPr/>
                  </pic:nvPicPr>
                  <pic:blipFill rotWithShape="1">
                    <a:blip r:embed="rId24" cstate="print">
                      <a:extLst>
                        <a:ext uri="{28A0092B-C50C-407E-A947-70E740481C1C}">
                          <a14:useLocalDpi xmlns:a14="http://schemas.microsoft.com/office/drawing/2010/main" val="0"/>
                        </a:ext>
                      </a:extLst>
                    </a:blip>
                    <a:srcRect b="25175"/>
                    <a:stretch/>
                  </pic:blipFill>
                  <pic:spPr bwMode="auto">
                    <a:xfrm>
                      <a:off x="0" y="0"/>
                      <a:ext cx="5943600" cy="4447309"/>
                    </a:xfrm>
                    <a:prstGeom prst="rect">
                      <a:avLst/>
                    </a:prstGeom>
                    <a:ln>
                      <a:noFill/>
                    </a:ln>
                    <a:extLst>
                      <a:ext uri="{53640926-AAD7-44D8-BBD7-CCE9431645EC}">
                        <a14:shadowObscured xmlns:a14="http://schemas.microsoft.com/office/drawing/2010/main"/>
                      </a:ext>
                    </a:extLst>
                  </pic:spPr>
                </pic:pic>
              </a:graphicData>
            </a:graphic>
          </wp:inline>
        </w:drawing>
      </w:r>
    </w:p>
    <w:p w:rsidR="00E21249" w:rsidRDefault="00E21249" w:rsidP="00E21249">
      <w:pPr>
        <w:pStyle w:val="Caption"/>
        <w:rPr>
          <w:i w:val="0"/>
          <w:color w:val="000000" w:themeColor="text1"/>
          <w:sz w:val="22"/>
          <w:szCs w:val="22"/>
        </w:rPr>
      </w:pPr>
      <w:r w:rsidRPr="005E21FC">
        <w:rPr>
          <w:i w:val="0"/>
          <w:color w:val="000000" w:themeColor="text1"/>
          <w:sz w:val="22"/>
          <w:szCs w:val="22"/>
        </w:rPr>
        <w:t xml:space="preserve">Figure </w:t>
      </w:r>
      <w:r>
        <w:rPr>
          <w:i w:val="0"/>
          <w:color w:val="000000" w:themeColor="text1"/>
          <w:sz w:val="22"/>
          <w:szCs w:val="22"/>
        </w:rPr>
        <w:t>A.18</w:t>
      </w:r>
      <w:r w:rsidRPr="005E21FC">
        <w:rPr>
          <w:i w:val="0"/>
          <w:color w:val="000000" w:themeColor="text1"/>
          <w:sz w:val="22"/>
          <w:szCs w:val="22"/>
        </w:rPr>
        <w:t>:</w:t>
      </w:r>
      <w:r w:rsidRPr="005E21FC">
        <w:rPr>
          <w:color w:val="000000" w:themeColor="text1"/>
          <w:sz w:val="22"/>
          <w:szCs w:val="22"/>
        </w:rPr>
        <w:t xml:space="preserve"> </w:t>
      </w:r>
      <w:r w:rsidRPr="005E21FC">
        <w:rPr>
          <w:i w:val="0"/>
          <w:color w:val="000000" w:themeColor="text1"/>
          <w:sz w:val="22"/>
          <w:szCs w:val="22"/>
        </w:rPr>
        <w:t xml:space="preserve">Posterior distributions of specificity for </w:t>
      </w:r>
      <w:proofErr w:type="spellStart"/>
      <w:r w:rsidRPr="005E21FC">
        <w:rPr>
          <w:i w:val="0"/>
          <w:color w:val="000000" w:themeColor="text1"/>
          <w:sz w:val="22"/>
          <w:szCs w:val="22"/>
        </w:rPr>
        <w:t>Xpert</w:t>
      </w:r>
      <w:proofErr w:type="spellEnd"/>
      <w:r w:rsidRPr="005E21FC">
        <w:rPr>
          <w:i w:val="0"/>
          <w:color w:val="000000" w:themeColor="text1"/>
          <w:sz w:val="22"/>
          <w:szCs w:val="22"/>
        </w:rPr>
        <w:t xml:space="preserve"> MTB/RIF in the HIV- and HIV+ subpopulations resulting from LCA of three diagnostic tests using the </w:t>
      </w:r>
      <w:r>
        <w:rPr>
          <w:i w:val="0"/>
          <w:color w:val="000000" w:themeColor="text1"/>
          <w:sz w:val="22"/>
          <w:szCs w:val="22"/>
        </w:rPr>
        <w:t xml:space="preserve">model </w:t>
      </w:r>
      <w:r w:rsidRPr="00EB66AE">
        <w:rPr>
          <w:i w:val="0"/>
          <w:color w:val="000000" w:themeColor="text1"/>
          <w:sz w:val="22"/>
          <w:szCs w:val="22"/>
        </w:rPr>
        <w:t xml:space="preserve">allowing the diagnostic </w:t>
      </w:r>
      <w:r>
        <w:rPr>
          <w:i w:val="0"/>
          <w:color w:val="000000" w:themeColor="text1"/>
          <w:sz w:val="22"/>
          <w:szCs w:val="22"/>
        </w:rPr>
        <w:t xml:space="preserve">test </w:t>
      </w:r>
      <w:r w:rsidRPr="00EB66AE">
        <w:rPr>
          <w:i w:val="0"/>
          <w:color w:val="000000" w:themeColor="text1"/>
          <w:sz w:val="22"/>
          <w:szCs w:val="22"/>
        </w:rPr>
        <w:t xml:space="preserve">accuracy and </w:t>
      </w:r>
      <w:r>
        <w:rPr>
          <w:i w:val="0"/>
          <w:color w:val="000000" w:themeColor="text1"/>
          <w:sz w:val="22"/>
          <w:szCs w:val="22"/>
        </w:rPr>
        <w:t>PTB</w:t>
      </w:r>
      <w:r w:rsidRPr="00EB66AE">
        <w:rPr>
          <w:i w:val="0"/>
          <w:color w:val="000000" w:themeColor="text1"/>
          <w:sz w:val="22"/>
          <w:szCs w:val="22"/>
        </w:rPr>
        <w:t xml:space="preserve"> prevalence to vary across the </w:t>
      </w:r>
      <w:r>
        <w:rPr>
          <w:i w:val="0"/>
          <w:color w:val="000000" w:themeColor="text1"/>
          <w:sz w:val="22"/>
          <w:szCs w:val="22"/>
        </w:rPr>
        <w:t xml:space="preserve">HIV </w:t>
      </w:r>
      <w:r w:rsidRPr="00EB66AE">
        <w:rPr>
          <w:i w:val="0"/>
          <w:color w:val="000000" w:themeColor="text1"/>
          <w:sz w:val="22"/>
          <w:szCs w:val="22"/>
        </w:rPr>
        <w:t>subpopulations</w:t>
      </w:r>
      <w:r>
        <w:rPr>
          <w:i w:val="0"/>
          <w:color w:val="000000" w:themeColor="text1"/>
          <w:sz w:val="22"/>
          <w:szCs w:val="22"/>
        </w:rPr>
        <w:t xml:space="preserve"> (Working model IV)</w:t>
      </w:r>
    </w:p>
    <w:sectPr w:rsidR="00E21249">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0596" w:rsidRDefault="00220596" w:rsidP="006D61DB">
      <w:pPr>
        <w:spacing w:after="0" w:line="240" w:lineRule="auto"/>
      </w:pPr>
      <w:r>
        <w:separator/>
      </w:r>
    </w:p>
  </w:endnote>
  <w:endnote w:type="continuationSeparator" w:id="0">
    <w:p w:rsidR="00220596" w:rsidRDefault="00220596" w:rsidP="006D61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4129089"/>
      <w:docPartObj>
        <w:docPartGallery w:val="Page Numbers (Bottom of Page)"/>
        <w:docPartUnique/>
      </w:docPartObj>
    </w:sdtPr>
    <w:sdtEndPr>
      <w:rPr>
        <w:noProof/>
      </w:rPr>
    </w:sdtEndPr>
    <w:sdtContent>
      <w:p w:rsidR="006D61DB" w:rsidRDefault="006D61DB">
        <w:pPr>
          <w:pStyle w:val="Footer"/>
          <w:jc w:val="center"/>
        </w:pPr>
        <w:r>
          <w:fldChar w:fldCharType="begin"/>
        </w:r>
        <w:r>
          <w:instrText xml:space="preserve"> PAGE   \* MERGEFORMAT </w:instrText>
        </w:r>
        <w:r>
          <w:fldChar w:fldCharType="separate"/>
        </w:r>
        <w:r w:rsidR="00E21249">
          <w:rPr>
            <w:noProof/>
          </w:rPr>
          <w:t>20</w:t>
        </w:r>
        <w:r>
          <w:rPr>
            <w:noProof/>
          </w:rPr>
          <w:fldChar w:fldCharType="end"/>
        </w:r>
      </w:p>
    </w:sdtContent>
  </w:sdt>
  <w:p w:rsidR="006D61DB" w:rsidRDefault="006D61D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0596" w:rsidRDefault="00220596" w:rsidP="006D61DB">
      <w:pPr>
        <w:spacing w:after="0" w:line="240" w:lineRule="auto"/>
      </w:pPr>
      <w:r>
        <w:separator/>
      </w:r>
    </w:p>
  </w:footnote>
  <w:footnote w:type="continuationSeparator" w:id="0">
    <w:p w:rsidR="00220596" w:rsidRDefault="00220596" w:rsidP="006D61D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7616C4"/>
    <w:multiLevelType w:val="hybridMultilevel"/>
    <w:tmpl w:val="1CB256FC"/>
    <w:lvl w:ilvl="0" w:tplc="6D3CF8F2">
      <w:start w:val="1"/>
      <w:numFmt w:val="decimal"/>
      <w:pStyle w:val="Heading2"/>
      <w:lvlText w:val="%1."/>
      <w:lvlJc w:val="left"/>
      <w:pPr>
        <w:ind w:left="500" w:hanging="360"/>
      </w:pPr>
    </w:lvl>
    <w:lvl w:ilvl="1" w:tplc="04090019" w:tentative="1">
      <w:start w:val="1"/>
      <w:numFmt w:val="lowerLetter"/>
      <w:lvlText w:val="%2."/>
      <w:lvlJc w:val="left"/>
      <w:pPr>
        <w:ind w:left="1220" w:hanging="360"/>
      </w:pPr>
    </w:lvl>
    <w:lvl w:ilvl="2" w:tplc="0409001B" w:tentative="1">
      <w:start w:val="1"/>
      <w:numFmt w:val="lowerRoman"/>
      <w:lvlText w:val="%3."/>
      <w:lvlJc w:val="right"/>
      <w:pPr>
        <w:ind w:left="1940" w:hanging="180"/>
      </w:pPr>
    </w:lvl>
    <w:lvl w:ilvl="3" w:tplc="0409000F" w:tentative="1">
      <w:start w:val="1"/>
      <w:numFmt w:val="decimal"/>
      <w:lvlText w:val="%4."/>
      <w:lvlJc w:val="left"/>
      <w:pPr>
        <w:ind w:left="2660" w:hanging="360"/>
      </w:pPr>
    </w:lvl>
    <w:lvl w:ilvl="4" w:tplc="04090019" w:tentative="1">
      <w:start w:val="1"/>
      <w:numFmt w:val="lowerLetter"/>
      <w:lvlText w:val="%5."/>
      <w:lvlJc w:val="left"/>
      <w:pPr>
        <w:ind w:left="3380" w:hanging="360"/>
      </w:pPr>
    </w:lvl>
    <w:lvl w:ilvl="5" w:tplc="0409001B" w:tentative="1">
      <w:start w:val="1"/>
      <w:numFmt w:val="lowerRoman"/>
      <w:lvlText w:val="%6."/>
      <w:lvlJc w:val="right"/>
      <w:pPr>
        <w:ind w:left="4100" w:hanging="180"/>
      </w:pPr>
    </w:lvl>
    <w:lvl w:ilvl="6" w:tplc="0409000F" w:tentative="1">
      <w:start w:val="1"/>
      <w:numFmt w:val="decimal"/>
      <w:lvlText w:val="%7."/>
      <w:lvlJc w:val="left"/>
      <w:pPr>
        <w:ind w:left="4820" w:hanging="360"/>
      </w:pPr>
    </w:lvl>
    <w:lvl w:ilvl="7" w:tplc="04090019" w:tentative="1">
      <w:start w:val="1"/>
      <w:numFmt w:val="lowerLetter"/>
      <w:lvlText w:val="%8."/>
      <w:lvlJc w:val="left"/>
      <w:pPr>
        <w:ind w:left="5540" w:hanging="360"/>
      </w:pPr>
    </w:lvl>
    <w:lvl w:ilvl="8" w:tplc="0409001B" w:tentative="1">
      <w:start w:val="1"/>
      <w:numFmt w:val="lowerRoman"/>
      <w:lvlText w:val="%9."/>
      <w:lvlJc w:val="right"/>
      <w:pPr>
        <w:ind w:left="6260" w:hanging="180"/>
      </w:pPr>
    </w:lvl>
  </w:abstractNum>
  <w:abstractNum w:abstractNumId="1" w15:restartNumberingAfterBreak="0">
    <w:nsid w:val="114F392C"/>
    <w:multiLevelType w:val="hybridMultilevel"/>
    <w:tmpl w:val="EC24CC96"/>
    <w:lvl w:ilvl="0" w:tplc="85326E90">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D37E1A"/>
    <w:multiLevelType w:val="hybridMultilevel"/>
    <w:tmpl w:val="F6EC6FDE"/>
    <w:lvl w:ilvl="0" w:tplc="D59C3EF8">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8D0864"/>
    <w:multiLevelType w:val="hybridMultilevel"/>
    <w:tmpl w:val="F2ECEFDE"/>
    <w:lvl w:ilvl="0" w:tplc="B458486E">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616195"/>
    <w:multiLevelType w:val="hybridMultilevel"/>
    <w:tmpl w:val="ABE4C33E"/>
    <w:lvl w:ilvl="0" w:tplc="E65633B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9DF551C"/>
    <w:multiLevelType w:val="hybridMultilevel"/>
    <w:tmpl w:val="8C4CBAA4"/>
    <w:lvl w:ilvl="0" w:tplc="AEC8D5AA">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B25331D"/>
    <w:multiLevelType w:val="hybridMultilevel"/>
    <w:tmpl w:val="5008CD70"/>
    <w:lvl w:ilvl="0" w:tplc="FAB224E4">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9226875"/>
    <w:multiLevelType w:val="multilevel"/>
    <w:tmpl w:val="646CD77A"/>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60462F2D"/>
    <w:multiLevelType w:val="multilevel"/>
    <w:tmpl w:val="06B6B9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6A645F5B"/>
    <w:multiLevelType w:val="hybridMultilevel"/>
    <w:tmpl w:val="AAFAAD76"/>
    <w:lvl w:ilvl="0" w:tplc="B9C6846E">
      <w:start w:val="1"/>
      <w:numFmt w:val="decimal"/>
      <w:lvlText w:val="%1."/>
      <w:lvlJc w:val="left"/>
      <w:pPr>
        <w:ind w:left="930" w:hanging="360"/>
      </w:p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10" w15:restartNumberingAfterBreak="0">
    <w:nsid w:val="7E252479"/>
    <w:multiLevelType w:val="hybridMultilevel"/>
    <w:tmpl w:val="B552A82A"/>
    <w:lvl w:ilvl="0" w:tplc="EFFE829E">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0"/>
  </w:num>
  <w:num w:numId="3">
    <w:abstractNumId w:val="9"/>
  </w:num>
  <w:num w:numId="4">
    <w:abstractNumId w:val="9"/>
  </w:num>
  <w:num w:numId="5">
    <w:abstractNumId w:val="3"/>
  </w:num>
  <w:num w:numId="6">
    <w:abstractNumId w:val="8"/>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1"/>
  </w:num>
  <w:num w:numId="10">
    <w:abstractNumId w:val="6"/>
  </w:num>
  <w:num w:numId="11">
    <w:abstractNumId w:val="2"/>
  </w:num>
  <w:num w:numId="12">
    <w:abstractNumId w:val="4"/>
  </w:num>
  <w:num w:numId="13">
    <w:abstractNumId w:val="6"/>
  </w:num>
  <w:num w:numId="14">
    <w:abstractNumId w:val="1"/>
  </w:num>
  <w:num w:numId="15">
    <w:abstractNumId w:val="7"/>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7"/>
  </w:num>
  <w:num w:numId="21">
    <w:abstractNumId w:val="7"/>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61DB"/>
    <w:rsid w:val="00220596"/>
    <w:rsid w:val="0035085D"/>
    <w:rsid w:val="00617194"/>
    <w:rsid w:val="006D61DB"/>
    <w:rsid w:val="00754392"/>
    <w:rsid w:val="0086448C"/>
    <w:rsid w:val="009465E4"/>
    <w:rsid w:val="009C0BDE"/>
    <w:rsid w:val="009E204A"/>
    <w:rsid w:val="00BB6433"/>
    <w:rsid w:val="00C1338F"/>
    <w:rsid w:val="00C83155"/>
    <w:rsid w:val="00E21249"/>
    <w:rsid w:val="00EE5EB4"/>
    <w:rsid w:val="00F43CF9"/>
    <w:rsid w:val="00F862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8E6F4F-0480-43AA-AE2C-8F0F1C230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iCs/>
        <w:color w:val="000000" w:themeColor="text1"/>
        <w:sz w:val="24"/>
        <w:szCs w:val="18"/>
        <w:lang w:val="en-US" w:eastAsia="en-US" w:bidi="ar-SA"/>
      </w:rPr>
    </w:rPrDefault>
    <w:pPrDefault>
      <w:pPr>
        <w:spacing w:after="160" w:line="48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61DB"/>
    <w:rPr>
      <w:iCs w:val="0"/>
    </w:rPr>
  </w:style>
  <w:style w:type="paragraph" w:styleId="Heading1">
    <w:name w:val="heading 1"/>
    <w:basedOn w:val="Normal"/>
    <w:link w:val="Heading1Char"/>
    <w:autoRedefine/>
    <w:uiPriority w:val="9"/>
    <w:qFormat/>
    <w:rsid w:val="009C0BDE"/>
    <w:pPr>
      <w:keepNext/>
      <w:keepLines/>
      <w:numPr>
        <w:numId w:val="21"/>
      </w:numPr>
      <w:spacing w:after="120"/>
      <w:outlineLvl w:val="0"/>
    </w:pPr>
    <w:rPr>
      <w:rFonts w:asciiTheme="minorHAnsi" w:eastAsiaTheme="majorEastAsia" w:hAnsiTheme="minorHAnsi" w:cstheme="majorBidi"/>
      <w:b/>
      <w:color w:val="auto"/>
      <w:szCs w:val="32"/>
    </w:rPr>
  </w:style>
  <w:style w:type="paragraph" w:styleId="Heading2">
    <w:name w:val="heading 2"/>
    <w:basedOn w:val="Normal"/>
    <w:link w:val="Heading2Char"/>
    <w:autoRedefine/>
    <w:uiPriority w:val="9"/>
    <w:unhideWhenUsed/>
    <w:qFormat/>
    <w:rsid w:val="009465E4"/>
    <w:pPr>
      <w:keepNext/>
      <w:keepLines/>
      <w:numPr>
        <w:numId w:val="19"/>
      </w:numPr>
      <w:tabs>
        <w:tab w:val="num" w:pos="720"/>
      </w:tabs>
      <w:spacing w:after="120"/>
      <w:outlineLvl w:val="1"/>
    </w:pPr>
    <w:rPr>
      <w:rFonts w:asciiTheme="minorHAnsi" w:eastAsiaTheme="majorEastAsia" w:hAnsiTheme="minorHAnsi" w:cstheme="majorBidi"/>
      <w:b/>
      <w:color w:val="auto"/>
      <w:szCs w:val="26"/>
    </w:rPr>
  </w:style>
  <w:style w:type="paragraph" w:styleId="Heading3">
    <w:name w:val="heading 3"/>
    <w:basedOn w:val="Normal"/>
    <w:link w:val="Heading3Char"/>
    <w:autoRedefine/>
    <w:uiPriority w:val="9"/>
    <w:semiHidden/>
    <w:unhideWhenUsed/>
    <w:qFormat/>
    <w:rsid w:val="00617194"/>
    <w:pPr>
      <w:keepNext/>
      <w:keepLines/>
      <w:tabs>
        <w:tab w:val="num" w:pos="720"/>
      </w:tabs>
      <w:spacing w:after="120"/>
      <w:ind w:left="720" w:hanging="720"/>
      <w:outlineLvl w:val="2"/>
    </w:pPr>
    <w:rPr>
      <w:rFonts w:asciiTheme="minorHAnsi" w:eastAsiaTheme="majorEastAsia" w:hAnsiTheme="minorHAnsi" w:cstheme="majorBidi"/>
      <w:b/>
      <w:color w:val="auto"/>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0BDE"/>
    <w:rPr>
      <w:rFonts w:asciiTheme="minorHAnsi" w:eastAsiaTheme="majorEastAsia" w:hAnsiTheme="minorHAnsi" w:cstheme="majorBidi"/>
      <w:b/>
      <w:iCs w:val="0"/>
      <w:color w:val="auto"/>
      <w:szCs w:val="32"/>
    </w:rPr>
  </w:style>
  <w:style w:type="paragraph" w:customStyle="1" w:styleId="Style2">
    <w:name w:val="Style2"/>
    <w:basedOn w:val="Heading2"/>
    <w:link w:val="Style2Char"/>
    <w:autoRedefine/>
    <w:qFormat/>
    <w:rsid w:val="00754392"/>
    <w:pPr>
      <w:numPr>
        <w:numId w:val="0"/>
      </w:numPr>
      <w:autoSpaceDE w:val="0"/>
      <w:autoSpaceDN w:val="0"/>
      <w:adjustRightInd w:val="0"/>
      <w:spacing w:before="160"/>
    </w:pPr>
    <w:rPr>
      <w:rFonts w:cstheme="minorHAnsi"/>
      <w:iCs/>
      <w:sz w:val="22"/>
      <w:szCs w:val="22"/>
    </w:rPr>
  </w:style>
  <w:style w:type="character" w:customStyle="1" w:styleId="Style2Char">
    <w:name w:val="Style2 Char"/>
    <w:basedOn w:val="Heading2Char"/>
    <w:link w:val="Style2"/>
    <w:rsid w:val="00754392"/>
    <w:rPr>
      <w:rFonts w:asciiTheme="minorHAnsi" w:eastAsiaTheme="majorEastAsia" w:hAnsiTheme="minorHAnsi" w:cstheme="minorHAnsi"/>
      <w:b/>
      <w:iCs/>
      <w:color w:val="auto"/>
      <w:sz w:val="22"/>
      <w:szCs w:val="22"/>
    </w:rPr>
  </w:style>
  <w:style w:type="paragraph" w:customStyle="1" w:styleId="1-StandardText">
    <w:name w:val="1-StandardText"/>
    <w:autoRedefine/>
    <w:qFormat/>
    <w:rsid w:val="009C0BDE"/>
    <w:pPr>
      <w:spacing w:before="160"/>
      <w:jc w:val="left"/>
    </w:pPr>
    <w:rPr>
      <w:rFonts w:ascii="Calibri" w:hAnsi="Calibri" w:cstheme="minorBidi"/>
      <w:iCs w:val="0"/>
      <w:sz w:val="22"/>
      <w:szCs w:val="22"/>
      <w:lang w:val="en-GB"/>
    </w:rPr>
  </w:style>
  <w:style w:type="paragraph" w:styleId="NoSpacing">
    <w:name w:val="No Spacing"/>
    <w:basedOn w:val="Heading2"/>
    <w:autoRedefine/>
    <w:uiPriority w:val="1"/>
    <w:qFormat/>
    <w:rsid w:val="009E204A"/>
    <w:pPr>
      <w:numPr>
        <w:numId w:val="0"/>
      </w:numPr>
      <w:outlineLvl w:val="0"/>
    </w:pPr>
    <w:rPr>
      <w:rFonts w:ascii="Calibri" w:hAnsi="Calibri"/>
      <w:iCs/>
      <w:sz w:val="22"/>
    </w:rPr>
  </w:style>
  <w:style w:type="character" w:customStyle="1" w:styleId="Heading2Char">
    <w:name w:val="Heading 2 Char"/>
    <w:basedOn w:val="DefaultParagraphFont"/>
    <w:link w:val="Heading2"/>
    <w:uiPriority w:val="9"/>
    <w:rsid w:val="009465E4"/>
    <w:rPr>
      <w:rFonts w:asciiTheme="minorHAnsi" w:eastAsiaTheme="majorEastAsia" w:hAnsiTheme="minorHAnsi" w:cstheme="majorBidi"/>
      <w:b/>
      <w:iCs w:val="0"/>
      <w:color w:val="auto"/>
      <w:szCs w:val="26"/>
    </w:rPr>
  </w:style>
  <w:style w:type="character" w:customStyle="1" w:styleId="Heading3Char">
    <w:name w:val="Heading 3 Char"/>
    <w:basedOn w:val="DefaultParagraphFont"/>
    <w:link w:val="Heading3"/>
    <w:uiPriority w:val="9"/>
    <w:semiHidden/>
    <w:rsid w:val="00617194"/>
    <w:rPr>
      <w:rFonts w:asciiTheme="minorHAnsi" w:eastAsiaTheme="majorEastAsia" w:hAnsiTheme="minorHAnsi" w:cstheme="majorBidi"/>
      <w:b/>
      <w:iCs w:val="0"/>
      <w:color w:val="auto"/>
      <w:szCs w:val="24"/>
    </w:rPr>
  </w:style>
  <w:style w:type="paragraph" w:customStyle="1" w:styleId="HeadingI">
    <w:name w:val="Heading I"/>
    <w:basedOn w:val="Heading1"/>
    <w:next w:val="Heading1"/>
    <w:link w:val="HeadingIChar"/>
    <w:autoRedefine/>
    <w:qFormat/>
    <w:rsid w:val="00617194"/>
    <w:pPr>
      <w:numPr>
        <w:numId w:val="0"/>
      </w:numPr>
      <w:tabs>
        <w:tab w:val="num" w:pos="720"/>
      </w:tabs>
      <w:autoSpaceDE w:val="0"/>
      <w:autoSpaceDN w:val="0"/>
      <w:adjustRightInd w:val="0"/>
      <w:spacing w:before="160"/>
      <w:ind w:left="500" w:hanging="720"/>
    </w:pPr>
    <w:rPr>
      <w:rFonts w:cstheme="minorHAnsi"/>
      <w:b w:val="0"/>
      <w:szCs w:val="22"/>
    </w:rPr>
  </w:style>
  <w:style w:type="character" w:customStyle="1" w:styleId="HeadingIChar">
    <w:name w:val="Heading I Char"/>
    <w:basedOn w:val="Heading2Char"/>
    <w:link w:val="HeadingI"/>
    <w:rsid w:val="00617194"/>
    <w:rPr>
      <w:rFonts w:asciiTheme="minorHAnsi" w:eastAsiaTheme="majorEastAsia" w:hAnsiTheme="minorHAnsi" w:cstheme="minorHAnsi"/>
      <w:b/>
      <w:iCs w:val="0"/>
      <w:color w:val="auto"/>
      <w:szCs w:val="22"/>
    </w:rPr>
  </w:style>
  <w:style w:type="paragraph" w:customStyle="1" w:styleId="StandardText">
    <w:name w:val="StandardText"/>
    <w:basedOn w:val="Normal"/>
    <w:next w:val="Normal"/>
    <w:autoRedefine/>
    <w:qFormat/>
    <w:rsid w:val="0086448C"/>
    <w:pPr>
      <w:jc w:val="left"/>
    </w:pPr>
    <w:rPr>
      <w:rFonts w:cstheme="minorBidi"/>
      <w:szCs w:val="22"/>
      <w:lang w:val="en-GB"/>
    </w:rPr>
  </w:style>
  <w:style w:type="paragraph" w:customStyle="1" w:styleId="Style1">
    <w:name w:val="Style1"/>
    <w:basedOn w:val="Normal"/>
    <w:next w:val="Normal"/>
    <w:autoRedefine/>
    <w:qFormat/>
    <w:rsid w:val="00C1338F"/>
    <w:pPr>
      <w:spacing w:before="60" w:after="120"/>
      <w:ind w:left="360"/>
      <w:contextualSpacing/>
    </w:pPr>
  </w:style>
  <w:style w:type="paragraph" w:styleId="Caption">
    <w:name w:val="caption"/>
    <w:basedOn w:val="Normal"/>
    <w:next w:val="Normal"/>
    <w:uiPriority w:val="35"/>
    <w:unhideWhenUsed/>
    <w:qFormat/>
    <w:rsid w:val="006D61DB"/>
    <w:pPr>
      <w:spacing w:after="200" w:line="240" w:lineRule="auto"/>
    </w:pPr>
    <w:rPr>
      <w:i/>
      <w:iCs/>
      <w:color w:val="44546A" w:themeColor="text2"/>
      <w:sz w:val="18"/>
    </w:rPr>
  </w:style>
  <w:style w:type="table" w:styleId="TableGrid">
    <w:name w:val="Table Grid"/>
    <w:basedOn w:val="TableNormal"/>
    <w:uiPriority w:val="39"/>
    <w:rsid w:val="006D61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D61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61DB"/>
    <w:rPr>
      <w:iCs w:val="0"/>
    </w:rPr>
  </w:style>
  <w:style w:type="paragraph" w:styleId="Footer">
    <w:name w:val="footer"/>
    <w:basedOn w:val="Normal"/>
    <w:link w:val="FooterChar"/>
    <w:uiPriority w:val="99"/>
    <w:unhideWhenUsed/>
    <w:rsid w:val="006D61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61DB"/>
    <w:rPr>
      <w:i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tiff"/><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tiff"/><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image" Target="media/image14.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image" Target="media/image18.tiff"/><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image" Target="media/image17.tiff"/><Relationship Id="rId10" Type="http://schemas.openxmlformats.org/officeDocument/2006/relationships/image" Target="media/image4.tiff"/><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 Id="rId22" Type="http://schemas.openxmlformats.org/officeDocument/2006/relationships/image" Target="media/image16.tif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8244</Words>
  <Characters>46991</Characters>
  <Application>Microsoft Office Word</Application>
  <DocSecurity>0</DocSecurity>
  <Lines>391</Lines>
  <Paragraphs>110</Paragraphs>
  <ScaleCrop>false</ScaleCrop>
  <Company/>
  <LinksUpToDate>false</LinksUpToDate>
  <CharactersWithSpaces>55125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2021-07-27T10:32:00Z</dcterms:created>
  <dcterms:modified xsi:type="dcterms:W3CDTF">2021-08-17T07:22:00Z</dcterms:modified>
</cp:coreProperties>
</file>