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C4187" w14:textId="2B098795" w:rsidR="00500666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92C41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information </w:t>
      </w:r>
    </w:p>
    <w:p w14:paraId="06B04B64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92C41">
        <w:rPr>
          <w:rFonts w:ascii="Arial" w:hAnsi="Arial" w:cs="Arial"/>
          <w:b/>
          <w:bCs/>
          <w:sz w:val="20"/>
          <w:szCs w:val="20"/>
          <w:lang w:val="en-US"/>
        </w:rPr>
        <w:t>European Archives of Psychiatry and Clinical Neuroscience</w:t>
      </w:r>
    </w:p>
    <w:p w14:paraId="32FF496B" w14:textId="77777777" w:rsidR="00500666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CA512F" w14:textId="77777777" w:rsidR="00500666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EA5D584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92C41">
        <w:rPr>
          <w:rFonts w:ascii="Arial" w:hAnsi="Arial" w:cs="Arial"/>
          <w:b/>
          <w:bCs/>
          <w:sz w:val="20"/>
          <w:szCs w:val="20"/>
          <w:lang w:val="en-US"/>
        </w:rPr>
        <w:t>Neural processing of win</w:t>
      </w:r>
      <w:r w:rsidRPr="00292C41">
        <w:rPr>
          <w:rFonts w:ascii="Arial" w:hAnsi="Arial" w:cs="Arial"/>
          <w:b/>
          <w:bCs/>
          <w:sz w:val="20"/>
          <w:szCs w:val="20"/>
          <w:lang w:val="en-US"/>
        </w:rPr>
        <w:noBreakHyphen/>
        <w:t>contingent audiovisual cues during virtual gambling: An fMRI cross</w:t>
      </w:r>
      <w:r w:rsidRPr="00292C41">
        <w:rPr>
          <w:rFonts w:ascii="Arial" w:hAnsi="Arial" w:cs="Arial"/>
          <w:b/>
          <w:bCs/>
          <w:sz w:val="20"/>
          <w:szCs w:val="20"/>
          <w:lang w:val="en-US"/>
        </w:rPr>
        <w:noBreakHyphen/>
        <w:t xml:space="preserve">over study </w:t>
      </w:r>
    </w:p>
    <w:p w14:paraId="5AFCE69E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Lisa Jil Krause</w:t>
      </w:r>
      <w:r w:rsidRPr="00292C41">
        <w:rPr>
          <w:rFonts w:ascii="Arial" w:hAnsi="Arial" w:cs="Arial"/>
          <w:sz w:val="20"/>
          <w:szCs w:val="20"/>
          <w:vertAlign w:val="superscript"/>
          <w:lang w:val="en-US"/>
        </w:rPr>
        <w:t>1,2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,3</w:t>
      </w:r>
      <w:r w:rsidRPr="00292C41">
        <w:rPr>
          <w:rFonts w:ascii="Arial" w:hAnsi="Arial" w:cs="Arial"/>
          <w:sz w:val="20"/>
          <w:szCs w:val="20"/>
          <w:lang w:val="en-US"/>
        </w:rPr>
        <w:t>, Ronald Fischer</w:t>
      </w:r>
      <w:r w:rsidRPr="00292C41">
        <w:rPr>
          <w:rFonts w:ascii="Arial" w:hAnsi="Arial" w:cs="Arial"/>
          <w:sz w:val="20"/>
          <w:szCs w:val="20"/>
          <w:vertAlign w:val="superscript"/>
          <w:lang w:val="en-US"/>
        </w:rPr>
        <w:t>1,2</w:t>
      </w:r>
      <w:r w:rsidRPr="00292C41">
        <w:rPr>
          <w:rFonts w:ascii="Arial" w:hAnsi="Arial" w:cs="Arial"/>
          <w:sz w:val="20"/>
          <w:szCs w:val="20"/>
          <w:lang w:val="en-US"/>
        </w:rPr>
        <w:t>, Falk Kiefer MD</w:t>
      </w:r>
      <w:r w:rsidRPr="00292C41">
        <w:rPr>
          <w:rFonts w:ascii="Arial" w:hAnsi="Arial" w:cs="Arial"/>
          <w:sz w:val="20"/>
          <w:szCs w:val="20"/>
          <w:vertAlign w:val="superscript"/>
          <w:lang w:val="en-US"/>
        </w:rPr>
        <w:t>1,2</w:t>
      </w:r>
      <w:r w:rsidRPr="00292C41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292C41">
        <w:rPr>
          <w:rFonts w:ascii="Arial" w:hAnsi="Arial" w:cs="Arial"/>
          <w:sz w:val="20"/>
          <w:szCs w:val="20"/>
          <w:lang w:val="en-US"/>
        </w:rPr>
        <w:t>Tagrid</w:t>
      </w:r>
      <w:proofErr w:type="spellEnd"/>
      <w:r w:rsidRPr="00292C4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292C41">
        <w:rPr>
          <w:rFonts w:ascii="Arial" w:hAnsi="Arial" w:cs="Arial"/>
          <w:sz w:val="20"/>
          <w:szCs w:val="20"/>
          <w:lang w:val="en-US"/>
        </w:rPr>
        <w:t>Leménager</w:t>
      </w:r>
      <w:proofErr w:type="spellEnd"/>
      <w:r w:rsidRPr="00292C41">
        <w:rPr>
          <w:rFonts w:ascii="Arial" w:hAnsi="Arial" w:cs="Arial"/>
          <w:sz w:val="20"/>
          <w:szCs w:val="20"/>
          <w:lang w:val="en-US"/>
        </w:rPr>
        <w:t xml:space="preserve"> PhD</w:t>
      </w:r>
      <w:r w:rsidRPr="00292C41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292C41">
        <w:rPr>
          <w:rFonts w:ascii="Arial" w:hAnsi="Arial" w:cs="Arial"/>
          <w:sz w:val="20"/>
          <w:szCs w:val="20"/>
          <w:lang w:val="en-US"/>
        </w:rPr>
        <w:t>, Patrick Bach MD PhD</w:t>
      </w:r>
      <w:r w:rsidRPr="00292C41">
        <w:rPr>
          <w:rFonts w:ascii="Arial" w:hAnsi="Arial" w:cs="Arial"/>
          <w:sz w:val="20"/>
          <w:szCs w:val="20"/>
          <w:vertAlign w:val="superscript"/>
          <w:lang w:val="en-US"/>
        </w:rPr>
        <w:t xml:space="preserve"> 1,2</w:t>
      </w:r>
    </w:p>
    <w:p w14:paraId="3328280C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6951660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92C41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292C41">
        <w:rPr>
          <w:rFonts w:ascii="Arial" w:hAnsi="Arial" w:cs="Arial"/>
          <w:color w:val="000000" w:themeColor="text1"/>
          <w:sz w:val="20"/>
          <w:szCs w:val="20"/>
          <w:lang w:val="en-US"/>
        </w:rPr>
        <w:t>Department of Addictive Behavior and Addiction Medicine, Central Institute of Mental Health, Medical Faculty Mannheim, Heidelberg University, Mannheim, Germany</w:t>
      </w:r>
    </w:p>
    <w:p w14:paraId="40881553" w14:textId="77777777" w:rsidR="00500666" w:rsidRDefault="00500666" w:rsidP="00500666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92C41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2</w:t>
      </w:r>
      <w:r w:rsidRPr="00292C4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German Center for Mental Health, Partner Site Mannheim-Heidelberg-Ulm</w:t>
      </w:r>
    </w:p>
    <w:p w14:paraId="3FA6F0B0" w14:textId="77777777" w:rsidR="00500666" w:rsidRDefault="00500666" w:rsidP="00500666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967A7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3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92C41">
        <w:rPr>
          <w:rFonts w:ascii="Arial" w:hAnsi="Arial" w:cs="Arial"/>
          <w:color w:val="000000" w:themeColor="text1"/>
          <w:sz w:val="20"/>
          <w:szCs w:val="20"/>
          <w:lang w:val="en-US"/>
        </w:rPr>
        <w:t>Medical Faculty Mannheim, Heidelberg University, Mannheim, Germany</w:t>
      </w:r>
    </w:p>
    <w:p w14:paraId="026C5A1F" w14:textId="77777777" w:rsidR="00500666" w:rsidRDefault="00500666" w:rsidP="00500666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1CA03FF" w14:textId="77777777" w:rsidR="00500666" w:rsidRPr="00292C41" w:rsidRDefault="00500666" w:rsidP="00500666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E0811FA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6A6611C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7E85F58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292C41">
        <w:rPr>
          <w:rFonts w:ascii="Arial" w:hAnsi="Arial" w:cs="Arial"/>
          <w:sz w:val="20"/>
          <w:szCs w:val="20"/>
          <w:u w:val="single"/>
          <w:lang w:val="en-US"/>
        </w:rPr>
        <w:t>Corresponding author:</w:t>
      </w:r>
    </w:p>
    <w:p w14:paraId="15F52F69" w14:textId="324F374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Lisa </w:t>
      </w:r>
      <w:r w:rsidR="009431A4">
        <w:rPr>
          <w:rFonts w:ascii="Arial" w:hAnsi="Arial" w:cs="Arial"/>
          <w:sz w:val="20"/>
          <w:szCs w:val="20"/>
          <w:lang w:val="en-US"/>
        </w:rPr>
        <w:t xml:space="preserve">Jil </w:t>
      </w:r>
      <w:r>
        <w:rPr>
          <w:rFonts w:ascii="Arial" w:hAnsi="Arial" w:cs="Arial"/>
          <w:sz w:val="20"/>
          <w:szCs w:val="20"/>
          <w:lang w:val="en-US"/>
        </w:rPr>
        <w:t>Krause</w:t>
      </w:r>
    </w:p>
    <w:p w14:paraId="7A289400" w14:textId="7777777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Department of Addictive Behavior and Addiction Medicine</w:t>
      </w:r>
    </w:p>
    <w:p w14:paraId="01C2C16F" w14:textId="7777777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Central Institute of Mental Health</w:t>
      </w:r>
    </w:p>
    <w:p w14:paraId="27837580" w14:textId="7777777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J5 / 68159 Mannheim, Germany</w:t>
      </w:r>
    </w:p>
    <w:p w14:paraId="793F6F7D" w14:textId="7777777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Tel.: +49 621 1703 3523</w:t>
      </w:r>
    </w:p>
    <w:p w14:paraId="11A503E7" w14:textId="7777777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Fax: +49 621 1703 3505</w:t>
      </w:r>
    </w:p>
    <w:p w14:paraId="02936134" w14:textId="77777777" w:rsidR="00274FD8" w:rsidRPr="00292C41" w:rsidRDefault="00274FD8" w:rsidP="00274FD8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>E-mail: </w:t>
      </w:r>
      <w:hyperlink r:id="rId4" w:history="1">
        <w:r w:rsidRPr="00391DAE">
          <w:rPr>
            <w:rStyle w:val="Hyperlink"/>
            <w:rFonts w:ascii="Arial" w:hAnsi="Arial" w:cs="Arial"/>
            <w:sz w:val="20"/>
            <w:szCs w:val="20"/>
            <w:lang w:val="en-US"/>
          </w:rPr>
          <w:t>Lisa.Krause@zi-mannheim.de</w:t>
        </w:r>
      </w:hyperlink>
    </w:p>
    <w:p w14:paraId="1FFBEC52" w14:textId="77777777" w:rsidR="00500666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2A51E89" w14:textId="77777777" w:rsidR="00500666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A32B08" w14:textId="77777777" w:rsidR="00500666" w:rsidRDefault="00500666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292FD4F5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B2A921E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92C41">
        <w:rPr>
          <w:rFonts w:ascii="Arial" w:hAnsi="Arial" w:cs="Arial"/>
          <w:b/>
          <w:bCs/>
          <w:sz w:val="20"/>
          <w:szCs w:val="20"/>
          <w:lang w:val="en-US"/>
        </w:rPr>
        <w:t>Fig. 1</w:t>
      </w:r>
    </w:p>
    <w:p w14:paraId="7B34339B" w14:textId="77777777" w:rsidR="00500666" w:rsidRPr="00292C41" w:rsidRDefault="00500666" w:rsidP="00500666">
      <w:pPr>
        <w:pStyle w:val="StandardWeb"/>
        <w:spacing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292C41">
        <w:rPr>
          <w:rFonts w:ascii="Arial" w:hAnsi="Arial" w:cs="Arial"/>
          <w:i/>
          <w:iCs/>
          <w:sz w:val="20"/>
          <w:szCs w:val="20"/>
          <w:lang w:val="en-US"/>
        </w:rPr>
        <w:t>Design of the virtual gambling paradigm</w:t>
      </w:r>
    </w:p>
    <w:p w14:paraId="1CACC6AD" w14:textId="77777777" w:rsidR="00500666" w:rsidRPr="00292C41" w:rsidRDefault="00500666" w:rsidP="00500666">
      <w:pPr>
        <w:pStyle w:val="StandardWeb"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4B5BB845" wp14:editId="173E311D">
            <wp:extent cx="5061098" cy="7091785"/>
            <wp:effectExtent l="0" t="0" r="6350" b="0"/>
            <wp:docPr id="2345915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9157" name="Grafik 234591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402" cy="710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C4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B4E8B7A" w14:textId="77777777" w:rsidR="00500666" w:rsidRDefault="00500666" w:rsidP="005006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92C41">
        <w:rPr>
          <w:rFonts w:ascii="Arial" w:hAnsi="Arial" w:cs="Arial"/>
          <w:sz w:val="20"/>
          <w:szCs w:val="20"/>
          <w:lang w:val="en-US"/>
        </w:rPr>
        <w:t xml:space="preserve">The two different gambling paradigm versions, on the left the uncued version, on the right the cued version with the strongest stimuli and the highest </w:t>
      </w:r>
      <w:r>
        <w:rPr>
          <w:rFonts w:ascii="Arial" w:hAnsi="Arial" w:cs="Arial"/>
          <w:sz w:val="20"/>
          <w:szCs w:val="20"/>
          <w:lang w:val="en-US"/>
        </w:rPr>
        <w:t>reward magnitude</w:t>
      </w:r>
      <w:r w:rsidRPr="00292C41">
        <w:rPr>
          <w:rFonts w:ascii="Arial" w:hAnsi="Arial" w:cs="Arial"/>
          <w:sz w:val="20"/>
          <w:szCs w:val="20"/>
          <w:lang w:val="en-US"/>
        </w:rPr>
        <w:t>, during a. choosing an option of the high-risk or low-risk game option, b. during the display of a win in the uncued version and the cued version with both strong stimuli und less stimuli with a smaller win and c. a loss in the uncued and cued version (</w:t>
      </w:r>
      <w:proofErr w:type="spellStart"/>
      <w:r w:rsidRPr="00292C41">
        <w:rPr>
          <w:rFonts w:ascii="Arial" w:hAnsi="Arial" w:cs="Arial"/>
          <w:sz w:val="20"/>
          <w:szCs w:val="20"/>
          <w:lang w:val="en-US"/>
        </w:rPr>
        <w:t>Einsatz</w:t>
      </w:r>
      <w:proofErr w:type="spellEnd"/>
      <w:r w:rsidRPr="00292C41">
        <w:rPr>
          <w:rFonts w:ascii="Arial" w:hAnsi="Arial" w:cs="Arial"/>
          <w:sz w:val="20"/>
          <w:szCs w:val="20"/>
          <w:lang w:val="en-US"/>
        </w:rPr>
        <w:t xml:space="preserve">: German for stake, </w:t>
      </w:r>
      <w:proofErr w:type="spellStart"/>
      <w:r w:rsidRPr="00292C41">
        <w:rPr>
          <w:rFonts w:ascii="Arial" w:hAnsi="Arial" w:cs="Arial"/>
          <w:sz w:val="20"/>
          <w:szCs w:val="20"/>
          <w:lang w:val="en-US"/>
        </w:rPr>
        <w:t>Gewinn</w:t>
      </w:r>
      <w:proofErr w:type="spellEnd"/>
      <w:r w:rsidRPr="00292C41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>reward magnitude</w:t>
      </w:r>
      <w:r w:rsidRPr="00292C41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292C41">
        <w:rPr>
          <w:rFonts w:ascii="Arial" w:hAnsi="Arial" w:cs="Arial"/>
          <w:sz w:val="20"/>
          <w:szCs w:val="20"/>
          <w:lang w:val="en-US"/>
        </w:rPr>
        <w:t>Spielstand</w:t>
      </w:r>
      <w:proofErr w:type="spellEnd"/>
      <w:r w:rsidRPr="00292C41">
        <w:rPr>
          <w:rFonts w:ascii="Arial" w:hAnsi="Arial" w:cs="Arial"/>
          <w:sz w:val="20"/>
          <w:szCs w:val="20"/>
          <w:lang w:val="en-US"/>
        </w:rPr>
        <w:t xml:space="preserve">: score, Leider </w:t>
      </w:r>
      <w:proofErr w:type="spellStart"/>
      <w:r w:rsidRPr="00292C41">
        <w:rPr>
          <w:rFonts w:ascii="Arial" w:hAnsi="Arial" w:cs="Arial"/>
          <w:sz w:val="20"/>
          <w:szCs w:val="20"/>
          <w:lang w:val="en-US"/>
        </w:rPr>
        <w:t>verloren</w:t>
      </w:r>
      <w:proofErr w:type="spellEnd"/>
      <w:r w:rsidRPr="00292C41">
        <w:rPr>
          <w:rFonts w:ascii="Arial" w:hAnsi="Arial" w:cs="Arial"/>
          <w:sz w:val="20"/>
          <w:szCs w:val="20"/>
          <w:lang w:val="en-US"/>
        </w:rPr>
        <w:t>: loss)</w:t>
      </w:r>
    </w:p>
    <w:p w14:paraId="6049A1E6" w14:textId="77777777" w:rsidR="00500666" w:rsidRDefault="00500666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7F499CBC" w14:textId="4648574B" w:rsidR="00500666" w:rsidRPr="00292C41" w:rsidRDefault="00500666" w:rsidP="0050066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92C4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1</w:t>
      </w:r>
    </w:p>
    <w:p w14:paraId="460EDB32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92C41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Frequency of different decision alternatives in cued and uncued paradigm versions </w:t>
      </w:r>
    </w:p>
    <w:tbl>
      <w:tblPr>
        <w:tblStyle w:val="Formatvorlage1"/>
        <w:tblW w:w="5082" w:type="pct"/>
        <w:jc w:val="center"/>
        <w:tblLayout w:type="fixed"/>
        <w:tblLook w:val="00A0" w:firstRow="1" w:lastRow="0" w:firstColumn="1" w:lastColumn="0" w:noHBand="0" w:noVBand="0"/>
      </w:tblPr>
      <w:tblGrid>
        <w:gridCol w:w="2838"/>
        <w:gridCol w:w="3541"/>
        <w:gridCol w:w="1850"/>
        <w:gridCol w:w="992"/>
      </w:tblGrid>
      <w:tr w:rsidR="00500666" w:rsidRPr="00292C41" w14:paraId="7C1AA381" w14:textId="77777777" w:rsidTr="000C4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Align w:val="center"/>
          </w:tcPr>
          <w:p w14:paraId="42FBF397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Cs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bCs/>
                <w:sz w:val="20"/>
                <w:szCs w:val="20"/>
                <w:lang w:val="en-US"/>
              </w:rPr>
              <w:t xml:space="preserve"> Decisions</w:t>
            </w:r>
          </w:p>
        </w:tc>
        <w:tc>
          <w:tcPr>
            <w:tcW w:w="1920" w:type="pct"/>
            <w:vAlign w:val="center"/>
          </w:tcPr>
          <w:p w14:paraId="56BCCD4F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Relative frequency</w:t>
            </w:r>
          </w:p>
        </w:tc>
        <w:tc>
          <w:tcPr>
            <w:tcW w:w="1003" w:type="pct"/>
            <w:vAlign w:val="center"/>
          </w:tcPr>
          <w:p w14:paraId="241D274B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Mean (%)</w:t>
            </w:r>
          </w:p>
        </w:tc>
        <w:tc>
          <w:tcPr>
            <w:tcW w:w="538" w:type="pct"/>
            <w:vAlign w:val="center"/>
          </w:tcPr>
          <w:p w14:paraId="0D7928B0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SD</w:t>
            </w:r>
          </w:p>
        </w:tc>
      </w:tr>
      <w:tr w:rsidR="00500666" w:rsidRPr="00292C41" w14:paraId="69EE482E" w14:textId="77777777" w:rsidTr="000C430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Merge w:val="restart"/>
            <w:vAlign w:val="center"/>
          </w:tcPr>
          <w:p w14:paraId="24FF7537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High-risk</w:t>
            </w:r>
          </w:p>
        </w:tc>
        <w:tc>
          <w:tcPr>
            <w:tcW w:w="1920" w:type="pct"/>
            <w:vAlign w:val="center"/>
          </w:tcPr>
          <w:p w14:paraId="77408170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Uncued</w:t>
            </w:r>
          </w:p>
        </w:tc>
        <w:tc>
          <w:tcPr>
            <w:tcW w:w="1003" w:type="pct"/>
            <w:vAlign w:val="center"/>
          </w:tcPr>
          <w:p w14:paraId="00B2AA51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34.91</w:t>
            </w:r>
          </w:p>
        </w:tc>
        <w:tc>
          <w:tcPr>
            <w:tcW w:w="538" w:type="pct"/>
            <w:vAlign w:val="center"/>
          </w:tcPr>
          <w:p w14:paraId="613C8605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16.97</w:t>
            </w:r>
          </w:p>
        </w:tc>
      </w:tr>
      <w:tr w:rsidR="00500666" w:rsidRPr="00292C41" w14:paraId="26F6A13B" w14:textId="77777777" w:rsidTr="000C430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Merge/>
            <w:vAlign w:val="center"/>
          </w:tcPr>
          <w:p w14:paraId="7553F442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920" w:type="pct"/>
            <w:vAlign w:val="center"/>
          </w:tcPr>
          <w:p w14:paraId="30CE893B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Cued</w:t>
            </w:r>
          </w:p>
        </w:tc>
        <w:tc>
          <w:tcPr>
            <w:tcW w:w="1003" w:type="pct"/>
            <w:vAlign w:val="center"/>
          </w:tcPr>
          <w:p w14:paraId="7E735CA5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33.51</w:t>
            </w:r>
          </w:p>
        </w:tc>
        <w:tc>
          <w:tcPr>
            <w:tcW w:w="538" w:type="pct"/>
            <w:vAlign w:val="center"/>
          </w:tcPr>
          <w:p w14:paraId="2AB61955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17.44</w:t>
            </w:r>
          </w:p>
        </w:tc>
      </w:tr>
      <w:tr w:rsidR="00500666" w:rsidRPr="00292C41" w14:paraId="6CF77772" w14:textId="77777777" w:rsidTr="000C430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Merge w:val="restart"/>
            <w:vAlign w:val="center"/>
          </w:tcPr>
          <w:p w14:paraId="5E94159F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High-risk in decisions with ambiguous expected value</w:t>
            </w:r>
          </w:p>
        </w:tc>
        <w:tc>
          <w:tcPr>
            <w:tcW w:w="1920" w:type="pct"/>
            <w:vAlign w:val="center"/>
          </w:tcPr>
          <w:p w14:paraId="720E4FA6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Uncued</w:t>
            </w:r>
          </w:p>
        </w:tc>
        <w:tc>
          <w:tcPr>
            <w:tcW w:w="1003" w:type="pct"/>
            <w:vAlign w:val="center"/>
          </w:tcPr>
          <w:p w14:paraId="2A1279CF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29.82</w:t>
            </w:r>
          </w:p>
        </w:tc>
        <w:tc>
          <w:tcPr>
            <w:tcW w:w="538" w:type="pct"/>
            <w:vAlign w:val="center"/>
          </w:tcPr>
          <w:p w14:paraId="21D7C042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34.95</w:t>
            </w:r>
          </w:p>
        </w:tc>
      </w:tr>
      <w:tr w:rsidR="00500666" w:rsidRPr="00292C41" w14:paraId="7B904E68" w14:textId="77777777" w:rsidTr="000C430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Merge/>
            <w:vAlign w:val="center"/>
          </w:tcPr>
          <w:p w14:paraId="6CAE3797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920" w:type="pct"/>
            <w:vAlign w:val="center"/>
          </w:tcPr>
          <w:p w14:paraId="72977A56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Cued</w:t>
            </w:r>
          </w:p>
        </w:tc>
        <w:tc>
          <w:tcPr>
            <w:tcW w:w="1003" w:type="pct"/>
            <w:vAlign w:val="center"/>
          </w:tcPr>
          <w:p w14:paraId="383D3765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21.05</w:t>
            </w:r>
          </w:p>
        </w:tc>
        <w:tc>
          <w:tcPr>
            <w:tcW w:w="538" w:type="pct"/>
            <w:vAlign w:val="center"/>
          </w:tcPr>
          <w:p w14:paraId="1F82E4CD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31.84</w:t>
            </w:r>
          </w:p>
        </w:tc>
      </w:tr>
      <w:tr w:rsidR="00500666" w:rsidRPr="00292C41" w14:paraId="73721DDB" w14:textId="77777777" w:rsidTr="000C430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Merge w:val="restart"/>
            <w:vAlign w:val="center"/>
          </w:tcPr>
          <w:p w14:paraId="6A1CE5FD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Rational</w:t>
            </w:r>
          </w:p>
        </w:tc>
        <w:tc>
          <w:tcPr>
            <w:tcW w:w="1920" w:type="pct"/>
            <w:vAlign w:val="center"/>
          </w:tcPr>
          <w:p w14:paraId="71AFFEA3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Uncued</w:t>
            </w:r>
          </w:p>
        </w:tc>
        <w:tc>
          <w:tcPr>
            <w:tcW w:w="1003" w:type="pct"/>
            <w:vAlign w:val="center"/>
          </w:tcPr>
          <w:p w14:paraId="07C8AA5B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24.95</w:t>
            </w:r>
          </w:p>
        </w:tc>
        <w:tc>
          <w:tcPr>
            <w:tcW w:w="538" w:type="pct"/>
            <w:vAlign w:val="center"/>
          </w:tcPr>
          <w:p w14:paraId="383C1158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10.46</w:t>
            </w:r>
          </w:p>
        </w:tc>
      </w:tr>
      <w:tr w:rsidR="00500666" w:rsidRPr="00292C41" w14:paraId="329868E4" w14:textId="77777777" w:rsidTr="000C430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vMerge/>
          </w:tcPr>
          <w:p w14:paraId="7BF03FEF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920" w:type="pct"/>
            <w:vAlign w:val="center"/>
          </w:tcPr>
          <w:p w14:paraId="4AD1AAE3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Cued</w:t>
            </w:r>
          </w:p>
        </w:tc>
        <w:tc>
          <w:tcPr>
            <w:tcW w:w="1003" w:type="pct"/>
            <w:vAlign w:val="center"/>
          </w:tcPr>
          <w:p w14:paraId="68959211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27.10</w:t>
            </w:r>
          </w:p>
        </w:tc>
        <w:tc>
          <w:tcPr>
            <w:tcW w:w="538" w:type="pct"/>
            <w:vAlign w:val="center"/>
          </w:tcPr>
          <w:p w14:paraId="4D117A94" w14:textId="77777777" w:rsidR="00500666" w:rsidRPr="00292C41" w:rsidRDefault="00500666" w:rsidP="000C430C">
            <w:pPr>
              <w:autoSpaceDE w:val="0"/>
              <w:autoSpaceDN w:val="0"/>
              <w:adjustRightInd w:val="0"/>
              <w:spacing w:line="360" w:lineRule="auto"/>
              <w:ind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292C41">
              <w:rPr>
                <w:rFonts w:cs="Arial"/>
                <w:sz w:val="20"/>
                <w:szCs w:val="20"/>
                <w:lang w:val="en-US"/>
              </w:rPr>
              <w:t>10.26</w:t>
            </w:r>
          </w:p>
        </w:tc>
      </w:tr>
    </w:tbl>
    <w:p w14:paraId="1BFCC69A" w14:textId="77777777" w:rsidR="00500666" w:rsidRPr="00292C41" w:rsidRDefault="00500666" w:rsidP="00500666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92C41">
        <w:rPr>
          <w:rFonts w:ascii="Arial" w:hAnsi="Arial" w:cs="Arial"/>
          <w:color w:val="000000" w:themeColor="text1"/>
          <w:sz w:val="20"/>
          <w:szCs w:val="20"/>
          <w:lang w:val="en-US"/>
        </w:rPr>
        <w:t>Frequency of different decision alternatives in cued and uncued paradigm versions, Sample size n = 19, ambiguous expected value: EV ratio = 0, i.e., neither of the two winning options is favored; rational: choice of the option that conforms to the expected value</w:t>
      </w:r>
    </w:p>
    <w:p w14:paraId="44E576CD" w14:textId="77777777" w:rsidR="00416A7E" w:rsidRDefault="00416A7E"/>
    <w:sectPr w:rsidR="00416A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66"/>
    <w:rsid w:val="00001972"/>
    <w:rsid w:val="00006516"/>
    <w:rsid w:val="0003343D"/>
    <w:rsid w:val="00046753"/>
    <w:rsid w:val="00060E4A"/>
    <w:rsid w:val="000937F6"/>
    <w:rsid w:val="00094E60"/>
    <w:rsid w:val="000B1DE6"/>
    <w:rsid w:val="000C0C0F"/>
    <w:rsid w:val="000C3F0A"/>
    <w:rsid w:val="000C7CCA"/>
    <w:rsid w:val="000F1391"/>
    <w:rsid w:val="0010287D"/>
    <w:rsid w:val="00112F16"/>
    <w:rsid w:val="00125CE8"/>
    <w:rsid w:val="001333BF"/>
    <w:rsid w:val="00135C6A"/>
    <w:rsid w:val="001427D5"/>
    <w:rsid w:val="00160765"/>
    <w:rsid w:val="00171A3C"/>
    <w:rsid w:val="0017670E"/>
    <w:rsid w:val="0017747D"/>
    <w:rsid w:val="0018064C"/>
    <w:rsid w:val="001A6D73"/>
    <w:rsid w:val="001B02DB"/>
    <w:rsid w:val="001B15CA"/>
    <w:rsid w:val="001B2263"/>
    <w:rsid w:val="001B2B6C"/>
    <w:rsid w:val="0020341F"/>
    <w:rsid w:val="00210E6E"/>
    <w:rsid w:val="00212ED6"/>
    <w:rsid w:val="00213545"/>
    <w:rsid w:val="00225414"/>
    <w:rsid w:val="00230D58"/>
    <w:rsid w:val="00241C73"/>
    <w:rsid w:val="00243E89"/>
    <w:rsid w:val="002528A1"/>
    <w:rsid w:val="00254D60"/>
    <w:rsid w:val="002575B9"/>
    <w:rsid w:val="00274FD8"/>
    <w:rsid w:val="002751F5"/>
    <w:rsid w:val="002A14D3"/>
    <w:rsid w:val="002A3A19"/>
    <w:rsid w:val="002A4DD1"/>
    <w:rsid w:val="002C6CF7"/>
    <w:rsid w:val="002C79F8"/>
    <w:rsid w:val="002D5F8E"/>
    <w:rsid w:val="002F764D"/>
    <w:rsid w:val="00311189"/>
    <w:rsid w:val="0032352C"/>
    <w:rsid w:val="0033338D"/>
    <w:rsid w:val="003353EB"/>
    <w:rsid w:val="00350064"/>
    <w:rsid w:val="00353100"/>
    <w:rsid w:val="00357F1D"/>
    <w:rsid w:val="00363D50"/>
    <w:rsid w:val="00364D97"/>
    <w:rsid w:val="00365D8D"/>
    <w:rsid w:val="00395B7C"/>
    <w:rsid w:val="003A50D8"/>
    <w:rsid w:val="003B43F6"/>
    <w:rsid w:val="003B6A46"/>
    <w:rsid w:val="003B7B20"/>
    <w:rsid w:val="003C6D7A"/>
    <w:rsid w:val="003D3A5D"/>
    <w:rsid w:val="003D736D"/>
    <w:rsid w:val="003F3642"/>
    <w:rsid w:val="003F5123"/>
    <w:rsid w:val="00403909"/>
    <w:rsid w:val="00404DF3"/>
    <w:rsid w:val="00406ED4"/>
    <w:rsid w:val="00414B86"/>
    <w:rsid w:val="004150B6"/>
    <w:rsid w:val="00416A7E"/>
    <w:rsid w:val="00422D30"/>
    <w:rsid w:val="00425169"/>
    <w:rsid w:val="00451980"/>
    <w:rsid w:val="004576DA"/>
    <w:rsid w:val="00466C48"/>
    <w:rsid w:val="00471352"/>
    <w:rsid w:val="00473CD5"/>
    <w:rsid w:val="00490B65"/>
    <w:rsid w:val="00491066"/>
    <w:rsid w:val="00493940"/>
    <w:rsid w:val="00495304"/>
    <w:rsid w:val="004B2068"/>
    <w:rsid w:val="004C1ABE"/>
    <w:rsid w:val="004C7C33"/>
    <w:rsid w:val="004D4A2E"/>
    <w:rsid w:val="004E194B"/>
    <w:rsid w:val="00500666"/>
    <w:rsid w:val="005076DE"/>
    <w:rsid w:val="00514FA2"/>
    <w:rsid w:val="00530118"/>
    <w:rsid w:val="0055634B"/>
    <w:rsid w:val="00566A07"/>
    <w:rsid w:val="005717D7"/>
    <w:rsid w:val="00584C62"/>
    <w:rsid w:val="00597317"/>
    <w:rsid w:val="005A0151"/>
    <w:rsid w:val="005A37C2"/>
    <w:rsid w:val="005A6FD7"/>
    <w:rsid w:val="005A7DC4"/>
    <w:rsid w:val="005B34B8"/>
    <w:rsid w:val="005C2665"/>
    <w:rsid w:val="005C7BC6"/>
    <w:rsid w:val="005D36F5"/>
    <w:rsid w:val="005E1AA3"/>
    <w:rsid w:val="00603ED1"/>
    <w:rsid w:val="00623ABC"/>
    <w:rsid w:val="00641C79"/>
    <w:rsid w:val="00643D9C"/>
    <w:rsid w:val="0065505C"/>
    <w:rsid w:val="00655C53"/>
    <w:rsid w:val="00656CA2"/>
    <w:rsid w:val="00664983"/>
    <w:rsid w:val="00664CF4"/>
    <w:rsid w:val="006652B2"/>
    <w:rsid w:val="006731CF"/>
    <w:rsid w:val="006B292B"/>
    <w:rsid w:val="006C475B"/>
    <w:rsid w:val="006C47F2"/>
    <w:rsid w:val="006D0096"/>
    <w:rsid w:val="006E5969"/>
    <w:rsid w:val="00705E31"/>
    <w:rsid w:val="00706BE9"/>
    <w:rsid w:val="00710CB6"/>
    <w:rsid w:val="00723160"/>
    <w:rsid w:val="0072642C"/>
    <w:rsid w:val="007356DB"/>
    <w:rsid w:val="00763294"/>
    <w:rsid w:val="00766C39"/>
    <w:rsid w:val="00776F29"/>
    <w:rsid w:val="00780FC5"/>
    <w:rsid w:val="00783DE5"/>
    <w:rsid w:val="00785A5D"/>
    <w:rsid w:val="007970A5"/>
    <w:rsid w:val="007A3051"/>
    <w:rsid w:val="007A6468"/>
    <w:rsid w:val="007B094F"/>
    <w:rsid w:val="007B3216"/>
    <w:rsid w:val="007D448C"/>
    <w:rsid w:val="007D5635"/>
    <w:rsid w:val="00806FB4"/>
    <w:rsid w:val="00812181"/>
    <w:rsid w:val="00823102"/>
    <w:rsid w:val="008302F4"/>
    <w:rsid w:val="00837DC2"/>
    <w:rsid w:val="00845020"/>
    <w:rsid w:val="0085414F"/>
    <w:rsid w:val="0085651E"/>
    <w:rsid w:val="00863027"/>
    <w:rsid w:val="008871D6"/>
    <w:rsid w:val="008924D0"/>
    <w:rsid w:val="00893F1F"/>
    <w:rsid w:val="008D6734"/>
    <w:rsid w:val="008D76AA"/>
    <w:rsid w:val="008D7C76"/>
    <w:rsid w:val="008E67B5"/>
    <w:rsid w:val="008E7166"/>
    <w:rsid w:val="008F64C8"/>
    <w:rsid w:val="00902F78"/>
    <w:rsid w:val="00906D5C"/>
    <w:rsid w:val="00927F6F"/>
    <w:rsid w:val="00934B00"/>
    <w:rsid w:val="009431A4"/>
    <w:rsid w:val="009555EB"/>
    <w:rsid w:val="00955637"/>
    <w:rsid w:val="009577AA"/>
    <w:rsid w:val="00966517"/>
    <w:rsid w:val="009717E2"/>
    <w:rsid w:val="00984BF0"/>
    <w:rsid w:val="0099418A"/>
    <w:rsid w:val="009963FC"/>
    <w:rsid w:val="00997384"/>
    <w:rsid w:val="009D3591"/>
    <w:rsid w:val="00A01128"/>
    <w:rsid w:val="00A03143"/>
    <w:rsid w:val="00A12AB0"/>
    <w:rsid w:val="00A25E78"/>
    <w:rsid w:val="00A27323"/>
    <w:rsid w:val="00A32DEF"/>
    <w:rsid w:val="00A357CC"/>
    <w:rsid w:val="00A52892"/>
    <w:rsid w:val="00A603ED"/>
    <w:rsid w:val="00A9038A"/>
    <w:rsid w:val="00A93B39"/>
    <w:rsid w:val="00AB78D6"/>
    <w:rsid w:val="00AE1830"/>
    <w:rsid w:val="00AF0A91"/>
    <w:rsid w:val="00AF1DA1"/>
    <w:rsid w:val="00B01529"/>
    <w:rsid w:val="00B02D9A"/>
    <w:rsid w:val="00B15437"/>
    <w:rsid w:val="00B40AEC"/>
    <w:rsid w:val="00B572C7"/>
    <w:rsid w:val="00B61BE3"/>
    <w:rsid w:val="00B80B16"/>
    <w:rsid w:val="00B920BB"/>
    <w:rsid w:val="00BA07E6"/>
    <w:rsid w:val="00BB1846"/>
    <w:rsid w:val="00BE60E7"/>
    <w:rsid w:val="00BE7EDA"/>
    <w:rsid w:val="00C10BE4"/>
    <w:rsid w:val="00C20300"/>
    <w:rsid w:val="00C2119C"/>
    <w:rsid w:val="00C30469"/>
    <w:rsid w:val="00C31486"/>
    <w:rsid w:val="00C32DA2"/>
    <w:rsid w:val="00C43F51"/>
    <w:rsid w:val="00C50714"/>
    <w:rsid w:val="00C5310E"/>
    <w:rsid w:val="00C562E5"/>
    <w:rsid w:val="00C575B7"/>
    <w:rsid w:val="00C6219D"/>
    <w:rsid w:val="00C75337"/>
    <w:rsid w:val="00C77942"/>
    <w:rsid w:val="00C83775"/>
    <w:rsid w:val="00CB4BB1"/>
    <w:rsid w:val="00CC0D74"/>
    <w:rsid w:val="00CC38C3"/>
    <w:rsid w:val="00CC4F2C"/>
    <w:rsid w:val="00CD1C75"/>
    <w:rsid w:val="00CD23DF"/>
    <w:rsid w:val="00CD638B"/>
    <w:rsid w:val="00CF623E"/>
    <w:rsid w:val="00D0622E"/>
    <w:rsid w:val="00D17B4F"/>
    <w:rsid w:val="00D2131C"/>
    <w:rsid w:val="00D73BBA"/>
    <w:rsid w:val="00D87B7E"/>
    <w:rsid w:val="00D90604"/>
    <w:rsid w:val="00D9661A"/>
    <w:rsid w:val="00DB2E59"/>
    <w:rsid w:val="00DB68E4"/>
    <w:rsid w:val="00DD0CC6"/>
    <w:rsid w:val="00DE3447"/>
    <w:rsid w:val="00DE3A5D"/>
    <w:rsid w:val="00DE4504"/>
    <w:rsid w:val="00E0242E"/>
    <w:rsid w:val="00E03CB7"/>
    <w:rsid w:val="00E03FD4"/>
    <w:rsid w:val="00E0594C"/>
    <w:rsid w:val="00E06FD0"/>
    <w:rsid w:val="00E11C72"/>
    <w:rsid w:val="00E13D1F"/>
    <w:rsid w:val="00E162D7"/>
    <w:rsid w:val="00E17997"/>
    <w:rsid w:val="00E315CA"/>
    <w:rsid w:val="00E43D79"/>
    <w:rsid w:val="00E44755"/>
    <w:rsid w:val="00E765AD"/>
    <w:rsid w:val="00E930AE"/>
    <w:rsid w:val="00E962CD"/>
    <w:rsid w:val="00EA6BEF"/>
    <w:rsid w:val="00EB60F2"/>
    <w:rsid w:val="00EB6FA0"/>
    <w:rsid w:val="00ED6599"/>
    <w:rsid w:val="00EE00CD"/>
    <w:rsid w:val="00EE2CAE"/>
    <w:rsid w:val="00EE2FDF"/>
    <w:rsid w:val="00EF2DE6"/>
    <w:rsid w:val="00F1595C"/>
    <w:rsid w:val="00F40569"/>
    <w:rsid w:val="00F42271"/>
    <w:rsid w:val="00F43404"/>
    <w:rsid w:val="00F72945"/>
    <w:rsid w:val="00F756BA"/>
    <w:rsid w:val="00FB6F34"/>
    <w:rsid w:val="00FD0208"/>
    <w:rsid w:val="00FE3D3D"/>
    <w:rsid w:val="00FF1BE6"/>
    <w:rsid w:val="00FF2181"/>
    <w:rsid w:val="00FF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4DDE5D"/>
  <w15:chartTrackingRefBased/>
  <w15:docId w15:val="{F5FBA002-D660-554D-84A6-D410A430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0666"/>
  </w:style>
  <w:style w:type="paragraph" w:styleId="berschrift1">
    <w:name w:val="heading 1"/>
    <w:basedOn w:val="Standard"/>
    <w:next w:val="Standard"/>
    <w:link w:val="berschrift1Zchn"/>
    <w:uiPriority w:val="9"/>
    <w:qFormat/>
    <w:rsid w:val="00500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0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00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00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00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00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00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00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00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0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0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0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06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06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06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06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06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006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006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0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06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0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006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006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006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006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0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06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00666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500666"/>
    <w:rPr>
      <w:rFonts w:ascii="Times New Roman" w:hAnsi="Times New Roman" w:cs="Times New Roman"/>
    </w:rPr>
  </w:style>
  <w:style w:type="table" w:customStyle="1" w:styleId="Formatvorlage1">
    <w:name w:val="Formatvorlage1"/>
    <w:basedOn w:val="NormaleTabelle"/>
    <w:uiPriority w:val="99"/>
    <w:rsid w:val="00500666"/>
    <w:pPr>
      <w:jc w:val="center"/>
    </w:pPr>
    <w:rPr>
      <w:rFonts w:ascii="Arial" w:eastAsiaTheme="minorEastAsia" w:hAnsi="Arial"/>
      <w:color w:val="000000" w:themeColor="text1"/>
      <w:kern w:val="0"/>
      <w:lang w:eastAsia="de-DE"/>
      <w14:ligatures w14:val="none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blStylePr w:type="firstRow">
      <w:pPr>
        <w:jc w:val="center"/>
      </w:pPr>
      <w:rPr>
        <w:rFonts w:ascii="Arial" w:hAnsi="Arial"/>
        <w:b/>
        <w:sz w:val="24"/>
      </w:rPr>
    </w:tblStylePr>
    <w:tblStylePr w:type="firstCol">
      <w:pPr>
        <w:jc w:val="left"/>
      </w:pPr>
      <w:rPr>
        <w:rFonts w:ascii="Arial" w:hAnsi="Arial"/>
        <w:b/>
        <w:color w:val="000000" w:themeColor="text1"/>
        <w:sz w:val="24"/>
      </w:rPr>
    </w:tblStylePr>
  </w:style>
  <w:style w:type="character" w:styleId="Hyperlink">
    <w:name w:val="Hyperlink"/>
    <w:basedOn w:val="Absatz-Standardschriftart"/>
    <w:uiPriority w:val="99"/>
    <w:unhideWhenUsed/>
    <w:rsid w:val="0050066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Lisa.Krause@zi-mannheim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Krause</dc:creator>
  <cp:keywords/>
  <dc:description/>
  <cp:lastModifiedBy>Lisa Krause</cp:lastModifiedBy>
  <cp:revision>4</cp:revision>
  <dcterms:created xsi:type="dcterms:W3CDTF">2026-02-16T13:18:00Z</dcterms:created>
  <dcterms:modified xsi:type="dcterms:W3CDTF">2026-02-16T13:29:00Z</dcterms:modified>
</cp:coreProperties>
</file>