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E154A">
      <w:pPr>
        <w:spacing w:before="120" w:after="120" w:line="360" w:lineRule="auto"/>
        <w:ind w:firstLine="480" w:firstLineChars="200"/>
        <w:jc w:val="center"/>
        <w:rPr>
          <w:rFonts w:ascii="Times New Roman" w:hAnsi="Times New Roman" w:eastAsia="宋体" w:cs="Georgia"/>
          <w:color w:val="1F1F1F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Table 2</w:t>
      </w:r>
      <w:r>
        <w:rPr>
          <w:rFonts w:hint="eastAsia" w:ascii="Times New Roman" w:hAnsi="Times New Roman" w:eastAsia="宋体"/>
          <w:sz w:val="24"/>
          <w:szCs w:val="24"/>
        </w:rPr>
        <w:t xml:space="preserve"> </w:t>
      </w:r>
      <w:r>
        <w:rPr>
          <w:rFonts w:ascii="Times New Roman" w:hAnsi="Times New Roman" w:eastAsia="宋体"/>
          <w:sz w:val="24"/>
          <w:szCs w:val="24"/>
        </w:rPr>
        <w:t xml:space="preserve">The impact of </w:t>
      </w:r>
      <w:r>
        <w:rPr>
          <w:rFonts w:hint="eastAsia" w:ascii="Times New Roman" w:hAnsi="Times New Roman" w:eastAsia="宋体"/>
          <w:sz w:val="24"/>
          <w:szCs w:val="24"/>
        </w:rPr>
        <w:t>single</w:t>
      </w:r>
      <w:bookmarkStart w:id="0" w:name="_GoBack"/>
      <w:bookmarkEnd w:id="0"/>
      <w:r>
        <w:rPr>
          <w:rFonts w:ascii="Times New Roman" w:hAnsi="Times New Roman" w:eastAsia="宋体"/>
          <w:sz w:val="24"/>
          <w:szCs w:val="24"/>
        </w:rPr>
        <w:t xml:space="preserve"> catheterization before and after propensity score matching on primary outcome measures</w:t>
      </w:r>
    </w:p>
    <w:tbl>
      <w:tblPr>
        <w:tblStyle w:val="3"/>
        <w:tblW w:w="93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43"/>
        <w:gridCol w:w="1134"/>
        <w:gridCol w:w="1106"/>
        <w:gridCol w:w="878"/>
        <w:gridCol w:w="1843"/>
        <w:gridCol w:w="1134"/>
      </w:tblGrid>
      <w:tr w14:paraId="4D9FD5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 w14:paraId="4C4135E2">
            <w:pPr>
              <w:spacing w:line="360" w:lineRule="auto"/>
              <w:rPr>
                <w:rFonts w:ascii="Times New Roman" w:hAnsi="Times New Roman" w:eastAsia="宋体" w:cs="宋体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bCs/>
                <w:kern w:val="0"/>
                <w:sz w:val="20"/>
                <w:szCs w:val="21"/>
              </w:rPr>
              <w:t>Outcome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 w14:paraId="28C11C9B">
            <w:pPr>
              <w:spacing w:line="360" w:lineRule="auto"/>
              <w:jc w:val="left"/>
              <w:rPr>
                <w:rFonts w:ascii="Times New Roman" w:hAnsi="Times New Roman" w:eastAsia="宋体" w:cs="等线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kern w:val="0"/>
                <w:sz w:val="20"/>
                <w:szCs w:val="21"/>
              </w:rPr>
              <w:t xml:space="preserve">Method 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 w14:paraId="4F681107">
            <w:pPr>
              <w:spacing w:line="360" w:lineRule="auto"/>
              <w:jc w:val="left"/>
              <w:rPr>
                <w:rFonts w:ascii="Times New Roman" w:hAnsi="Times New Roman" w:eastAsia="宋体" w:cs="等线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kern w:val="0"/>
                <w:sz w:val="20"/>
                <w:szCs w:val="21"/>
              </w:rPr>
              <w:t xml:space="preserve">Regression coefficient </w:t>
            </w:r>
          </w:p>
        </w:tc>
        <w:tc>
          <w:tcPr>
            <w:tcW w:w="110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 w14:paraId="3C4ECEE4">
            <w:pPr>
              <w:spacing w:line="360" w:lineRule="auto"/>
              <w:jc w:val="left"/>
              <w:rPr>
                <w:rFonts w:ascii="Times New Roman" w:hAnsi="Times New Roman" w:eastAsia="宋体" w:cs="等线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kern w:val="0"/>
                <w:sz w:val="20"/>
                <w:szCs w:val="21"/>
              </w:rPr>
              <w:t xml:space="preserve">Standard error </w:t>
            </w: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 w14:paraId="74CD00BD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0"/>
                <w:szCs w:val="21"/>
              </w:rPr>
              <w:t>Z</w:t>
            </w:r>
            <w:r>
              <w:rPr>
                <w:rFonts w:ascii="Times New Roman" w:hAnsi="Times New Roman" w:eastAsia="宋体" w:cs="宋体"/>
                <w:bCs/>
                <w:kern w:val="0"/>
                <w:sz w:val="20"/>
                <w:szCs w:val="21"/>
              </w:rPr>
              <w:t xml:space="preserve"> value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 w14:paraId="3C04A05D">
            <w:pPr>
              <w:spacing w:line="360" w:lineRule="auto"/>
              <w:rPr>
                <w:rFonts w:ascii="Times New Roman" w:hAnsi="Times New Roman" w:eastAsia="宋体" w:cs="等线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bCs/>
                <w:kern w:val="0"/>
                <w:sz w:val="20"/>
                <w:szCs w:val="21"/>
              </w:rPr>
              <w:t xml:space="preserve">OR (95% CI) 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 w14:paraId="525EDB57">
            <w:pPr>
              <w:spacing w:line="360" w:lineRule="auto"/>
              <w:jc w:val="center"/>
              <w:rPr>
                <w:rFonts w:ascii="Times New Roman" w:hAnsi="Times New Roman" w:eastAsia="宋体" w:cs="等线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0"/>
                <w:szCs w:val="21"/>
              </w:rPr>
              <w:t>P</w:t>
            </w:r>
          </w:p>
        </w:tc>
      </w:tr>
      <w:tr w14:paraId="21669B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Merge w:val="restart"/>
            <w:tcBorders>
              <w:top w:val="single" w:color="auto" w:sz="4" w:space="0"/>
            </w:tcBorders>
            <w:shd w:val="clear" w:color="auto" w:fill="FFFFFF"/>
            <w:noWrap/>
          </w:tcPr>
          <w:p w14:paraId="53F35187">
            <w:pPr>
              <w:spacing w:line="360" w:lineRule="auto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PUR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 w14:paraId="0582ED88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 xml:space="preserve">Logistic regression after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PSM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FFFFFF"/>
            <w:noWrap/>
          </w:tcPr>
          <w:p w14:paraId="34DF016E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-0.71</w:t>
            </w:r>
          </w:p>
        </w:tc>
        <w:tc>
          <w:tcPr>
            <w:tcW w:w="1106" w:type="dxa"/>
            <w:tcBorders>
              <w:top w:val="single" w:color="auto" w:sz="4" w:space="0"/>
            </w:tcBorders>
            <w:shd w:val="clear" w:color="auto" w:fill="FFFFFF"/>
            <w:noWrap/>
          </w:tcPr>
          <w:p w14:paraId="29E50279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0.17</w:t>
            </w:r>
          </w:p>
        </w:tc>
        <w:tc>
          <w:tcPr>
            <w:tcW w:w="878" w:type="dxa"/>
            <w:tcBorders>
              <w:top w:val="single" w:color="auto" w:sz="4" w:space="0"/>
            </w:tcBorders>
            <w:shd w:val="clear" w:color="auto" w:fill="FFFFFF"/>
            <w:noWrap/>
          </w:tcPr>
          <w:p w14:paraId="50814D3A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-4.09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shd w:val="clear" w:color="auto" w:fill="FFFFFF"/>
            <w:noWrap/>
          </w:tcPr>
          <w:p w14:paraId="02D606E6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0.49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(</w:t>
            </w:r>
            <w:r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0.35, 0.69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FFFFFF"/>
            <w:noWrap/>
          </w:tcPr>
          <w:p w14:paraId="5C6D2DAD">
            <w:pPr>
              <w:spacing w:line="360" w:lineRule="auto"/>
              <w:jc w:val="left"/>
              <w:rPr>
                <w:rFonts w:ascii="Times New Roman" w:hAnsi="Times New Roman" w:eastAsia="宋体" w:cs="等线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b/>
                <w:bCs/>
                <w:color w:val="000000"/>
                <w:kern w:val="0"/>
                <w:sz w:val="20"/>
                <w:szCs w:val="21"/>
              </w:rPr>
              <w:t>&lt;0.001</w:t>
            </w:r>
          </w:p>
        </w:tc>
      </w:tr>
      <w:tr w14:paraId="56027D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Merge w:val="continue"/>
            <w:shd w:val="clear" w:color="auto" w:fill="FFFFFF"/>
            <w:noWrap/>
          </w:tcPr>
          <w:p w14:paraId="2AD24525">
            <w:pPr>
              <w:spacing w:line="360" w:lineRule="auto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33DADCD5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Logistic regression after sIPTW</w:t>
            </w:r>
          </w:p>
        </w:tc>
        <w:tc>
          <w:tcPr>
            <w:tcW w:w="1134" w:type="dxa"/>
            <w:shd w:val="clear" w:color="auto" w:fill="FFFFFF"/>
            <w:noWrap/>
          </w:tcPr>
          <w:p w14:paraId="56550769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-0.76</w:t>
            </w:r>
          </w:p>
        </w:tc>
        <w:tc>
          <w:tcPr>
            <w:tcW w:w="1106" w:type="dxa"/>
            <w:shd w:val="clear" w:color="auto" w:fill="FFFFFF"/>
            <w:noWrap/>
          </w:tcPr>
          <w:p w14:paraId="0F7DD5BD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0.14</w:t>
            </w:r>
          </w:p>
        </w:tc>
        <w:tc>
          <w:tcPr>
            <w:tcW w:w="878" w:type="dxa"/>
            <w:shd w:val="clear" w:color="auto" w:fill="FFFFFF"/>
            <w:noWrap/>
          </w:tcPr>
          <w:p w14:paraId="6E86D2AC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-5.53</w:t>
            </w:r>
          </w:p>
        </w:tc>
        <w:tc>
          <w:tcPr>
            <w:tcW w:w="1843" w:type="dxa"/>
            <w:shd w:val="clear" w:color="auto" w:fill="FFFFFF"/>
            <w:noWrap/>
          </w:tcPr>
          <w:p w14:paraId="3202211E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0.47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(</w:t>
            </w:r>
            <w:r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0.36, 0.61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 w:val="20"/>
                <w:szCs w:val="21"/>
              </w:rPr>
              <w:t>)</w:t>
            </w:r>
          </w:p>
        </w:tc>
        <w:tc>
          <w:tcPr>
            <w:tcW w:w="1134" w:type="dxa"/>
            <w:shd w:val="clear" w:color="auto" w:fill="FFFFFF"/>
            <w:noWrap/>
          </w:tcPr>
          <w:p w14:paraId="375859C4">
            <w:pPr>
              <w:spacing w:line="360" w:lineRule="auto"/>
              <w:jc w:val="left"/>
              <w:rPr>
                <w:rFonts w:ascii="Times New Roman" w:hAnsi="Times New Roman" w:eastAsia="宋体" w:cs="等线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b/>
                <w:bCs/>
                <w:color w:val="000000"/>
                <w:kern w:val="0"/>
                <w:sz w:val="20"/>
                <w:szCs w:val="21"/>
              </w:rPr>
              <w:t>&lt;0.001</w:t>
            </w:r>
          </w:p>
        </w:tc>
      </w:tr>
      <w:tr w14:paraId="70851D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Merge w:val="restart"/>
            <w:shd w:val="clear" w:color="auto" w:fill="FFFFFF"/>
            <w:noWrap/>
          </w:tcPr>
          <w:p w14:paraId="1AFACB66">
            <w:pPr>
              <w:spacing w:line="360" w:lineRule="auto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Covert PUR</w:t>
            </w: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0609BD43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 xml:space="preserve">Logistic regression after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PSM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1F194E8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-0.59</w:t>
            </w:r>
          </w:p>
        </w:tc>
        <w:tc>
          <w:tcPr>
            <w:tcW w:w="1106" w:type="dxa"/>
            <w:shd w:val="clear" w:color="auto" w:fill="FFFFFF"/>
            <w:noWrap/>
            <w:vAlign w:val="center"/>
          </w:tcPr>
          <w:p w14:paraId="7BBF79E2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0.24</w:t>
            </w:r>
          </w:p>
        </w:tc>
        <w:tc>
          <w:tcPr>
            <w:tcW w:w="878" w:type="dxa"/>
            <w:shd w:val="clear" w:color="auto" w:fill="FFFFFF"/>
            <w:noWrap/>
            <w:vAlign w:val="center"/>
          </w:tcPr>
          <w:p w14:paraId="12F99D44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-2.42</w:t>
            </w: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5778F15C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0.56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0.34, 0.89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)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249CE32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0.016</w:t>
            </w:r>
          </w:p>
        </w:tc>
      </w:tr>
      <w:tr w14:paraId="29B2CA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Merge w:val="continue"/>
            <w:shd w:val="clear" w:color="auto" w:fill="FFFFFF"/>
            <w:noWrap/>
          </w:tcPr>
          <w:p w14:paraId="011BD08F">
            <w:pPr>
              <w:spacing w:line="360" w:lineRule="auto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019D0B9F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Logistic regression after sIPTW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75B0E54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>-0.92</w:t>
            </w:r>
          </w:p>
        </w:tc>
        <w:tc>
          <w:tcPr>
            <w:tcW w:w="1106" w:type="dxa"/>
            <w:shd w:val="clear" w:color="auto" w:fill="FFFFFF"/>
            <w:noWrap/>
            <w:vAlign w:val="center"/>
          </w:tcPr>
          <w:p w14:paraId="4C4E6724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>0.15</w:t>
            </w:r>
          </w:p>
        </w:tc>
        <w:tc>
          <w:tcPr>
            <w:tcW w:w="878" w:type="dxa"/>
            <w:shd w:val="clear" w:color="auto" w:fill="FFFFFF"/>
            <w:noWrap/>
            <w:vAlign w:val="center"/>
          </w:tcPr>
          <w:p w14:paraId="52AA87D9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>-6.18</w:t>
            </w: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4E2CDAC2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0.40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0.30, 0.53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)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A9F3738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＜0.001</w:t>
            </w:r>
          </w:p>
        </w:tc>
      </w:tr>
      <w:tr w14:paraId="6F506C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Merge w:val="restart"/>
            <w:shd w:val="clear" w:color="auto" w:fill="FFFFFF"/>
            <w:noWrap/>
          </w:tcPr>
          <w:p w14:paraId="6CFCF0C8">
            <w:pPr>
              <w:spacing w:line="360" w:lineRule="auto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Overt PUR</w:t>
            </w: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53DB0C4D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 xml:space="preserve">Logistic regression after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PSM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5EB047D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 xml:space="preserve">0.29       </w:t>
            </w:r>
          </w:p>
        </w:tc>
        <w:tc>
          <w:tcPr>
            <w:tcW w:w="1106" w:type="dxa"/>
            <w:shd w:val="clear" w:color="auto" w:fill="FFFFFF"/>
            <w:noWrap/>
            <w:vAlign w:val="center"/>
          </w:tcPr>
          <w:p w14:paraId="583FF641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 xml:space="preserve"> 0.31    </w:t>
            </w:r>
          </w:p>
        </w:tc>
        <w:tc>
          <w:tcPr>
            <w:tcW w:w="878" w:type="dxa"/>
            <w:shd w:val="clear" w:color="auto" w:fill="FFFFFF"/>
            <w:noWrap/>
            <w:vAlign w:val="center"/>
          </w:tcPr>
          <w:p w14:paraId="51A4C6AE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 xml:space="preserve"> 0.93                     </w:t>
            </w: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1A2F7951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>1.34 (0.73, 2.49)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91A7A88">
            <w:pPr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 xml:space="preserve">0.354   </w:t>
            </w:r>
          </w:p>
        </w:tc>
      </w:tr>
      <w:tr w14:paraId="5C53CD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Merge w:val="continue"/>
            <w:shd w:val="clear" w:color="auto" w:fill="FFFFFF"/>
            <w:noWrap/>
          </w:tcPr>
          <w:p w14:paraId="1C3EAAF2">
            <w:pPr>
              <w:spacing w:line="360" w:lineRule="auto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21A3A561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Logistic regression after sIPTW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3444EEED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 xml:space="preserve">0.08     </w:t>
            </w:r>
          </w:p>
        </w:tc>
        <w:tc>
          <w:tcPr>
            <w:tcW w:w="1106" w:type="dxa"/>
            <w:shd w:val="clear" w:color="auto" w:fill="FFFFFF"/>
            <w:noWrap/>
            <w:vAlign w:val="center"/>
          </w:tcPr>
          <w:p w14:paraId="0A09EC1B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 xml:space="preserve"> 0.26   </w:t>
            </w:r>
          </w:p>
        </w:tc>
        <w:tc>
          <w:tcPr>
            <w:tcW w:w="878" w:type="dxa"/>
            <w:shd w:val="clear" w:color="auto" w:fill="FFFFFF"/>
            <w:noWrap/>
            <w:vAlign w:val="center"/>
          </w:tcPr>
          <w:p w14:paraId="59060DCD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 xml:space="preserve"> 0.30  </w:t>
            </w: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6FAB62CE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 xml:space="preserve">1.08 </w:t>
            </w: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>(</w:t>
            </w: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0.66, 1.80</w:t>
            </w: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>)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77DDD76">
            <w:pPr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 xml:space="preserve">0.763     </w:t>
            </w:r>
          </w:p>
        </w:tc>
      </w:tr>
      <w:tr w14:paraId="49F124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Merge w:val="restart"/>
            <w:shd w:val="clear" w:color="auto" w:fill="FFFFFF"/>
            <w:noWrap/>
          </w:tcPr>
          <w:p w14:paraId="7997DA5F">
            <w:pPr>
              <w:spacing w:line="360" w:lineRule="auto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Indwelling urinary catheter</w:t>
            </w: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4C87E822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 xml:space="preserve">Logistic regression after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PSM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2915B3C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0.04</w:t>
            </w:r>
          </w:p>
        </w:tc>
        <w:tc>
          <w:tcPr>
            <w:tcW w:w="1106" w:type="dxa"/>
            <w:shd w:val="clear" w:color="auto" w:fill="FFFFFF"/>
            <w:noWrap/>
            <w:vAlign w:val="center"/>
          </w:tcPr>
          <w:p w14:paraId="7EECAA5C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0.28</w:t>
            </w:r>
          </w:p>
        </w:tc>
        <w:tc>
          <w:tcPr>
            <w:tcW w:w="878" w:type="dxa"/>
            <w:shd w:val="clear" w:color="auto" w:fill="FFFFFF"/>
            <w:noWrap/>
            <w:vAlign w:val="center"/>
          </w:tcPr>
          <w:p w14:paraId="71A4DC48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0.14</w:t>
            </w: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456DD2AC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 xml:space="preserve">1.04 </w:t>
            </w: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>(</w:t>
            </w: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0.60, 1.82</w:t>
            </w: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>)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55DA5455">
            <w:pPr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0.887</w:t>
            </w:r>
          </w:p>
        </w:tc>
      </w:tr>
      <w:tr w14:paraId="3A8DDF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Merge w:val="continue"/>
            <w:shd w:val="clear" w:color="auto" w:fill="FFFFFF"/>
            <w:noWrap/>
          </w:tcPr>
          <w:p w14:paraId="74A62CCC">
            <w:pPr>
              <w:spacing w:line="360" w:lineRule="auto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6207661A">
            <w:pPr>
              <w:spacing w:line="360" w:lineRule="auto"/>
              <w:jc w:val="left"/>
              <w:rPr>
                <w:rFonts w:ascii="Times New Roman" w:hAnsi="Times New Roman" w:eastAsia="宋体" w:cs="等线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1"/>
              </w:rPr>
              <w:t>Logistic regression after sIPTW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3D05B22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-0.31</w:t>
            </w:r>
          </w:p>
        </w:tc>
        <w:tc>
          <w:tcPr>
            <w:tcW w:w="1106" w:type="dxa"/>
            <w:shd w:val="clear" w:color="auto" w:fill="FFFFFF"/>
            <w:noWrap/>
            <w:vAlign w:val="center"/>
          </w:tcPr>
          <w:p w14:paraId="4D834B00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0.23</w:t>
            </w:r>
          </w:p>
        </w:tc>
        <w:tc>
          <w:tcPr>
            <w:tcW w:w="878" w:type="dxa"/>
            <w:shd w:val="clear" w:color="auto" w:fill="FFFFFF"/>
            <w:noWrap/>
            <w:vAlign w:val="center"/>
          </w:tcPr>
          <w:p w14:paraId="4BC6B125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-1.35</w:t>
            </w:r>
          </w:p>
        </w:tc>
        <w:tc>
          <w:tcPr>
            <w:tcW w:w="1843" w:type="dxa"/>
            <w:shd w:val="clear" w:color="auto" w:fill="FFFFFF"/>
            <w:noWrap/>
            <w:vAlign w:val="center"/>
          </w:tcPr>
          <w:p w14:paraId="4D522330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 xml:space="preserve">0.73 </w:t>
            </w: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>(</w:t>
            </w: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0.47, 1.15</w:t>
            </w:r>
            <w:r>
              <w:rPr>
                <w:rFonts w:hint="eastAsia" w:ascii="Times New Roman" w:hAnsi="Times New Roman" w:eastAsia="宋体" w:cs="等线"/>
                <w:kern w:val="0"/>
                <w:sz w:val="20"/>
                <w:szCs w:val="21"/>
              </w:rPr>
              <w:t>)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21D651B">
            <w:pPr>
              <w:jc w:val="left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等线"/>
                <w:kern w:val="0"/>
                <w:sz w:val="20"/>
                <w:szCs w:val="21"/>
              </w:rPr>
              <w:t>0.176</w:t>
            </w:r>
          </w:p>
        </w:tc>
      </w:tr>
    </w:tbl>
    <w:p w14:paraId="3D22DB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6568"/>
    <w:rsid w:val="004E6568"/>
    <w:rsid w:val="00612B85"/>
    <w:rsid w:val="006C3BD8"/>
    <w:rsid w:val="00F031B3"/>
    <w:rsid w:val="10B8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122</Words>
  <Characters>696</Characters>
  <Lines>6</Lines>
  <Paragraphs>1</Paragraphs>
  <TotalTime>0</TotalTime>
  <ScaleCrop>false</ScaleCrop>
  <LinksUpToDate>false</LinksUpToDate>
  <CharactersWithSpaces>815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2025-12-23T15:21:00Z</dcterms:created>
  <dc:creator>Windows 用户</dc:creator>
  <cp:lastModifiedBy>婷</cp:lastModifiedBy>
  <dcterms:modified xsi:type="dcterms:W3CDTF">2026-03-01T03:13:14Z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eyJoZGlkIjoiY2Q1OGQ0ZDdlMDE4MGZlZTU4ODM3MDI1MjUxMTQzZTYiLCJ1c2VySWQiOiI0NDUxMDI1MzkifQ==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2DFF436149F345E9A674FA2EA8E36C5C_12</vt:lpwstr>
  </property>
</Properties>
</file>