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EE50E" w14:textId="77777777" w:rsidR="002C4B6C" w:rsidRDefault="00000000" w:rsidP="00FE6C0A">
      <w:pPr>
        <w:spacing w:line="360" w:lineRule="auto"/>
        <w:jc w:val="center"/>
        <w:rPr>
          <w:rFonts w:ascii="Times New Roman" w:eastAsiaTheme="majorEastAsia" w:hAnsi="Times New Roman" w:cs="Times New Roman"/>
          <w:b/>
          <w:bCs/>
          <w:sz w:val="24"/>
          <w:szCs w:val="20"/>
        </w:rPr>
      </w:pPr>
      <w:r>
        <w:rPr>
          <w:rFonts w:ascii="Times New Roman" w:eastAsiaTheme="majorEastAsia" w:hAnsi="Times New Roman" w:cs="Times New Roman" w:hint="eastAsia"/>
          <w:b/>
          <w:bCs/>
          <w:sz w:val="24"/>
          <w:szCs w:val="20"/>
        </w:rPr>
        <w:t>Supplementary figures and figure legends</w:t>
      </w:r>
    </w:p>
    <w:p w14:paraId="7C664D5B" w14:textId="77777777" w:rsidR="002C4B6C" w:rsidRDefault="00000000" w:rsidP="00FE6C0A">
      <w:pPr>
        <w:spacing w:line="360" w:lineRule="auto"/>
        <w:jc w:val="center"/>
        <w:rPr>
          <w:rFonts w:ascii="Times New Roman" w:eastAsiaTheme="majorEastAsia" w:hAnsi="Times New Roman" w:cs="Times New Roman"/>
          <w:b/>
          <w:bCs/>
          <w:sz w:val="24"/>
          <w:szCs w:val="20"/>
        </w:rPr>
      </w:pPr>
      <w:r>
        <w:rPr>
          <w:rFonts w:ascii="Times New Roman" w:eastAsiaTheme="majorEastAsia" w:hAnsi="Times New Roman" w:cs="Times New Roman" w:hint="eastAsia"/>
          <w:b/>
          <w:bCs/>
          <w:sz w:val="24"/>
          <w:szCs w:val="20"/>
        </w:rPr>
        <w:t>for identification of monitoring panels and hub genes for heterogeneous relapse outcomes in acute lymphoblastic leukemia</w:t>
      </w:r>
    </w:p>
    <w:p w14:paraId="7BB2A540" w14:textId="77777777" w:rsidR="002C4B6C" w:rsidRDefault="00000000" w:rsidP="00FE6C0A">
      <w:pPr>
        <w:spacing w:line="360" w:lineRule="auto"/>
        <w:jc w:val="center"/>
        <w:rPr>
          <w:rFonts w:ascii="Times New Roman" w:eastAsiaTheme="majorEastAsia" w:hAnsi="Times New Roman" w:cs="Times New Roman"/>
          <w:bCs/>
          <w:szCs w:val="18"/>
        </w:rPr>
      </w:pPr>
      <w:r>
        <w:rPr>
          <w:rFonts w:ascii="Times New Roman" w:eastAsiaTheme="majorEastAsia" w:hAnsi="Times New Roman" w:cs="Times New Roman"/>
          <w:bCs/>
          <w:szCs w:val="18"/>
        </w:rPr>
        <w:t>Xin He</w:t>
      </w:r>
      <w:r>
        <w:rPr>
          <w:rFonts w:ascii="Times New Roman" w:eastAsiaTheme="majorEastAsia" w:hAnsi="Times New Roman" w:cs="Times New Roman" w:hint="eastAsia"/>
          <w:bCs/>
          <w:szCs w:val="18"/>
        </w:rPr>
        <w:t>,et al.</w:t>
      </w:r>
    </w:p>
    <w:p w14:paraId="0F7A7892" w14:textId="77777777" w:rsidR="002C4B6C" w:rsidRDefault="00000000" w:rsidP="00FE6C0A">
      <w:pPr>
        <w:spacing w:line="360" w:lineRule="auto"/>
        <w:rPr>
          <w:rFonts w:ascii="Times New Roman" w:eastAsiaTheme="majorEastAsia" w:hAnsi="Times New Roman" w:cs="Times New Roman"/>
          <w:bCs/>
          <w:szCs w:val="18"/>
        </w:rPr>
      </w:pPr>
      <w:r>
        <w:rPr>
          <w:rFonts w:ascii="Times New Roman" w:eastAsiaTheme="majorEastAsia" w:hAnsi="Times New Roman" w:cs="Times New Roman"/>
          <w:b/>
          <w:bCs/>
          <w:szCs w:val="18"/>
        </w:rPr>
        <w:t>* Correspondence author</w:t>
      </w:r>
      <w:r>
        <w:rPr>
          <w:rFonts w:ascii="Times New Roman" w:eastAsiaTheme="majorEastAsia" w:hAnsi="Times New Roman" w:cs="Times New Roman" w:hint="eastAsia"/>
          <w:b/>
          <w:bCs/>
          <w:szCs w:val="18"/>
        </w:rPr>
        <w:t>:</w:t>
      </w:r>
      <w:r>
        <w:rPr>
          <w:rFonts w:ascii="Times New Roman" w:eastAsiaTheme="majorEastAsia" w:hAnsi="Times New Roman" w:cs="Times New Roman" w:hint="eastAsia"/>
          <w:bCs/>
          <w:szCs w:val="18"/>
        </w:rPr>
        <w:t xml:space="preserve">Pu Li, </w:t>
      </w:r>
      <w:r>
        <w:rPr>
          <w:rFonts w:ascii="Times New Roman" w:eastAsiaTheme="majorEastAsia" w:hAnsi="Times New Roman" w:cs="Times New Roman"/>
          <w:bCs/>
          <w:szCs w:val="18"/>
        </w:rPr>
        <w:t xml:space="preserve">Department of Clinical Laboratory, Chongqing University Jiangjin Hospital, School of Medicine, Chongqing University, </w:t>
      </w:r>
      <w:r>
        <w:rPr>
          <w:rFonts w:ascii="Times New Roman" w:eastAsiaTheme="majorEastAsia" w:hAnsi="Times New Roman" w:cs="Times New Roman" w:hint="eastAsia"/>
          <w:bCs/>
          <w:szCs w:val="18"/>
        </w:rPr>
        <w:t xml:space="preserve">No.725 Jiangzhou Avenue, Jiangjin District, Chongqing, 402260, China. Phone: 86.02347521342; </w:t>
      </w:r>
      <w:r>
        <w:rPr>
          <w:rFonts w:ascii="Times New Roman" w:eastAsiaTheme="majorEastAsia" w:hAnsi="Times New Roman" w:cs="Times New Roman"/>
          <w:bCs/>
          <w:szCs w:val="18"/>
        </w:rPr>
        <w:t xml:space="preserve">Email: </w:t>
      </w:r>
      <w:r>
        <w:rPr>
          <w:rFonts w:ascii="Times New Roman" w:eastAsiaTheme="majorEastAsia" w:hAnsi="Times New Roman" w:cs="Times New Roman" w:hint="eastAsia"/>
          <w:bCs/>
          <w:szCs w:val="18"/>
        </w:rPr>
        <w:t>lipu.cqu@cqu.edu.cn.</w:t>
      </w:r>
    </w:p>
    <w:p w14:paraId="6870374D" w14:textId="77777777" w:rsidR="002C4B6C" w:rsidRDefault="002C4B6C">
      <w:pPr>
        <w:spacing w:line="480" w:lineRule="auto"/>
        <w:jc w:val="center"/>
        <w:rPr>
          <w:rFonts w:ascii="Times New Roman" w:eastAsia="楷体" w:hAnsi="Times New Roman" w:cs="Times New Roman"/>
          <w:szCs w:val="21"/>
        </w:rPr>
      </w:pPr>
    </w:p>
    <w:p w14:paraId="34068301" w14:textId="77777777" w:rsidR="002C4B6C" w:rsidRDefault="002C4B6C">
      <w:pPr>
        <w:spacing w:line="480" w:lineRule="auto"/>
        <w:jc w:val="center"/>
        <w:rPr>
          <w:rFonts w:ascii="Times New Roman" w:eastAsia="楷体" w:hAnsi="Times New Roman" w:cs="Times New Roman"/>
          <w:szCs w:val="21"/>
        </w:rPr>
      </w:pPr>
    </w:p>
    <w:p w14:paraId="78DC84C4" w14:textId="77777777" w:rsidR="002C4B6C" w:rsidRDefault="002C4B6C">
      <w:pPr>
        <w:spacing w:line="480" w:lineRule="auto"/>
        <w:jc w:val="center"/>
        <w:rPr>
          <w:rFonts w:ascii="Times New Roman" w:eastAsia="楷体" w:hAnsi="Times New Roman" w:cs="Times New Roman"/>
          <w:szCs w:val="21"/>
        </w:rPr>
      </w:pPr>
    </w:p>
    <w:p w14:paraId="3EDE5761" w14:textId="77777777" w:rsidR="002C4B6C" w:rsidRDefault="002C4B6C">
      <w:pPr>
        <w:spacing w:line="480" w:lineRule="auto"/>
        <w:jc w:val="center"/>
        <w:rPr>
          <w:rFonts w:ascii="Times New Roman" w:eastAsia="楷体" w:hAnsi="Times New Roman" w:cs="Times New Roman"/>
          <w:szCs w:val="21"/>
        </w:rPr>
      </w:pPr>
    </w:p>
    <w:p w14:paraId="72CAE799" w14:textId="6852C3BB" w:rsidR="002C4B6C" w:rsidRDefault="00FE6C0A">
      <w:pPr>
        <w:spacing w:line="480" w:lineRule="auto"/>
        <w:jc w:val="center"/>
        <w:rPr>
          <w:rFonts w:ascii="Times New Roman" w:eastAsia="楷体" w:hAnsi="Times New Roman" w:cs="Times New Roman"/>
          <w:szCs w:val="21"/>
        </w:rPr>
      </w:pPr>
      <w:r>
        <w:rPr>
          <w:rFonts w:ascii="Times New Roman" w:eastAsia="楷体" w:hAnsi="Times New Roman" w:cs="Times New Roman"/>
          <w:noProof/>
          <w:szCs w:val="21"/>
        </w:rPr>
        <w:drawing>
          <wp:inline distT="0" distB="0" distL="0" distR="0" wp14:anchorId="4A2BC2C3" wp14:editId="4E6C5BE5">
            <wp:extent cx="5274310" cy="4867275"/>
            <wp:effectExtent l="0" t="0" r="2540" b="9525"/>
            <wp:docPr id="20549372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37241" name="图片 205493724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4867275"/>
                    </a:xfrm>
                    <a:prstGeom prst="rect">
                      <a:avLst/>
                    </a:prstGeom>
                  </pic:spPr>
                </pic:pic>
              </a:graphicData>
            </a:graphic>
          </wp:inline>
        </w:drawing>
      </w:r>
    </w:p>
    <w:p w14:paraId="4FE050EC" w14:textId="77777777" w:rsidR="00A42938" w:rsidRDefault="00A42938" w:rsidP="00A42938">
      <w:pPr>
        <w:snapToGrid w:val="0"/>
        <w:spacing w:line="360" w:lineRule="auto"/>
        <w:rPr>
          <w:rFonts w:ascii="Times New Roman" w:eastAsia="楷体" w:hAnsi="Times New Roman" w:cs="Times New Roman"/>
          <w:b/>
          <w:bCs/>
          <w:szCs w:val="21"/>
        </w:rPr>
      </w:pPr>
      <w:r>
        <w:rPr>
          <w:rFonts w:ascii="Times New Roman" w:eastAsia="楷体" w:hAnsi="Times New Roman" w:cs="Times New Roman"/>
          <w:b/>
          <w:bCs/>
          <w:szCs w:val="21"/>
        </w:rPr>
        <w:t xml:space="preserve">Fig. S1. Summary of Mutational Profiles in ALL Relapse Outcome Groups </w:t>
      </w:r>
    </w:p>
    <w:p w14:paraId="6B8D3EA8" w14:textId="77777777" w:rsidR="00A42938" w:rsidRDefault="00A42938" w:rsidP="00A42938">
      <w:pPr>
        <w:snapToGrid w:val="0"/>
        <w:spacing w:line="360" w:lineRule="auto"/>
        <w:rPr>
          <w:rFonts w:ascii="Times New Roman" w:eastAsia="楷体" w:hAnsi="Times New Roman" w:cs="Times New Roman"/>
          <w:szCs w:val="21"/>
        </w:rPr>
      </w:pPr>
      <w:r>
        <w:rPr>
          <w:rFonts w:ascii="Times New Roman" w:eastAsia="楷体" w:hAnsi="Times New Roman" w:cs="Times New Roman"/>
          <w:bCs/>
          <w:szCs w:val="21"/>
        </w:rPr>
        <w:lastRenderedPageBreak/>
        <w:t>Summary plot depicting mutation distributions across ALL relapse outcome groups.</w:t>
      </w:r>
    </w:p>
    <w:p w14:paraId="24A99377" w14:textId="77777777" w:rsidR="00A42938" w:rsidRDefault="00A42938" w:rsidP="00A42938">
      <w:pPr>
        <w:snapToGrid w:val="0"/>
        <w:spacing w:line="360" w:lineRule="auto"/>
        <w:rPr>
          <w:rFonts w:ascii="Times New Roman" w:eastAsia="楷体" w:hAnsi="Times New Roman" w:cs="Times New Roman"/>
          <w:szCs w:val="21"/>
        </w:rPr>
      </w:pPr>
      <w:r>
        <w:rPr>
          <w:rFonts w:ascii="Times New Roman" w:eastAsia="楷体" w:hAnsi="Times New Roman" w:cs="Times New Roman"/>
          <w:szCs w:val="21"/>
        </w:rPr>
        <w:t>SNP: Single Nucleotide Polymorphism; ONP: Oligonucleotide Polymorphism; INS: Insertion; DEL: Deletion</w:t>
      </w:r>
    </w:p>
    <w:p w14:paraId="48DB19FB" w14:textId="77777777" w:rsidR="002C4B6C" w:rsidRPr="00A42938" w:rsidRDefault="002C4B6C">
      <w:pPr>
        <w:spacing w:line="480" w:lineRule="auto"/>
        <w:jc w:val="left"/>
        <w:rPr>
          <w:rFonts w:ascii="Times New Roman" w:eastAsia="楷体" w:hAnsi="Times New Roman" w:cs="Times New Roman"/>
          <w:szCs w:val="21"/>
        </w:rPr>
      </w:pPr>
    </w:p>
    <w:p w14:paraId="18807FE3" w14:textId="5DFFC33C" w:rsidR="002C4B6C" w:rsidRDefault="00FE6C0A">
      <w:pPr>
        <w:spacing w:line="480" w:lineRule="auto"/>
        <w:jc w:val="center"/>
        <w:rPr>
          <w:rFonts w:ascii="Times New Roman" w:eastAsiaTheme="majorEastAsia" w:hAnsi="Times New Roman" w:cs="Times New Roman"/>
          <w:szCs w:val="21"/>
        </w:rPr>
      </w:pPr>
      <w:r>
        <w:rPr>
          <w:rFonts w:ascii="Times New Roman" w:eastAsiaTheme="majorEastAsia" w:hAnsi="Times New Roman" w:cs="Times New Roman"/>
          <w:noProof/>
          <w:szCs w:val="21"/>
        </w:rPr>
        <w:drawing>
          <wp:inline distT="0" distB="0" distL="0" distR="0" wp14:anchorId="37F1B6CE" wp14:editId="511930A7">
            <wp:extent cx="5274310" cy="4969510"/>
            <wp:effectExtent l="0" t="0" r="2540" b="2540"/>
            <wp:docPr id="17732905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90576" name="图片 17732905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969510"/>
                    </a:xfrm>
                    <a:prstGeom prst="rect">
                      <a:avLst/>
                    </a:prstGeom>
                  </pic:spPr>
                </pic:pic>
              </a:graphicData>
            </a:graphic>
          </wp:inline>
        </w:drawing>
      </w:r>
    </w:p>
    <w:p w14:paraId="4322703B" w14:textId="77777777" w:rsidR="00A42938" w:rsidRDefault="00A42938" w:rsidP="00A42938">
      <w:pPr>
        <w:snapToGrid w:val="0"/>
        <w:spacing w:line="360" w:lineRule="auto"/>
        <w:rPr>
          <w:rFonts w:ascii="Times New Roman" w:eastAsia="楷体" w:hAnsi="Times New Roman" w:cs="Times New Roman"/>
          <w:b/>
          <w:bCs/>
          <w:szCs w:val="21"/>
        </w:rPr>
      </w:pPr>
      <w:r>
        <w:rPr>
          <w:rFonts w:ascii="Times New Roman" w:eastAsia="楷体" w:hAnsi="Times New Roman" w:cs="Times New Roman"/>
          <w:b/>
          <w:bCs/>
          <w:szCs w:val="21"/>
        </w:rPr>
        <w:t>Fig. S2. Mutational Signature Analysis of ALL Relapse Outcome Groups Using COSMIC Database</w:t>
      </w:r>
    </w:p>
    <w:p w14:paraId="1B384F5E" w14:textId="77777777" w:rsidR="00A42938" w:rsidRDefault="00A42938" w:rsidP="00A42938">
      <w:pPr>
        <w:snapToGrid w:val="0"/>
        <w:spacing w:line="360" w:lineRule="auto"/>
        <w:rPr>
          <w:rFonts w:ascii="Times New Roman" w:eastAsia="楷体" w:hAnsi="Times New Roman" w:cs="Times New Roman"/>
          <w:bCs/>
          <w:szCs w:val="21"/>
        </w:rPr>
      </w:pPr>
      <w:r>
        <w:rPr>
          <w:rFonts w:ascii="Times New Roman" w:eastAsia="楷体" w:hAnsi="Times New Roman" w:cs="Times New Roman"/>
          <w:bCs/>
          <w:szCs w:val="21"/>
        </w:rPr>
        <w:t xml:space="preserve">Elbow plots of cophenetic correlation metrics (left) and mutational signature plots (right) for each relapse outcome group. </w:t>
      </w:r>
    </w:p>
    <w:p w14:paraId="58BBE6DE" w14:textId="77777777" w:rsidR="002C4B6C" w:rsidRPr="00A42938" w:rsidRDefault="002C4B6C">
      <w:pPr>
        <w:spacing w:line="480" w:lineRule="auto"/>
        <w:jc w:val="left"/>
        <w:rPr>
          <w:rFonts w:ascii="Times New Roman" w:eastAsia="楷体" w:hAnsi="Times New Roman" w:cs="Times New Roman"/>
          <w:szCs w:val="21"/>
        </w:rPr>
      </w:pPr>
    </w:p>
    <w:p w14:paraId="3B94BFD2" w14:textId="2520CBBE" w:rsidR="002C4B6C" w:rsidRDefault="00FE6C0A">
      <w:pPr>
        <w:spacing w:line="480" w:lineRule="auto"/>
        <w:jc w:val="left"/>
        <w:rPr>
          <w:rFonts w:ascii="Times New Roman" w:eastAsia="楷体" w:hAnsi="Times New Roman" w:cs="Times New Roman"/>
          <w:szCs w:val="21"/>
        </w:rPr>
      </w:pPr>
      <w:r>
        <w:rPr>
          <w:rFonts w:ascii="Times New Roman" w:eastAsia="楷体" w:hAnsi="Times New Roman" w:cs="Times New Roman"/>
          <w:noProof/>
          <w:szCs w:val="21"/>
        </w:rPr>
        <w:lastRenderedPageBreak/>
        <w:drawing>
          <wp:inline distT="0" distB="0" distL="0" distR="0" wp14:anchorId="7634F935" wp14:editId="775348B5">
            <wp:extent cx="5274310" cy="2954020"/>
            <wp:effectExtent l="0" t="0" r="2540" b="0"/>
            <wp:docPr id="18992508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50886" name="图片 18992508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54020"/>
                    </a:xfrm>
                    <a:prstGeom prst="rect">
                      <a:avLst/>
                    </a:prstGeom>
                  </pic:spPr>
                </pic:pic>
              </a:graphicData>
            </a:graphic>
          </wp:inline>
        </w:drawing>
      </w:r>
    </w:p>
    <w:p w14:paraId="0D7EF742" w14:textId="77777777" w:rsidR="00A42938" w:rsidRDefault="00A42938" w:rsidP="00A42938">
      <w:pPr>
        <w:snapToGrid w:val="0"/>
        <w:spacing w:line="360" w:lineRule="auto"/>
        <w:rPr>
          <w:rFonts w:ascii="Times New Roman" w:eastAsia="楷体" w:hAnsi="Times New Roman" w:cs="Times New Roman"/>
          <w:b/>
          <w:bCs/>
          <w:szCs w:val="21"/>
        </w:rPr>
      </w:pPr>
      <w:r>
        <w:rPr>
          <w:rFonts w:ascii="Times New Roman" w:eastAsia="楷体" w:hAnsi="Times New Roman" w:cs="Times New Roman"/>
          <w:b/>
          <w:bCs/>
          <w:szCs w:val="21"/>
        </w:rPr>
        <w:t xml:space="preserve">Fig. S3. Oncogenic Pathway Alterations in ALL Relapse Outcome Groups </w:t>
      </w:r>
    </w:p>
    <w:p w14:paraId="5AE05CF1" w14:textId="77777777" w:rsidR="00A42938" w:rsidRDefault="00A42938" w:rsidP="00A42938">
      <w:pPr>
        <w:snapToGrid w:val="0"/>
        <w:spacing w:line="360" w:lineRule="auto"/>
        <w:rPr>
          <w:rFonts w:ascii="Times New Roman" w:eastAsia="楷体" w:hAnsi="Times New Roman" w:cs="Times New Roman"/>
          <w:bCs/>
          <w:szCs w:val="21"/>
        </w:rPr>
      </w:pPr>
      <w:r>
        <w:rPr>
          <w:rFonts w:ascii="Times New Roman" w:eastAsia="楷体" w:hAnsi="Times New Roman" w:cs="Times New Roman"/>
          <w:bCs/>
          <w:szCs w:val="21"/>
        </w:rPr>
        <w:t>Waterfall plots illustrating mutation frequencies of 24 oncogenic pathways across relapse outcome groups.</w:t>
      </w:r>
    </w:p>
    <w:p w14:paraId="00C6165C" w14:textId="77777777" w:rsidR="002C4B6C" w:rsidRPr="00A42938" w:rsidRDefault="002C4B6C">
      <w:pPr>
        <w:spacing w:line="480" w:lineRule="auto"/>
        <w:rPr>
          <w:rFonts w:ascii="Times New Roman" w:eastAsia="楷体" w:hAnsi="Times New Roman" w:cs="Times New Roman"/>
          <w:bCs/>
          <w:szCs w:val="21"/>
        </w:rPr>
      </w:pPr>
    </w:p>
    <w:p w14:paraId="4A5478F3" w14:textId="7FD548C7" w:rsidR="002C4B6C" w:rsidRDefault="00FE6C0A">
      <w:pPr>
        <w:spacing w:line="480" w:lineRule="auto"/>
        <w:jc w:val="left"/>
        <w:rPr>
          <w:rFonts w:ascii="Times New Roman" w:eastAsia="楷体" w:hAnsi="Times New Roman" w:cs="Times New Roman"/>
          <w:szCs w:val="21"/>
        </w:rPr>
      </w:pPr>
      <w:r>
        <w:rPr>
          <w:rFonts w:ascii="Times New Roman" w:eastAsia="楷体" w:hAnsi="Times New Roman" w:cs="Times New Roman"/>
          <w:noProof/>
          <w:szCs w:val="21"/>
        </w:rPr>
        <w:drawing>
          <wp:inline distT="0" distB="0" distL="0" distR="0" wp14:anchorId="3455F507" wp14:editId="1D0581DA">
            <wp:extent cx="5274310" cy="4433570"/>
            <wp:effectExtent l="0" t="0" r="2540" b="5080"/>
            <wp:docPr id="11675187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18730" name="图片 11675187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433570"/>
                    </a:xfrm>
                    <a:prstGeom prst="rect">
                      <a:avLst/>
                    </a:prstGeom>
                  </pic:spPr>
                </pic:pic>
              </a:graphicData>
            </a:graphic>
          </wp:inline>
        </w:drawing>
      </w:r>
    </w:p>
    <w:p w14:paraId="3C41C808" w14:textId="77777777" w:rsidR="00A42938" w:rsidRDefault="00A42938" w:rsidP="00A42938">
      <w:pPr>
        <w:tabs>
          <w:tab w:val="left" w:pos="312"/>
        </w:tabs>
        <w:snapToGrid w:val="0"/>
        <w:spacing w:line="360" w:lineRule="auto"/>
        <w:rPr>
          <w:rFonts w:ascii="Times New Roman" w:eastAsia="楷体" w:hAnsi="Times New Roman" w:cs="Times New Roman"/>
          <w:b/>
          <w:szCs w:val="21"/>
        </w:rPr>
      </w:pPr>
      <w:r>
        <w:rPr>
          <w:rFonts w:ascii="Times New Roman" w:eastAsia="楷体" w:hAnsi="Times New Roman" w:cs="Times New Roman"/>
          <w:b/>
          <w:szCs w:val="21"/>
        </w:rPr>
        <w:t xml:space="preserve">Fig. S4. Differential CNV Gene Volcano Plots in ALL Relapse Outcomes </w:t>
      </w:r>
    </w:p>
    <w:p w14:paraId="42A3AE87" w14:textId="77777777" w:rsidR="00A42938" w:rsidRDefault="00A42938" w:rsidP="00A42938">
      <w:pPr>
        <w:tabs>
          <w:tab w:val="left" w:pos="312"/>
        </w:tabs>
        <w:snapToGrid w:val="0"/>
        <w:spacing w:line="360" w:lineRule="auto"/>
        <w:rPr>
          <w:rFonts w:ascii="Times New Roman" w:eastAsia="楷体" w:hAnsi="Times New Roman" w:cs="Times New Roman"/>
          <w:szCs w:val="21"/>
        </w:rPr>
      </w:pPr>
      <w:r>
        <w:rPr>
          <w:rFonts w:ascii="Times New Roman" w:eastAsia="楷体" w:hAnsi="Times New Roman" w:cs="Times New Roman"/>
          <w:szCs w:val="21"/>
        </w:rPr>
        <w:lastRenderedPageBreak/>
        <w:t>Bubble plot displaying CNV frequencies of differential CNV genes in Other vs. NR/BMR/CR/BMCR comparisons. Top 10 differentially altered genes (ranked by p-value) are labeled with gene symbols in each group.</w:t>
      </w:r>
    </w:p>
    <w:p w14:paraId="0960F90A" w14:textId="527C1BBF" w:rsidR="002C4B6C" w:rsidRDefault="00FE6C0A">
      <w:pPr>
        <w:spacing w:line="480" w:lineRule="auto"/>
        <w:jc w:val="center"/>
        <w:rPr>
          <w:rFonts w:ascii="Times New Roman" w:eastAsia="楷体" w:hAnsi="Times New Roman" w:cs="Times New Roman"/>
          <w:szCs w:val="21"/>
        </w:rPr>
      </w:pPr>
      <w:r>
        <w:rPr>
          <w:rFonts w:ascii="Times New Roman" w:eastAsia="楷体" w:hAnsi="Times New Roman" w:cs="Times New Roman"/>
          <w:noProof/>
          <w:szCs w:val="21"/>
        </w:rPr>
        <w:drawing>
          <wp:inline distT="0" distB="0" distL="0" distR="0" wp14:anchorId="7E4148F9" wp14:editId="3B21DC19">
            <wp:extent cx="5274310" cy="5287645"/>
            <wp:effectExtent l="0" t="0" r="2540" b="8255"/>
            <wp:docPr id="17006197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19720" name="图片 17006197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5287645"/>
                    </a:xfrm>
                    <a:prstGeom prst="rect">
                      <a:avLst/>
                    </a:prstGeom>
                  </pic:spPr>
                </pic:pic>
              </a:graphicData>
            </a:graphic>
          </wp:inline>
        </w:drawing>
      </w:r>
    </w:p>
    <w:p w14:paraId="7B3C3DD6" w14:textId="77777777" w:rsidR="00A42938" w:rsidRDefault="00A42938" w:rsidP="00A42938">
      <w:pPr>
        <w:snapToGrid w:val="0"/>
        <w:spacing w:line="360" w:lineRule="auto"/>
        <w:rPr>
          <w:rFonts w:ascii="Times New Roman" w:eastAsia="楷体" w:hAnsi="Times New Roman" w:cs="Times New Roman"/>
          <w:b/>
          <w:szCs w:val="21"/>
        </w:rPr>
      </w:pPr>
      <w:r>
        <w:rPr>
          <w:rFonts w:ascii="Times New Roman" w:eastAsia="楷体" w:hAnsi="Times New Roman" w:cs="Times New Roman"/>
          <w:b/>
          <w:szCs w:val="21"/>
        </w:rPr>
        <w:t xml:space="preserve">Fig. S5. Differential Gene Expression Volcano Plots for ALL Relapse Outcome Groups </w:t>
      </w:r>
    </w:p>
    <w:p w14:paraId="511D2E0E" w14:textId="77777777" w:rsidR="00A42938" w:rsidRDefault="00A42938" w:rsidP="00A42938">
      <w:pPr>
        <w:snapToGrid w:val="0"/>
        <w:spacing w:line="360" w:lineRule="auto"/>
        <w:rPr>
          <w:rFonts w:ascii="Times New Roman" w:eastAsia="楷体" w:hAnsi="Times New Roman" w:cs="Times New Roman"/>
          <w:szCs w:val="21"/>
        </w:rPr>
      </w:pPr>
      <w:r>
        <w:rPr>
          <w:rFonts w:ascii="Times New Roman" w:eastAsia="楷体" w:hAnsi="Times New Roman" w:cs="Times New Roman"/>
          <w:szCs w:val="21"/>
        </w:rPr>
        <w:t>Volcano plots displaying differential gene expression profiles in comparison groups. Genes with p&lt;0.05 and top 10 absolute log</w:t>
      </w:r>
      <w:r>
        <w:rPr>
          <w:rFonts w:ascii="Times New Roman" w:eastAsia="楷体" w:hAnsi="Times New Roman" w:cs="Times New Roman"/>
          <w:szCs w:val="21"/>
          <w:vertAlign w:val="subscript"/>
        </w:rPr>
        <w:t>2</w:t>
      </w:r>
      <w:r>
        <w:rPr>
          <w:rFonts w:ascii="Times New Roman" w:eastAsia="楷体" w:hAnsi="Times New Roman" w:cs="Times New Roman"/>
          <w:szCs w:val="21"/>
        </w:rPr>
        <w:t>FC values are labeled with gene symbols.</w:t>
      </w:r>
    </w:p>
    <w:p w14:paraId="7351A8F4" w14:textId="77777777" w:rsidR="002C4B6C" w:rsidRPr="00A42938" w:rsidRDefault="002C4B6C">
      <w:pPr>
        <w:tabs>
          <w:tab w:val="left" w:pos="312"/>
        </w:tabs>
        <w:spacing w:line="480" w:lineRule="auto"/>
        <w:rPr>
          <w:rFonts w:ascii="Times New Roman" w:eastAsia="楷体" w:hAnsi="Times New Roman" w:cs="Times New Roman"/>
          <w:szCs w:val="21"/>
        </w:rPr>
      </w:pPr>
    </w:p>
    <w:p w14:paraId="1ECB9FF7" w14:textId="35F9FAB1" w:rsidR="002C4B6C" w:rsidRDefault="00FE6C0A">
      <w:pPr>
        <w:spacing w:line="480" w:lineRule="auto"/>
        <w:jc w:val="left"/>
        <w:rPr>
          <w:rFonts w:ascii="Times New Roman" w:eastAsia="楷体" w:hAnsi="Times New Roman" w:cs="Times New Roman"/>
          <w:szCs w:val="21"/>
        </w:rPr>
      </w:pPr>
      <w:r>
        <w:rPr>
          <w:rFonts w:ascii="Times New Roman" w:eastAsia="楷体" w:hAnsi="Times New Roman" w:cs="Times New Roman"/>
          <w:noProof/>
          <w:szCs w:val="21"/>
        </w:rPr>
        <w:lastRenderedPageBreak/>
        <w:drawing>
          <wp:inline distT="0" distB="0" distL="0" distR="0" wp14:anchorId="521330B7" wp14:editId="103422A5">
            <wp:extent cx="5274310" cy="4815840"/>
            <wp:effectExtent l="0" t="0" r="2540" b="3810"/>
            <wp:docPr id="15260203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20367" name="图片 152602036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815840"/>
                    </a:xfrm>
                    <a:prstGeom prst="rect">
                      <a:avLst/>
                    </a:prstGeom>
                  </pic:spPr>
                </pic:pic>
              </a:graphicData>
            </a:graphic>
          </wp:inline>
        </w:drawing>
      </w:r>
    </w:p>
    <w:p w14:paraId="2FD3D383" w14:textId="77777777" w:rsidR="00A42938" w:rsidRDefault="00A42938" w:rsidP="00A42938">
      <w:pPr>
        <w:snapToGrid w:val="0"/>
        <w:spacing w:line="360" w:lineRule="auto"/>
        <w:rPr>
          <w:rFonts w:ascii="Times New Roman" w:eastAsia="楷体" w:hAnsi="Times New Roman" w:cs="Times New Roman"/>
          <w:b/>
          <w:szCs w:val="21"/>
        </w:rPr>
      </w:pPr>
      <w:r>
        <w:rPr>
          <w:rFonts w:ascii="Times New Roman" w:eastAsia="楷体" w:hAnsi="Times New Roman" w:cs="Times New Roman"/>
          <w:b/>
          <w:szCs w:val="21"/>
        </w:rPr>
        <w:t xml:space="preserve">Fig. S6. Detailed Characterization of Upregulated Plasma Protein-Coding Genes in ALL Relapse Outcomes </w:t>
      </w:r>
    </w:p>
    <w:p w14:paraId="2F768EDD" w14:textId="6C66275F" w:rsidR="002C4B6C" w:rsidRDefault="00A42938" w:rsidP="00A42938">
      <w:pPr>
        <w:spacing w:line="480" w:lineRule="auto"/>
        <w:jc w:val="left"/>
        <w:rPr>
          <w:rFonts w:ascii="Times New Roman" w:eastAsia="楷体" w:hAnsi="Times New Roman" w:cs="Times New Roman"/>
          <w:szCs w:val="21"/>
        </w:rPr>
      </w:pPr>
      <w:r>
        <w:rPr>
          <w:rFonts w:ascii="Times New Roman" w:eastAsia="楷体" w:hAnsi="Times New Roman" w:cs="Times New Roman"/>
          <w:szCs w:val="21"/>
        </w:rPr>
        <w:t>(A) Network plot detailing group-specific upregulated plasma protein-coding genes. (B) Heatmap and bar plot showing expression profiles of top 10 differentially expressed plasma protein-coding genes (ranked by log</w:t>
      </w:r>
      <w:r>
        <w:rPr>
          <w:rFonts w:ascii="Times New Roman" w:eastAsia="楷体" w:hAnsi="Times New Roman" w:cs="Times New Roman"/>
          <w:szCs w:val="21"/>
          <w:vertAlign w:val="subscript"/>
        </w:rPr>
        <w:t>2</w:t>
      </w:r>
      <w:r>
        <w:rPr>
          <w:rFonts w:ascii="Times New Roman" w:eastAsia="楷体" w:hAnsi="Times New Roman" w:cs="Times New Roman"/>
          <w:szCs w:val="21"/>
        </w:rPr>
        <w:t>FC).</w:t>
      </w:r>
    </w:p>
    <w:p w14:paraId="72538B80" w14:textId="45D290D2" w:rsidR="002C4B6C" w:rsidRDefault="00FE6C0A">
      <w:pPr>
        <w:spacing w:line="480" w:lineRule="auto"/>
        <w:jc w:val="left"/>
        <w:rPr>
          <w:rFonts w:ascii="Times New Roman" w:eastAsia="楷体" w:hAnsi="Times New Roman" w:cs="Times New Roman"/>
          <w:i/>
          <w:iCs/>
          <w:szCs w:val="21"/>
        </w:rPr>
      </w:pPr>
      <w:r>
        <w:rPr>
          <w:rFonts w:ascii="Times New Roman" w:eastAsia="楷体" w:hAnsi="Times New Roman" w:cs="Times New Roman"/>
          <w:i/>
          <w:iCs/>
          <w:noProof/>
          <w:szCs w:val="21"/>
        </w:rPr>
        <w:drawing>
          <wp:inline distT="0" distB="0" distL="0" distR="0" wp14:anchorId="3A0A9EE8" wp14:editId="5DB1FC97">
            <wp:extent cx="5274310" cy="1809115"/>
            <wp:effectExtent l="0" t="0" r="2540" b="635"/>
            <wp:docPr id="14123994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99400" name="图片 141239940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1809115"/>
                    </a:xfrm>
                    <a:prstGeom prst="rect">
                      <a:avLst/>
                    </a:prstGeom>
                  </pic:spPr>
                </pic:pic>
              </a:graphicData>
            </a:graphic>
          </wp:inline>
        </w:drawing>
      </w:r>
    </w:p>
    <w:p w14:paraId="65370B23" w14:textId="77777777" w:rsidR="00A42938" w:rsidRDefault="00A42938" w:rsidP="00A42938">
      <w:pPr>
        <w:snapToGrid w:val="0"/>
        <w:spacing w:line="360" w:lineRule="auto"/>
        <w:rPr>
          <w:rFonts w:ascii="Times New Roman" w:eastAsia="楷体" w:hAnsi="Times New Roman" w:cs="Times New Roman"/>
          <w:b/>
          <w:szCs w:val="21"/>
        </w:rPr>
      </w:pPr>
      <w:r>
        <w:rPr>
          <w:rFonts w:ascii="Times New Roman" w:eastAsia="楷体" w:hAnsi="Times New Roman" w:cs="Times New Roman"/>
          <w:b/>
          <w:szCs w:val="21"/>
        </w:rPr>
        <w:t xml:space="preserve">Fig. S7. Discrimination and Calibration Performance of 50 Pre-Trainings in ALL Relapse </w:t>
      </w:r>
      <w:r>
        <w:rPr>
          <w:rFonts w:ascii="Times New Roman" w:eastAsia="楷体" w:hAnsi="Times New Roman" w:cs="Times New Roman"/>
          <w:b/>
          <w:szCs w:val="21"/>
        </w:rPr>
        <w:lastRenderedPageBreak/>
        <w:t xml:space="preserve">Outcomes </w:t>
      </w:r>
    </w:p>
    <w:p w14:paraId="0BB335D4" w14:textId="77777777" w:rsidR="00A42938" w:rsidRDefault="00A42938" w:rsidP="00A42938">
      <w:pPr>
        <w:snapToGrid w:val="0"/>
        <w:spacing w:line="360" w:lineRule="auto"/>
        <w:rPr>
          <w:rFonts w:ascii="Times New Roman" w:eastAsia="楷体" w:hAnsi="Times New Roman" w:cs="Times New Roman"/>
          <w:szCs w:val="21"/>
        </w:rPr>
      </w:pPr>
      <w:r>
        <w:rPr>
          <w:rFonts w:ascii="Times New Roman" w:eastAsia="楷体" w:hAnsi="Times New Roman" w:cs="Times New Roman"/>
          <w:szCs w:val="21"/>
        </w:rPr>
        <w:t xml:space="preserve">Group-specific candidate genes underwent 50 randomized pre-trainings with optimized </w:t>
      </w:r>
      <w:proofErr w:type="spellStart"/>
      <w:r>
        <w:rPr>
          <w:rFonts w:ascii="Times New Roman" w:eastAsia="楷体" w:hAnsi="Times New Roman" w:cs="Times New Roman"/>
          <w:szCs w:val="21"/>
        </w:rPr>
        <w:t>XGBoost</w:t>
      </w:r>
      <w:proofErr w:type="spellEnd"/>
      <w:r>
        <w:rPr>
          <w:rFonts w:ascii="Times New Roman" w:eastAsia="楷体" w:hAnsi="Times New Roman" w:cs="Times New Roman"/>
          <w:szCs w:val="21"/>
        </w:rPr>
        <w:t xml:space="preserve">. Bubble plots display AUC values and HL p-values for each iteration, with AUC&gt;0.95 (discriminatory power) and HL p&gt;0.05 (calibration) reserved from subsequent analysis. </w:t>
      </w:r>
    </w:p>
    <w:p w14:paraId="2905D927" w14:textId="77777777" w:rsidR="002C4B6C" w:rsidRPr="00A42938" w:rsidRDefault="002C4B6C">
      <w:pPr>
        <w:spacing w:line="480" w:lineRule="auto"/>
        <w:rPr>
          <w:rFonts w:ascii="Times New Roman" w:eastAsia="楷体" w:hAnsi="Times New Roman" w:cs="Times New Roman"/>
          <w:szCs w:val="21"/>
        </w:rPr>
      </w:pPr>
    </w:p>
    <w:p w14:paraId="60687ADE" w14:textId="22B59D6C" w:rsidR="002C4B6C" w:rsidRDefault="00FE6C0A">
      <w:pPr>
        <w:spacing w:line="480" w:lineRule="auto"/>
        <w:jc w:val="left"/>
        <w:rPr>
          <w:rFonts w:ascii="Times New Roman" w:eastAsiaTheme="majorEastAsia" w:hAnsi="Times New Roman" w:cs="Times New Roman"/>
          <w:szCs w:val="21"/>
        </w:rPr>
      </w:pPr>
      <w:r>
        <w:rPr>
          <w:rFonts w:ascii="Times New Roman" w:eastAsiaTheme="majorEastAsia" w:hAnsi="Times New Roman" w:cs="Times New Roman"/>
          <w:noProof/>
          <w:szCs w:val="21"/>
        </w:rPr>
        <w:drawing>
          <wp:inline distT="0" distB="0" distL="0" distR="0" wp14:anchorId="2C64F9E0" wp14:editId="2B75B51E">
            <wp:extent cx="5274310" cy="4951730"/>
            <wp:effectExtent l="0" t="0" r="2540" b="1270"/>
            <wp:docPr id="3635326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32637" name="图片 3635326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4951730"/>
                    </a:xfrm>
                    <a:prstGeom prst="rect">
                      <a:avLst/>
                    </a:prstGeom>
                  </pic:spPr>
                </pic:pic>
              </a:graphicData>
            </a:graphic>
          </wp:inline>
        </w:drawing>
      </w:r>
    </w:p>
    <w:p w14:paraId="13AF7E4F" w14:textId="77777777" w:rsidR="00FE6C0A" w:rsidRDefault="00FE6C0A" w:rsidP="00FE6C0A">
      <w:pPr>
        <w:snapToGrid w:val="0"/>
        <w:spacing w:line="360" w:lineRule="auto"/>
        <w:rPr>
          <w:rFonts w:ascii="Times New Roman" w:eastAsia="楷体" w:hAnsi="Times New Roman" w:cs="Times New Roman"/>
          <w:b/>
          <w:szCs w:val="21"/>
        </w:rPr>
      </w:pPr>
      <w:r>
        <w:rPr>
          <w:rFonts w:ascii="Times New Roman" w:eastAsia="楷体" w:hAnsi="Times New Roman" w:cs="Times New Roman"/>
          <w:b/>
          <w:szCs w:val="21"/>
        </w:rPr>
        <w:t xml:space="preserve">Fig. S8. Multi-Omics and Functional Characterization of Optimal Monitoring Panels </w:t>
      </w:r>
    </w:p>
    <w:p w14:paraId="4E8D5E69" w14:textId="77777777" w:rsidR="00FE6C0A" w:rsidRDefault="00FE6C0A" w:rsidP="00FE6C0A">
      <w:pPr>
        <w:snapToGrid w:val="0"/>
        <w:spacing w:line="360" w:lineRule="auto"/>
        <w:rPr>
          <w:rFonts w:ascii="Times New Roman" w:eastAsia="楷体" w:hAnsi="Times New Roman" w:cs="Times New Roman"/>
          <w:szCs w:val="21"/>
        </w:rPr>
      </w:pPr>
      <w:r>
        <w:rPr>
          <w:rFonts w:ascii="Times New Roman" w:eastAsia="楷体" w:hAnsi="Times New Roman" w:cs="Times New Roman"/>
          <w:szCs w:val="21"/>
        </w:rPr>
        <w:t xml:space="preserve">(A) Heatmap and bar plot showing intergroup expression differences of panel genes. (B) Mutation waterfall plot displaying genomic alterations in panel genes. (C) Bubble plot showing p-values for CNV differences in panel genes across groups. (D) Functional annotation of panel genes, including protein class, half-life, disease associations, GO enrichment, etc. </w:t>
      </w:r>
    </w:p>
    <w:p w14:paraId="2A0CADCB" w14:textId="77777777" w:rsidR="002C4B6C" w:rsidRPr="00FE6C0A" w:rsidRDefault="002C4B6C">
      <w:pPr>
        <w:spacing w:line="480" w:lineRule="auto"/>
        <w:jc w:val="left"/>
        <w:rPr>
          <w:rFonts w:ascii="Times New Roman" w:eastAsia="楷体" w:hAnsi="Times New Roman" w:cs="Times New Roman"/>
          <w:szCs w:val="21"/>
        </w:rPr>
      </w:pPr>
    </w:p>
    <w:p w14:paraId="43740B8E" w14:textId="33F5874C" w:rsidR="002C4B6C" w:rsidRDefault="00FE6C0A">
      <w:pPr>
        <w:spacing w:line="480" w:lineRule="auto"/>
        <w:jc w:val="left"/>
        <w:rPr>
          <w:rFonts w:ascii="Times New Roman" w:eastAsiaTheme="majorEastAsia" w:hAnsi="Times New Roman" w:cs="Times New Roman"/>
          <w:szCs w:val="21"/>
        </w:rPr>
      </w:pPr>
      <w:r>
        <w:rPr>
          <w:rFonts w:ascii="Times New Roman" w:eastAsiaTheme="majorEastAsia" w:hAnsi="Times New Roman" w:cs="Times New Roman"/>
          <w:noProof/>
          <w:szCs w:val="21"/>
        </w:rPr>
        <w:lastRenderedPageBreak/>
        <w:drawing>
          <wp:inline distT="0" distB="0" distL="0" distR="0" wp14:anchorId="6D544EE4" wp14:editId="022DA092">
            <wp:extent cx="5274310" cy="4946650"/>
            <wp:effectExtent l="0" t="0" r="2540" b="6350"/>
            <wp:docPr id="49615580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55802" name="图片 49615580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4946650"/>
                    </a:xfrm>
                    <a:prstGeom prst="rect">
                      <a:avLst/>
                    </a:prstGeom>
                  </pic:spPr>
                </pic:pic>
              </a:graphicData>
            </a:graphic>
          </wp:inline>
        </w:drawing>
      </w:r>
    </w:p>
    <w:p w14:paraId="3DCB0EA0" w14:textId="77777777" w:rsidR="00FE6C0A" w:rsidRDefault="00FE6C0A" w:rsidP="00FE6C0A">
      <w:pPr>
        <w:snapToGrid w:val="0"/>
        <w:spacing w:line="360" w:lineRule="auto"/>
        <w:rPr>
          <w:rFonts w:ascii="Times New Roman" w:eastAsia="楷体" w:hAnsi="Times New Roman" w:cs="Times New Roman"/>
          <w:b/>
          <w:szCs w:val="21"/>
        </w:rPr>
      </w:pPr>
      <w:r>
        <w:rPr>
          <w:rFonts w:ascii="Times New Roman" w:eastAsia="楷体" w:hAnsi="Times New Roman" w:cs="Times New Roman"/>
          <w:b/>
          <w:szCs w:val="21"/>
        </w:rPr>
        <w:t xml:space="preserve">Fig. S9. Overall Survival Analysis of Genes in Optimal Monitoring Panels </w:t>
      </w:r>
    </w:p>
    <w:p w14:paraId="31FCDE5A" w14:textId="77777777" w:rsidR="00FE6C0A" w:rsidRDefault="00FE6C0A" w:rsidP="00FE6C0A">
      <w:pPr>
        <w:tabs>
          <w:tab w:val="left" w:pos="4410"/>
        </w:tabs>
        <w:snapToGrid w:val="0"/>
        <w:spacing w:line="360" w:lineRule="auto"/>
        <w:rPr>
          <w:rFonts w:ascii="Times New Roman" w:eastAsia="楷体" w:hAnsi="Times New Roman" w:cs="Times New Roman"/>
          <w:szCs w:val="21"/>
        </w:rPr>
      </w:pPr>
      <w:r>
        <w:rPr>
          <w:rFonts w:ascii="Times New Roman" w:eastAsia="楷体" w:hAnsi="Times New Roman" w:cs="Times New Roman"/>
          <w:szCs w:val="21"/>
        </w:rPr>
        <w:t>Clinical samples were stratified into high/low expression groups based on median gene expression levels. Kaplan-Meier plots illustrate associations between the expression levels of panel genes and overall survival in each relapse group.</w:t>
      </w:r>
    </w:p>
    <w:p w14:paraId="57417107" w14:textId="77777777" w:rsidR="002C4B6C" w:rsidRPr="00FE6C0A" w:rsidRDefault="002C4B6C">
      <w:pPr>
        <w:tabs>
          <w:tab w:val="left" w:pos="312"/>
        </w:tabs>
        <w:spacing w:line="480" w:lineRule="auto"/>
        <w:rPr>
          <w:rFonts w:ascii="Times New Roman" w:eastAsia="楷体" w:hAnsi="Times New Roman" w:cs="Times New Roman"/>
          <w:szCs w:val="21"/>
        </w:rPr>
      </w:pPr>
    </w:p>
    <w:p w14:paraId="0499F170" w14:textId="7897F9AF" w:rsidR="002C4B6C" w:rsidRDefault="00FE6C0A">
      <w:pPr>
        <w:spacing w:line="480" w:lineRule="auto"/>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795299B8" wp14:editId="0791DF3B">
            <wp:extent cx="5274310" cy="3747135"/>
            <wp:effectExtent l="0" t="0" r="2540" b="5715"/>
            <wp:docPr id="1936678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7893" name="图片 19366789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747135"/>
                    </a:xfrm>
                    <a:prstGeom prst="rect">
                      <a:avLst/>
                    </a:prstGeom>
                  </pic:spPr>
                </pic:pic>
              </a:graphicData>
            </a:graphic>
          </wp:inline>
        </w:drawing>
      </w:r>
    </w:p>
    <w:p w14:paraId="57BEE939" w14:textId="77777777" w:rsidR="00FE6C0A" w:rsidRDefault="00FE6C0A" w:rsidP="00FE6C0A">
      <w:pPr>
        <w:snapToGrid w:val="0"/>
        <w:spacing w:line="360" w:lineRule="auto"/>
        <w:rPr>
          <w:rFonts w:ascii="Times New Roman" w:eastAsia="楷体" w:hAnsi="Times New Roman" w:cs="Times New Roman"/>
          <w:b/>
          <w:szCs w:val="21"/>
        </w:rPr>
      </w:pPr>
      <w:r>
        <w:rPr>
          <w:rFonts w:ascii="Times New Roman" w:eastAsia="楷体" w:hAnsi="Times New Roman" w:cs="Times New Roman"/>
          <w:b/>
          <w:szCs w:val="21"/>
        </w:rPr>
        <w:t>Fig. S10. Construction of Protein-Protein Interaction Networks and Subnetwork Extraction for DEGs in ALL Relapse Outcomes</w:t>
      </w:r>
    </w:p>
    <w:p w14:paraId="520605F3" w14:textId="77777777" w:rsidR="00FE6C0A" w:rsidRDefault="00FE6C0A" w:rsidP="00FE6C0A">
      <w:pPr>
        <w:snapToGrid w:val="0"/>
        <w:spacing w:line="360" w:lineRule="auto"/>
        <w:rPr>
          <w:rFonts w:ascii="Times New Roman" w:eastAsia="楷体" w:hAnsi="Times New Roman" w:cs="Times New Roman"/>
          <w:szCs w:val="21"/>
        </w:rPr>
      </w:pPr>
      <w:r>
        <w:rPr>
          <w:rFonts w:ascii="Times New Roman" w:eastAsia="楷体" w:hAnsi="Times New Roman" w:cs="Times New Roman"/>
          <w:szCs w:val="21"/>
        </w:rPr>
        <w:t>(A) Network plots of group-specific DEGs constructed using the STRING database. (B) Subnetwork visualization of DEGs with degree&gt;10 in each group.</w:t>
      </w:r>
    </w:p>
    <w:p w14:paraId="0F59673F" w14:textId="77777777" w:rsidR="002C4B6C" w:rsidRPr="00FE6C0A" w:rsidRDefault="002C4B6C">
      <w:pPr>
        <w:spacing w:line="480" w:lineRule="auto"/>
        <w:rPr>
          <w:rFonts w:ascii="Times New Roman" w:eastAsia="楷体" w:hAnsi="Times New Roman" w:cs="Times New Roman"/>
          <w:szCs w:val="21"/>
        </w:rPr>
      </w:pPr>
    </w:p>
    <w:p w14:paraId="73DA901C" w14:textId="77777777" w:rsidR="002C4B6C" w:rsidRDefault="002C4B6C">
      <w:pPr>
        <w:spacing w:line="480" w:lineRule="auto"/>
        <w:jc w:val="left"/>
        <w:rPr>
          <w:rFonts w:ascii="Times New Roman" w:eastAsiaTheme="majorEastAsia" w:hAnsi="Times New Roman" w:cs="Times New Roman"/>
          <w:szCs w:val="21"/>
        </w:rPr>
      </w:pPr>
    </w:p>
    <w:p w14:paraId="22D7732A" w14:textId="39F677D4" w:rsidR="002C4B6C" w:rsidRDefault="00FE6C0A">
      <w:pPr>
        <w:spacing w:line="480" w:lineRule="auto"/>
        <w:jc w:val="left"/>
        <w:rPr>
          <w:rFonts w:ascii="Times New Roman" w:eastAsia="楷体" w:hAnsi="Times New Roman" w:cs="Times New Roman"/>
          <w:szCs w:val="21"/>
        </w:rPr>
      </w:pPr>
      <w:r>
        <w:rPr>
          <w:rFonts w:ascii="Times New Roman" w:eastAsia="楷体" w:hAnsi="Times New Roman" w:cs="Times New Roman"/>
          <w:noProof/>
          <w:szCs w:val="21"/>
        </w:rPr>
        <w:lastRenderedPageBreak/>
        <w:drawing>
          <wp:inline distT="0" distB="0" distL="0" distR="0" wp14:anchorId="3F5FDE5A" wp14:editId="329E8CF2">
            <wp:extent cx="5274310" cy="6354445"/>
            <wp:effectExtent l="0" t="0" r="2540" b="8255"/>
            <wp:docPr id="11172618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6180" name="图片 11172618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6354445"/>
                    </a:xfrm>
                    <a:prstGeom prst="rect">
                      <a:avLst/>
                    </a:prstGeom>
                  </pic:spPr>
                </pic:pic>
              </a:graphicData>
            </a:graphic>
          </wp:inline>
        </w:drawing>
      </w:r>
    </w:p>
    <w:p w14:paraId="59D94BF7" w14:textId="77777777" w:rsidR="00FE6C0A" w:rsidRDefault="00FE6C0A" w:rsidP="00FE6C0A">
      <w:pPr>
        <w:snapToGrid w:val="0"/>
        <w:spacing w:line="360" w:lineRule="auto"/>
        <w:rPr>
          <w:rFonts w:ascii="Times New Roman" w:eastAsia="楷体" w:hAnsi="Times New Roman" w:cs="Times New Roman"/>
          <w:b/>
          <w:szCs w:val="21"/>
        </w:rPr>
      </w:pPr>
      <w:r>
        <w:rPr>
          <w:rFonts w:ascii="Times New Roman" w:eastAsia="楷体" w:hAnsi="Times New Roman" w:cs="Times New Roman"/>
          <w:b/>
          <w:szCs w:val="21"/>
        </w:rPr>
        <w:t>Fig. S11. Multi-Omics and Disease Association Analysis of Hub Genes in ALL Relapse Outcomes</w:t>
      </w:r>
    </w:p>
    <w:p w14:paraId="0014D273" w14:textId="77777777" w:rsidR="002C4B6C" w:rsidRDefault="00000000">
      <w:pPr>
        <w:spacing w:line="480" w:lineRule="auto"/>
        <w:rPr>
          <w:rFonts w:ascii="Times New Roman" w:eastAsia="楷体" w:hAnsi="Times New Roman" w:cs="Times New Roman"/>
          <w:szCs w:val="21"/>
        </w:rPr>
      </w:pPr>
      <w:r>
        <w:rPr>
          <w:rFonts w:ascii="Times New Roman" w:eastAsia="楷体" w:hAnsi="Times New Roman" w:cs="Times New Roman"/>
          <w:szCs w:val="21"/>
        </w:rPr>
        <w:t>(A) Bar plot showing log</w:t>
      </w:r>
      <w:r>
        <w:rPr>
          <w:rFonts w:ascii="Times New Roman" w:eastAsia="楷体" w:hAnsi="Times New Roman" w:cs="Times New Roman"/>
          <w:szCs w:val="21"/>
          <w:vertAlign w:val="subscript"/>
        </w:rPr>
        <w:t>2</w:t>
      </w:r>
      <w:r>
        <w:rPr>
          <w:rFonts w:ascii="Times New Roman" w:eastAsia="楷体" w:hAnsi="Times New Roman" w:cs="Times New Roman"/>
          <w:szCs w:val="21"/>
        </w:rPr>
        <w:t xml:space="preserve">FC values of hub genes in each group. (B) Functional annotation of hub genes, including protein classification, disease associations, etc. (C) Mutation waterfall plot displaying genomic alterations in hub genes. (D) Bubble plot showing p-values for CNV differences in hub genes across groups. </w:t>
      </w:r>
    </w:p>
    <w:p w14:paraId="39DA2E50" w14:textId="77777777" w:rsidR="002C4B6C" w:rsidRDefault="002C4B6C">
      <w:pPr>
        <w:spacing w:line="480" w:lineRule="auto"/>
        <w:jc w:val="left"/>
        <w:rPr>
          <w:rFonts w:ascii="Times New Roman" w:eastAsia="楷体" w:hAnsi="Times New Roman" w:cs="Times New Roman"/>
          <w:szCs w:val="21"/>
        </w:rPr>
      </w:pPr>
    </w:p>
    <w:p w14:paraId="022F972C" w14:textId="393428C2" w:rsidR="002C4B6C" w:rsidRDefault="00FE6C0A">
      <w:pPr>
        <w:tabs>
          <w:tab w:val="left" w:pos="312"/>
        </w:tabs>
        <w:spacing w:line="480" w:lineRule="auto"/>
        <w:jc w:val="center"/>
        <w:rPr>
          <w:rFonts w:ascii="Times New Roman" w:eastAsiaTheme="majorEastAsia" w:hAnsi="Times New Roman" w:cs="Times New Roman"/>
          <w:szCs w:val="21"/>
        </w:rPr>
      </w:pPr>
      <w:r>
        <w:rPr>
          <w:rFonts w:ascii="Times New Roman" w:eastAsiaTheme="majorEastAsia" w:hAnsi="Times New Roman" w:cs="Times New Roman"/>
          <w:noProof/>
          <w:szCs w:val="21"/>
        </w:rPr>
        <w:lastRenderedPageBreak/>
        <w:drawing>
          <wp:inline distT="0" distB="0" distL="0" distR="0" wp14:anchorId="210C6B07" wp14:editId="5AA62321">
            <wp:extent cx="5274310" cy="3839210"/>
            <wp:effectExtent l="0" t="0" r="2540" b="8890"/>
            <wp:docPr id="15854880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88037" name="图片 15854880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839210"/>
                    </a:xfrm>
                    <a:prstGeom prst="rect">
                      <a:avLst/>
                    </a:prstGeom>
                  </pic:spPr>
                </pic:pic>
              </a:graphicData>
            </a:graphic>
          </wp:inline>
        </w:drawing>
      </w:r>
    </w:p>
    <w:p w14:paraId="47246761" w14:textId="77777777" w:rsidR="00FE6C0A" w:rsidRDefault="00FE6C0A" w:rsidP="00FE6C0A">
      <w:pPr>
        <w:snapToGrid w:val="0"/>
        <w:spacing w:line="360" w:lineRule="auto"/>
        <w:rPr>
          <w:rFonts w:ascii="Times New Roman" w:eastAsia="楷体" w:hAnsi="Times New Roman" w:cs="Times New Roman"/>
          <w:b/>
          <w:szCs w:val="21"/>
        </w:rPr>
      </w:pPr>
      <w:r>
        <w:rPr>
          <w:rFonts w:ascii="Times New Roman" w:eastAsia="楷体" w:hAnsi="Times New Roman" w:cs="Times New Roman"/>
          <w:b/>
          <w:szCs w:val="21"/>
        </w:rPr>
        <w:t>Fig. S12. Subnetwork Visualization and Functional Enrichment Analysis of Hub Genes</w:t>
      </w:r>
    </w:p>
    <w:p w14:paraId="5A9ED2F2" w14:textId="77777777" w:rsidR="00FE6C0A" w:rsidRDefault="00FE6C0A" w:rsidP="00FE6C0A">
      <w:pPr>
        <w:snapToGrid w:val="0"/>
        <w:spacing w:line="360" w:lineRule="auto"/>
        <w:rPr>
          <w:rFonts w:ascii="Times New Roman" w:eastAsia="楷体" w:hAnsi="Times New Roman" w:cs="Times New Roman"/>
          <w:szCs w:val="21"/>
        </w:rPr>
      </w:pPr>
      <w:r>
        <w:rPr>
          <w:rFonts w:ascii="Times New Roman" w:eastAsia="楷体" w:hAnsi="Times New Roman" w:cs="Times New Roman"/>
          <w:szCs w:val="21"/>
        </w:rPr>
        <w:t>Subnetworks regulated by hub genes were extracted and subjected to DAVID GO enrichment analysis. Functional modules are color-coded to represent distinct biological processes.</w:t>
      </w:r>
    </w:p>
    <w:p w14:paraId="277ABF12" w14:textId="77777777" w:rsidR="002C4B6C" w:rsidRPr="00FE6C0A" w:rsidRDefault="002C4B6C"/>
    <w:sectPr w:rsidR="002C4B6C" w:rsidRPr="00FE6C0A">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C9F96" w14:textId="77777777" w:rsidR="00F85670" w:rsidRDefault="00F85670">
      <w:r>
        <w:separator/>
      </w:r>
    </w:p>
  </w:endnote>
  <w:endnote w:type="continuationSeparator" w:id="0">
    <w:p w14:paraId="657AD0CB" w14:textId="77777777" w:rsidR="00F85670" w:rsidRDefault="00F85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13478" w14:textId="77777777" w:rsidR="002C4B6C" w:rsidRDefault="00000000">
    <w:pPr>
      <w:pStyle w:val="a3"/>
    </w:pPr>
    <w:r>
      <w:rPr>
        <w:noProof/>
      </w:rPr>
      <mc:AlternateContent>
        <mc:Choice Requires="wps">
          <w:drawing>
            <wp:anchor distT="0" distB="0" distL="114300" distR="114300" simplePos="0" relativeHeight="251659264" behindDoc="0" locked="0" layoutInCell="1" allowOverlap="1" wp14:anchorId="3A6EB1F5" wp14:editId="43ADCCFC">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D9DB63C" w14:textId="77777777" w:rsidR="002C4B6C" w:rsidRDefault="00000000">
                          <w:pPr>
                            <w:pStyle w:val="a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A6EB1F5"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7D9DB63C" w14:textId="77777777" w:rsidR="002C4B6C" w:rsidRDefault="00000000">
                    <w:pPr>
                      <w:pStyle w:val="a3"/>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63C6A" w14:textId="77777777" w:rsidR="00F85670" w:rsidRDefault="00F85670">
      <w:r>
        <w:separator/>
      </w:r>
    </w:p>
  </w:footnote>
  <w:footnote w:type="continuationSeparator" w:id="0">
    <w:p w14:paraId="0406445E" w14:textId="77777777" w:rsidR="00F85670" w:rsidRDefault="00F856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5311F89"/>
    <w:rsid w:val="000F7072"/>
    <w:rsid w:val="002C4B6C"/>
    <w:rsid w:val="00850FFF"/>
    <w:rsid w:val="00A42938"/>
    <w:rsid w:val="00E35053"/>
    <w:rsid w:val="00F8555E"/>
    <w:rsid w:val="00F85670"/>
    <w:rsid w:val="00FE6C0A"/>
    <w:rsid w:val="1C693B39"/>
    <w:rsid w:val="25311F89"/>
    <w:rsid w:val="33CA6686"/>
    <w:rsid w:val="517D043B"/>
    <w:rsid w:val="60766AD8"/>
    <w:rsid w:val="701255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E20C6E"/>
  <w15:docId w15:val="{A53586CE-92CB-43F0-BB3C-26CA16B46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544</Words>
  <Characters>3491</Characters>
  <Application>Microsoft Office Word</Application>
  <DocSecurity>0</DocSecurity>
  <Lines>85</Lines>
  <Paragraphs>33</Paragraphs>
  <ScaleCrop>false</ScaleCrop>
  <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何欣</dc:creator>
  <cp:lastModifiedBy>国玮 何</cp:lastModifiedBy>
  <cp:revision>2</cp:revision>
  <dcterms:created xsi:type="dcterms:W3CDTF">2025-11-13T11:55:00Z</dcterms:created>
  <dcterms:modified xsi:type="dcterms:W3CDTF">2025-11-13T11:55:00Z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6B6F3072058840FE9C619E91B864BC1F_11</vt:lpwstr>
  </property>
  <property fmtid="{D5CDD505-2E9C-101B-9397-08002B2CF9AE}" pid="4" name="KSOTemplateDocerSaveRecord">
    <vt:lpwstr>eyJoZGlkIjoiZmI2MGU2Nzc3OWM5NWZhZGMyMDRkODk0ZmZhOGY4M2MiLCJ1c2VySWQiOiIyMzYwODkzOTQifQ==</vt:lpwstr>
  </property>
</Properties>
</file>