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BB4D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 xml:space="preserve">Supplementary </w:t>
      </w:r>
      <w:r>
        <w:rPr>
          <w:rStyle w:val="5"/>
          <w:rFonts w:hint="default" w:ascii="Times New Roman" w:hAnsi="Times New Roman" w:cs="Times New Roman"/>
          <w:sz w:val="21"/>
          <w:szCs w:val="21"/>
          <w:lang w:val="en-US" w:eastAsia="zh-CN"/>
        </w:rPr>
        <w:t>File 1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t>: Detailed Protocol for Data Collection of Rhinitis-Related Short Videos on Social Media Platforms</w:t>
      </w:r>
      <w:bookmarkStart w:id="0" w:name="_GoBack"/>
      <w:bookmarkEnd w:id="0"/>
    </w:p>
    <w:p w14:paraId="283B3E81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1. Platform-Specific Data Collection Procedures</w:t>
      </w:r>
    </w:p>
    <w:p w14:paraId="4759B4CA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1.1 Target Platforms</w:t>
      </w:r>
      <w:r>
        <w:rPr>
          <w:rFonts w:hint="default" w:ascii="Times New Roman" w:hAnsi="Times New Roman" w:cs="Times New Roman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 xml:space="preserve">This study focuses specifically on 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t>Douyin (TikTok)</w:t>
      </w:r>
      <w:r>
        <w:rPr>
          <w:rFonts w:hint="default" w:ascii="Times New Roman" w:hAnsi="Times New Roman" w:cs="Times New Roman"/>
          <w:sz w:val="21"/>
          <w:szCs w:val="21"/>
        </w:rPr>
        <w:t xml:space="preserve"> and 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t>Bili</w:t>
      </w:r>
      <w:r>
        <w:rPr>
          <w:rStyle w:val="5"/>
          <w:rFonts w:hint="default" w:ascii="Times New Roman" w:hAnsi="Times New Roman" w:cs="Times New Roman"/>
          <w:sz w:val="21"/>
          <w:szCs w:val="21"/>
          <w:lang w:val="en-US" w:eastAsia="zh-CN"/>
        </w:rPr>
        <w:t>B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t>ili</w:t>
      </w:r>
      <w:r>
        <w:rPr>
          <w:rFonts w:hint="default" w:ascii="Times New Roman" w:hAnsi="Times New Roman" w:cs="Times New Roman"/>
          <w:sz w:val="21"/>
          <w:szCs w:val="21"/>
        </w:rPr>
        <w:t>, representing the two dominant short- and mid-length video platforms, respectively, where Chinese-speaking individuals with rhinitis are most actively engaged.</w:t>
      </w:r>
    </w:p>
    <w:p w14:paraId="248051BC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1.2 Search Strategy</w:t>
      </w:r>
      <w:r>
        <w:rPr>
          <w:rFonts w:hint="default" w:ascii="Times New Roman" w:hAnsi="Times New Roman" w:cs="Times New Roman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 xml:space="preserve">The core search term used was 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t>“rhinitis”</w:t>
      </w:r>
      <w:r>
        <w:rPr>
          <w:rFonts w:hint="default" w:ascii="Times New Roman" w:hAnsi="Times New Roman" w:cs="Times New Roman"/>
          <w:sz w:val="21"/>
          <w:szCs w:val="21"/>
        </w:rPr>
        <w:t xml:space="preserve"> (Chinese: 鼻炎). For each platform, the default “comprehensive ranking” algorithm was applied, and the top 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t>100 relevant videos</w:t>
      </w:r>
      <w:r>
        <w:rPr>
          <w:rFonts w:hint="default" w:ascii="Times New Roman" w:hAnsi="Times New Roman" w:cs="Times New Roman"/>
          <w:sz w:val="21"/>
          <w:szCs w:val="21"/>
        </w:rPr>
        <w:t xml:space="preserve"> were collected to minimize selection bias introduced by manual filtering.</w:t>
      </w:r>
    </w:p>
    <w:p w14:paraId="5DD23933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1.3 Data Collection Tools</w:t>
      </w:r>
      <w:r>
        <w:rPr>
          <w:rFonts w:hint="default" w:ascii="Times New Roman" w:hAnsi="Times New Roman" w:cs="Times New Roman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 xml:space="preserve">Authorized data collection tools with access to official platform APIs—namely 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t>Douba (Douyin-focused)</w:t>
      </w:r>
      <w:r>
        <w:rPr>
          <w:rFonts w:hint="default" w:ascii="Times New Roman" w:hAnsi="Times New Roman" w:cs="Times New Roman"/>
          <w:sz w:val="21"/>
          <w:szCs w:val="21"/>
        </w:rPr>
        <w:t xml:space="preserve"> and 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t>Octoparse</w:t>
      </w:r>
      <w:r>
        <w:rPr>
          <w:rFonts w:hint="default" w:ascii="Times New Roman" w:hAnsi="Times New Roman" w:cs="Times New Roman"/>
          <w:sz w:val="21"/>
          <w:szCs w:val="21"/>
        </w:rPr>
        <w:t>—were employed. These tools simultaneously recorded video metadata, engagement metrics, and uploader information. To ensure sample randomness, personalized recommendation algorithms were disabled during data extraction.</w:t>
      </w:r>
    </w:p>
    <w:p w14:paraId="0AB5D364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1.4 Uploader Classification</w:t>
      </w:r>
      <w:r>
        <w:rPr>
          <w:rFonts w:hint="default" w:ascii="Times New Roman" w:hAnsi="Times New Roman" w:cs="Times New Roman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Uploader characteristics were assessed based on professional verification status:</w:t>
      </w:r>
    </w:p>
    <w:p w14:paraId="7BAA674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Verification Status</w:t>
      </w:r>
      <w:r>
        <w:rPr>
          <w:rFonts w:hint="default" w:ascii="Times New Roman" w:hAnsi="Times New Roman" w:cs="Times New Roman"/>
          <w:sz w:val="21"/>
          <w:szCs w:val="21"/>
        </w:rPr>
        <w:t>: Whether the uploader held official medical-related credentials verified by Douyin or Bilibili (e.g., licensed physician certification, institutional healthcare accreditation).</w:t>
      </w:r>
    </w:p>
    <w:p w14:paraId="4AEE9FB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Uploader Type</w:t>
      </w:r>
      <w:r>
        <w:rPr>
          <w:rFonts w:hint="default" w:ascii="Times New Roman" w:hAnsi="Times New Roman" w:cs="Times New Roman"/>
          <w:sz w:val="21"/>
          <w:szCs w:val="21"/>
        </w:rPr>
        <w:t xml:space="preserve">: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(1)</w:t>
      </w:r>
      <w:r>
        <w:rPr>
          <w:rStyle w:val="6"/>
          <w:rFonts w:hint="default" w:ascii="Times New Roman" w:hAnsi="Times New Roman" w:cs="Times New Roman"/>
          <w:sz w:val="21"/>
          <w:szCs w:val="21"/>
        </w:rPr>
        <w:t>Professional uploaders</w:t>
      </w:r>
      <w:r>
        <w:rPr>
          <w:rFonts w:hint="default" w:ascii="Times New Roman" w:hAnsi="Times New Roman" w:cs="Times New Roman"/>
          <w:sz w:val="21"/>
          <w:szCs w:val="21"/>
        </w:rPr>
        <w:t xml:space="preserve">: Individuals or entities with verified medical credentials (e.g., certified physicians, accredited healthcare institutions).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(2)</w:t>
      </w:r>
      <w:r>
        <w:rPr>
          <w:rStyle w:val="6"/>
          <w:rFonts w:hint="default" w:ascii="Times New Roman" w:hAnsi="Times New Roman" w:cs="Times New Roman"/>
          <w:sz w:val="21"/>
          <w:szCs w:val="21"/>
        </w:rPr>
        <w:t>Non-professional uploaders</w:t>
      </w:r>
      <w:r>
        <w:rPr>
          <w:rFonts w:hint="default" w:ascii="Times New Roman" w:hAnsi="Times New Roman" w:cs="Times New Roman"/>
          <w:sz w:val="21"/>
          <w:szCs w:val="21"/>
        </w:rPr>
        <w:t>: Those without medical verification, including health influencers, general users, independent content creators, and non-medical organizations.</w:t>
      </w:r>
    </w:p>
    <w:p w14:paraId="5706671E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2. Definition and Extraction Criteria for Engagement Metrics</w:t>
      </w:r>
    </w:p>
    <w:p w14:paraId="372371A7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2.1 Core Engagement Indicators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1F0BA89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Likes</w:t>
      </w:r>
      <w:r>
        <w:rPr>
          <w:rFonts w:hint="default" w:ascii="Times New Roman" w:hAnsi="Times New Roman" w:cs="Times New Roman"/>
          <w:sz w:val="21"/>
          <w:szCs w:val="21"/>
        </w:rPr>
        <w:t xml:space="preserve">: Cumulative number of user-initiated “like” actions. </w:t>
      </w:r>
    </w:p>
    <w:p w14:paraId="580823B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Comments</w:t>
      </w:r>
      <w:r>
        <w:rPr>
          <w:rFonts w:hint="default" w:ascii="Times New Roman" w:hAnsi="Times New Roman" w:cs="Times New Roman"/>
          <w:sz w:val="21"/>
          <w:szCs w:val="21"/>
        </w:rPr>
        <w:t xml:space="preserve">: Total count of valid user comments posted under the video (excluding platform-filtered or moderated comments). </w:t>
      </w:r>
    </w:p>
    <w:p w14:paraId="30E95AC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Saves/Favorites</w:t>
      </w:r>
      <w:r>
        <w:rPr>
          <w:rFonts w:hint="default" w:ascii="Times New Roman" w:hAnsi="Times New Roman" w:cs="Times New Roman"/>
          <w:sz w:val="21"/>
          <w:szCs w:val="21"/>
        </w:rPr>
        <w:t xml:space="preserve">: Number of times the video was added to users’ personal collections. </w:t>
      </w:r>
    </w:p>
    <w:p w14:paraId="37DA4D6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Shares</w:t>
      </w:r>
      <w:r>
        <w:rPr>
          <w:rFonts w:hint="default" w:ascii="Times New Roman" w:hAnsi="Times New Roman" w:cs="Times New Roman"/>
          <w:sz w:val="21"/>
          <w:szCs w:val="21"/>
        </w:rPr>
        <w:t xml:space="preserve">: Total instances of in-app sharing or cross-platform forwarding. </w:t>
      </w:r>
    </w:p>
    <w:p w14:paraId="2848705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Views/Plays</w:t>
      </w:r>
      <w:r>
        <w:rPr>
          <w:rFonts w:hint="default" w:ascii="Times New Roman" w:hAnsi="Times New Roman" w:cs="Times New Roman"/>
          <w:sz w:val="21"/>
          <w:szCs w:val="21"/>
        </w:rPr>
        <w:t>: Official platform-reported play count, including both partial and complete views.</w:t>
      </w:r>
    </w:p>
    <w:p w14:paraId="5433E8CD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2.2 Data Extraction Timepoint</w:t>
      </w:r>
      <w:r>
        <w:rPr>
          <w:rFonts w:hint="default" w:ascii="Times New Roman" w:hAnsi="Times New Roman" w:cs="Times New Roman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 xml:space="preserve">All engagement metrics were extracted at 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t>24:00 on the final day of the data collection period</w:t>
      </w:r>
      <w:r>
        <w:rPr>
          <w:rFonts w:hint="default" w:ascii="Times New Roman" w:hAnsi="Times New Roman" w:cs="Times New Roman"/>
          <w:sz w:val="21"/>
          <w:szCs w:val="21"/>
        </w:rPr>
        <w:t xml:space="preserve"> to ensure metric stability and mitigate the impact of short-term fluctuations.</w:t>
      </w:r>
    </w:p>
    <w:p w14:paraId="66ED9F33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3. Content Coding Framework</w:t>
      </w:r>
    </w:p>
    <w:p w14:paraId="6053EEDB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3.1 Thematic Category Coding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75ED991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Disease Awareness</w:t>
      </w:r>
      <w:r>
        <w:rPr>
          <w:rFonts w:hint="default" w:ascii="Times New Roman" w:hAnsi="Times New Roman" w:cs="Times New Roman"/>
          <w:sz w:val="21"/>
          <w:szCs w:val="21"/>
        </w:rPr>
        <w:t xml:space="preserve">: Etiology, symptom recognition, rhinitis subtypes (e.g., allergic vs. non-allergic), and pathophysiological mechanisms. </w:t>
      </w:r>
    </w:p>
    <w:p w14:paraId="6F289E5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Treatment Options</w:t>
      </w:r>
      <w:r>
        <w:rPr>
          <w:rFonts w:hint="default" w:ascii="Times New Roman" w:hAnsi="Times New Roman" w:cs="Times New Roman"/>
          <w:sz w:val="21"/>
          <w:szCs w:val="21"/>
        </w:rPr>
        <w:t xml:space="preserve">: Pharmacological therapies (e.g., oral medications, nasal sprays), surgical interventions, traditional Chinese medicine, and home remedies. </w:t>
      </w:r>
    </w:p>
    <w:p w14:paraId="0F5E3E3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Daily Care</w:t>
      </w:r>
      <w:r>
        <w:rPr>
          <w:rFonts w:hint="default" w:ascii="Times New Roman" w:hAnsi="Times New Roman" w:cs="Times New Roman"/>
          <w:sz w:val="21"/>
          <w:szCs w:val="21"/>
        </w:rPr>
        <w:t xml:space="preserve">: Nasal irrigation, environmental control, dietary adjustments, and exercise-related precautions. </w:t>
      </w:r>
    </w:p>
    <w:p w14:paraId="3EB60D9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Patient Experience</w:t>
      </w:r>
      <w:r>
        <w:rPr>
          <w:rFonts w:hint="default" w:ascii="Times New Roman" w:hAnsi="Times New Roman" w:cs="Times New Roman"/>
          <w:sz w:val="21"/>
          <w:szCs w:val="21"/>
        </w:rPr>
        <w:t xml:space="preserve">: Personal narratives regarding illness trajectory, treatment outcomes, and healthcare experiences. </w:t>
      </w:r>
    </w:p>
    <w:p w14:paraId="21F2B4D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Myth-Busting</w:t>
      </w:r>
      <w:r>
        <w:rPr>
          <w:rFonts w:hint="default" w:ascii="Times New Roman" w:hAnsi="Times New Roman" w:cs="Times New Roman"/>
          <w:sz w:val="21"/>
          <w:szCs w:val="21"/>
        </w:rPr>
        <w:t>: Correction of common misconceptions (e.g., “rhinitis can be cured permanently,” “antibiotics treat rhinitis”).</w:t>
      </w:r>
    </w:p>
    <w:p w14:paraId="6CD38A53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3.2 Presentation Style Coding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3977F82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Monologue Explanation</w:t>
      </w:r>
      <w:r>
        <w:rPr>
          <w:rFonts w:hint="default" w:ascii="Times New Roman" w:hAnsi="Times New Roman" w:cs="Times New Roman"/>
          <w:sz w:val="21"/>
          <w:szCs w:val="21"/>
        </w:rPr>
        <w:t xml:space="preserve">: A single presenter delivers information directly to the camera without additional scenes or interaction. </w:t>
      </w:r>
    </w:p>
    <w:p w14:paraId="6971A9F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Case-Based Sharing</w:t>
      </w:r>
      <w:r>
        <w:rPr>
          <w:rFonts w:hint="default" w:ascii="Times New Roman" w:hAnsi="Times New Roman" w:cs="Times New Roman"/>
          <w:sz w:val="21"/>
          <w:szCs w:val="21"/>
        </w:rPr>
        <w:t xml:space="preserve">: Content centered around specific patient cases, integrating clinical insights or experiential analysis. </w:t>
      </w:r>
    </w:p>
    <w:p w14:paraId="0D562F2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Animated Infographics</w:t>
      </w:r>
      <w:r>
        <w:rPr>
          <w:rFonts w:hint="default" w:ascii="Times New Roman" w:hAnsi="Times New Roman" w:cs="Times New Roman"/>
          <w:sz w:val="21"/>
          <w:szCs w:val="21"/>
        </w:rPr>
        <w:t xml:space="preserve">: Educational animations (2D/3D or motion graphics) illustrating rhinitis-related concepts. </w:t>
      </w:r>
    </w:p>
    <w:p w14:paraId="2052248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Q&amp;A Format</w:t>
      </w:r>
      <w:r>
        <w:rPr>
          <w:rFonts w:hint="default" w:ascii="Times New Roman" w:hAnsi="Times New Roman" w:cs="Times New Roman"/>
          <w:sz w:val="21"/>
          <w:szCs w:val="21"/>
        </w:rPr>
        <w:t xml:space="preserve">: Interactive dialogues, such as physician–patient interviews or expert panel discussions. </w:t>
      </w:r>
    </w:p>
    <w:p w14:paraId="519341D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TV Program Clips</w:t>
      </w:r>
      <w:r>
        <w:rPr>
          <w:rFonts w:hint="default" w:ascii="Times New Roman" w:hAnsi="Times New Roman" w:cs="Times New Roman"/>
          <w:sz w:val="21"/>
          <w:szCs w:val="21"/>
        </w:rPr>
        <w:t>: Original or repurposed segments from televised health education shows or news reports.</w:t>
      </w:r>
    </w:p>
    <w:p w14:paraId="6768151D">
      <w:pPr>
        <w:pStyle w:val="2"/>
        <w:keepNext w:val="0"/>
        <w:keepLines w:val="0"/>
        <w:widowControl/>
        <w:suppressLineNumbers w:val="0"/>
        <w:spacing w:line="48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3.3 Decision-Making Context Coding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118C18C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Symptom Self-Assessment</w:t>
      </w:r>
      <w:r>
        <w:rPr>
          <w:rFonts w:hint="default" w:ascii="Times New Roman" w:hAnsi="Times New Roman" w:cs="Times New Roman"/>
          <w:sz w:val="21"/>
          <w:szCs w:val="21"/>
        </w:rPr>
        <w:t xml:space="preserve">: Guides viewers in identifying whether they may have rhinitis and determining its subtype. </w:t>
      </w:r>
    </w:p>
    <w:p w14:paraId="5858391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Treatment Selection</w:t>
      </w:r>
      <w:r>
        <w:rPr>
          <w:rFonts w:hint="default" w:ascii="Times New Roman" w:hAnsi="Times New Roman" w:cs="Times New Roman"/>
          <w:sz w:val="21"/>
          <w:szCs w:val="21"/>
        </w:rPr>
        <w:t xml:space="preserve">: Provides reference information to support choices among therapeutic options. </w:t>
      </w:r>
    </w:p>
    <w:p w14:paraId="1C9991C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Myth-Busting</w:t>
      </w:r>
      <w:r>
        <w:rPr>
          <w:rFonts w:hint="default" w:ascii="Times New Roman" w:hAnsi="Times New Roman" w:cs="Times New Roman"/>
          <w:sz w:val="21"/>
          <w:szCs w:val="21"/>
        </w:rPr>
        <w:t xml:space="preserve">: Clarifies prevalent misunderstandings to promote evidence-based understanding. </w:t>
      </w:r>
    </w:p>
    <w:p w14:paraId="3F96F2C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480" w:lineRule="auto"/>
        <w:ind w:left="720" w:hanging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Daily Care Guidance</w:t>
      </w:r>
      <w:r>
        <w:rPr>
          <w:rFonts w:hint="default" w:ascii="Times New Roman" w:hAnsi="Times New Roman" w:cs="Times New Roman"/>
          <w:sz w:val="21"/>
          <w:szCs w:val="21"/>
        </w:rPr>
        <w:t xml:space="preserve">: Demonstrates practical self-management techniques (e.g., saline nasal rinsing). </w:t>
      </w:r>
    </w:p>
    <w:p w14:paraId="162B7E0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480" w:lineRule="auto"/>
        <w:ind w:left="72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sz w:val="21"/>
          <w:szCs w:val="21"/>
        </w:rPr>
        <w:t>Special Populations</w:t>
      </w:r>
      <w:r>
        <w:rPr>
          <w:rFonts w:hint="default" w:ascii="Times New Roman" w:hAnsi="Times New Roman" w:cs="Times New Roman"/>
          <w:sz w:val="21"/>
          <w:szCs w:val="21"/>
        </w:rPr>
        <w:t>: Tailored advice for vulnerable groups such as children, elderly individuals, or pregnant women.</w:t>
      </w:r>
    </w:p>
    <w:p w14:paraId="3C748C1C">
      <w:pPr>
        <w:keepNext w:val="0"/>
        <w:keepLines w:val="0"/>
        <w:widowControl/>
        <w:suppressLineNumbers w:val="0"/>
        <w:jc w:val="left"/>
      </w:pPr>
    </w:p>
    <w:p w14:paraId="720135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D4CFA"/>
    <w:multiLevelType w:val="multilevel"/>
    <w:tmpl w:val="AABD4C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30E342A"/>
    <w:multiLevelType w:val="multilevel"/>
    <w:tmpl w:val="E30E34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F87910F"/>
    <w:multiLevelType w:val="multilevel"/>
    <w:tmpl w:val="5F8791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1FD7C65"/>
    <w:multiLevelType w:val="multilevel"/>
    <w:tmpl w:val="61FD7C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04F2"/>
    <w:rsid w:val="35C304F2"/>
    <w:rsid w:val="7195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陈贤珍 </dc:creator>
  <cp:lastModifiedBy>陈贤珍 </cp:lastModifiedBy>
  <dcterms:modified xsi:type="dcterms:W3CDTF">2026-02-09T14:23:06Z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BB42627389E544AFBB999197AEFA6B12_11</vt:lpwstr>
  </property>
  <property fmtid="{D5CDD505-2E9C-101B-9397-08002B2CF9AE}" pid="4" name="KSOTemplateDocerSaveRecord">
    <vt:lpwstr>eyJoZGlkIjoiMzEwNTM5NzYwMDRjMzkwZTVkZjY2ODkwMGIxNGU0OTUiLCJ1c2VySWQiOiIyMDIzNzg2ODYifQ==</vt:lpwstr>
  </property>
</Properties>
</file>