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05DF1">
      <w:pPr>
        <w:spacing w:line="480" w:lineRule="auto"/>
        <w:ind w:firstLine="2803" w:firstLineChars="1000"/>
        <w:rPr>
          <w:rFonts w:hint="eastAsia" w:ascii="Times New Roman" w:hAnsi="Times New Roman" w:cs="Times New Roman"/>
          <w:b/>
          <w:bCs/>
          <w:sz w:val="28"/>
          <w:szCs w:val="28"/>
          <w:lang w:val="en-US" w:eastAsia="zh-CN"/>
        </w:rPr>
      </w:pPr>
      <w:bookmarkStart w:id="0" w:name="_GoBack"/>
      <w:bookmarkEnd w:id="0"/>
      <w:r>
        <w:rPr>
          <w:rFonts w:hint="eastAsia" w:ascii="Times New Roman" w:hAnsi="Times New Roman" w:cs="Times New Roman"/>
          <w:b/>
          <w:bCs/>
          <w:sz w:val="28"/>
          <w:szCs w:val="28"/>
          <w:lang w:val="en-US" w:eastAsia="zh-CN"/>
        </w:rPr>
        <w:t>Supplementary File 2</w:t>
      </w:r>
      <w:r>
        <w:rPr>
          <w:rFonts w:hint="eastAsia"/>
          <w:sz w:val="28"/>
          <w:szCs w:val="28"/>
          <w:lang w:val="en-US" w:eastAsia="zh-CN"/>
        </w:rPr>
        <w:t xml:space="preserve">             </w:t>
      </w:r>
      <w:r>
        <w:rPr>
          <w:rFonts w:hint="eastAsia" w:ascii="Times New Roman" w:hAnsi="Times New Roman" w:cs="Times New Roman"/>
          <w:b/>
          <w:bCs/>
          <w:sz w:val="28"/>
          <w:szCs w:val="28"/>
          <w:lang w:val="en-US" w:eastAsia="zh-CN"/>
        </w:rPr>
        <w:t xml:space="preserve"> </w:t>
      </w:r>
    </w:p>
    <w:p w14:paraId="17DBCDDD">
      <w:pPr>
        <w:numPr>
          <w:ilvl w:val="-1"/>
          <w:numId w:val="0"/>
        </w:numPr>
        <w:spacing w:line="480" w:lineRule="auto"/>
        <w:jc w:val="cente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Details in Assessment Tools</w:t>
      </w:r>
    </w:p>
    <w:p w14:paraId="55EF2ED9">
      <w:pPr>
        <w:numPr>
          <w:ilvl w:val="-1"/>
          <w:numId w:val="0"/>
        </w:numPr>
        <w:spacing w:line="480" w:lineRule="auto"/>
        <w:jc w:val="center"/>
        <w:rPr>
          <w:rFonts w:hint="eastAsia" w:ascii="Times New Roman" w:hAnsi="Times New Roman" w:cs="Times New Roman"/>
          <w:b/>
          <w:bCs/>
          <w:sz w:val="28"/>
          <w:szCs w:val="28"/>
          <w:lang w:val="en-US" w:eastAsia="zh-CN"/>
        </w:rPr>
      </w:pPr>
    </w:p>
    <w:p w14:paraId="385EA948">
      <w:pPr>
        <w:numPr>
          <w:ilvl w:val="0"/>
          <w:numId w:val="1"/>
        </w:numPr>
        <w:spacing w:line="480" w:lineRule="auto"/>
        <w:ind w:left="0" w:leftChars="0" w:firstLine="0" w:firstLineChars="0"/>
        <w:rPr>
          <w:rFonts w:hint="default" w:ascii="Times New Roman" w:hAnsi="Times New Roman" w:cs="Times New Roman" w:eastAsiaTheme="minorEastAsia"/>
          <w:sz w:val="24"/>
          <w:szCs w:val="24"/>
          <w:lang w:eastAsia="zh-CN"/>
        </w:rPr>
      </w:pPr>
      <w:r>
        <w:rPr>
          <w:rFonts w:hint="eastAsia" w:ascii="Times New Roman" w:hAnsi="Times New Roman" w:cs="Times New Roman"/>
          <w:b/>
          <w:bCs/>
          <w:sz w:val="24"/>
          <w:szCs w:val="24"/>
          <w:lang w:val="en-US" w:eastAsia="zh-CN"/>
        </w:rPr>
        <w:t>PEMAT</w:t>
      </w:r>
      <w:r>
        <w:rPr>
          <w:rFonts w:hint="default" w:ascii="Times New Roman" w:hAnsi="Times New Roman" w:cs="Times New Roman" w:eastAsiaTheme="minorEastAsia"/>
          <w:sz w:val="24"/>
          <w:szCs w:val="24"/>
          <w:lang w:eastAsia="zh-CN"/>
        </w:rPr>
        <w:t xml:space="preserve"> </w:t>
      </w:r>
      <w:r>
        <w:rPr>
          <w:rFonts w:hint="eastAsia" w:ascii="Times New Roman" w:hAnsi="Times New Roman" w:cs="Times New Roman"/>
          <w:sz w:val="24"/>
          <w:szCs w:val="24"/>
          <w:lang w:val="en-US" w:eastAsia="zh-CN"/>
        </w:rPr>
        <w:t>(Patient education materials assessment tool)</w:t>
      </w:r>
    </w:p>
    <w:p w14:paraId="31E809AC">
      <w:pPr>
        <w:numPr>
          <w:ilvl w:val="0"/>
          <w:numId w:val="0"/>
        </w:numPr>
        <w:spacing w:line="480" w:lineRule="auto"/>
        <w:ind w:firstLine="480" w:firstLineChars="200"/>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PEMAT is the most comprehensive tool among the tools in our study, as it consists of 25 questions, with 21 representing the understandability of health information and 4 evaluating the actionability of recommendations by videos. See Supplementary File 3 for detailed scoring criteria.</w:t>
      </w:r>
    </w:p>
    <w:p w14:paraId="41135A70">
      <w:pPr>
        <w:numPr>
          <w:ilvl w:val="0"/>
          <w:numId w:val="0"/>
        </w:numPr>
        <w:spacing w:line="480" w:lineRule="auto"/>
        <w:ind w:leftChars="0" w:firstLine="480" w:firstLineChars="200"/>
        <w:rPr>
          <w:rFonts w:hint="eastAsia" w:ascii="Times New Roman" w:hAnsi="Times New Roman" w:cs="Times New Roman"/>
          <w:sz w:val="24"/>
          <w:szCs w:val="32"/>
        </w:rPr>
      </w:pPr>
      <w:r>
        <w:rPr>
          <w:rFonts w:hint="eastAsia" w:ascii="Times New Roman" w:hAnsi="Times New Roman" w:cs="Times New Roman"/>
          <w:sz w:val="24"/>
          <w:szCs w:val="24"/>
          <w:lang w:val="en-US" w:eastAsia="zh-CN"/>
        </w:rPr>
        <w:t xml:space="preserve">PEMAT can not shown in a Word file, see more details in Supplementary File 3 (Excel) or visit </w:t>
      </w:r>
      <w:r>
        <w:rPr>
          <w:rFonts w:hint="eastAsia" w:ascii="Times New Roman" w:hAnsi="Times New Roman" w:cs="Times New Roman"/>
          <w:sz w:val="24"/>
          <w:szCs w:val="32"/>
        </w:rPr>
        <w:fldChar w:fldCharType="begin"/>
      </w:r>
      <w:r>
        <w:rPr>
          <w:rFonts w:hint="eastAsia" w:ascii="Times New Roman" w:hAnsi="Times New Roman" w:cs="Times New Roman"/>
          <w:sz w:val="24"/>
          <w:szCs w:val="32"/>
        </w:rPr>
        <w:instrText xml:space="preserve"> HYPERLINK "http://www.ahrq.gov/pemat" </w:instrText>
      </w:r>
      <w:r>
        <w:rPr>
          <w:rFonts w:hint="eastAsia" w:ascii="Times New Roman" w:hAnsi="Times New Roman" w:cs="Times New Roman"/>
          <w:sz w:val="24"/>
          <w:szCs w:val="32"/>
        </w:rPr>
        <w:fldChar w:fldCharType="separate"/>
      </w:r>
      <w:r>
        <w:rPr>
          <w:rStyle w:val="4"/>
          <w:rFonts w:hint="eastAsia" w:ascii="Times New Roman" w:hAnsi="Times New Roman" w:cs="Times New Roman"/>
          <w:sz w:val="24"/>
          <w:szCs w:val="32"/>
        </w:rPr>
        <w:t>http://www.ahrq.gov/pemat</w:t>
      </w:r>
      <w:r>
        <w:rPr>
          <w:rFonts w:hint="eastAsia" w:ascii="Times New Roman" w:hAnsi="Times New Roman" w:cs="Times New Roman"/>
          <w:sz w:val="24"/>
          <w:szCs w:val="32"/>
        </w:rPr>
        <w:fldChar w:fldCharType="end"/>
      </w:r>
    </w:p>
    <w:p w14:paraId="2C3A3406">
      <w:pPr>
        <w:numPr>
          <w:ilvl w:val="0"/>
          <w:numId w:val="1"/>
        </w:numPr>
        <w:spacing w:line="480" w:lineRule="auto"/>
        <w:ind w:left="0" w:leftChars="0" w:firstLine="0" w:firstLine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b/>
          <w:bCs/>
          <w:sz w:val="24"/>
          <w:szCs w:val="24"/>
          <w:lang w:val="en-US" w:eastAsia="zh-CN"/>
        </w:rPr>
        <w:t xml:space="preserve">VIQI </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eastAsiaTheme="minorEastAsia"/>
          <w:b w:val="0"/>
          <w:bCs w:val="0"/>
          <w:sz w:val="24"/>
          <w:szCs w:val="24"/>
          <w:lang w:eastAsia="zh-CN"/>
        </w:rPr>
        <w:t>Video Information and Quality Index</w:t>
      </w:r>
      <w:r>
        <w:rPr>
          <w:rFonts w:hint="default" w:ascii="Times New Roman" w:hAnsi="Times New Roman" w:cs="Times New Roman"/>
          <w:b w:val="0"/>
          <w:bCs w:val="0"/>
          <w:sz w:val="24"/>
          <w:szCs w:val="24"/>
          <w:lang w:val="en-US" w:eastAsia="zh-CN"/>
        </w:rPr>
        <w:t>)</w:t>
      </w:r>
      <w:r>
        <w:rPr>
          <w:rFonts w:hint="default" w:ascii="Times New Roman" w:hAnsi="Times New Roman" w:cs="Times New Roman" w:eastAsiaTheme="minorEastAsia"/>
          <w:b w:val="0"/>
          <w:bCs w:val="0"/>
          <w:sz w:val="24"/>
          <w:szCs w:val="24"/>
          <w:lang w:eastAsia="zh-CN"/>
        </w:rPr>
        <w:t xml:space="preserve"> </w:t>
      </w:r>
    </w:p>
    <w:p w14:paraId="7EDADD97">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The score of each question ranges from 1 to 5. The total score is 5 to 20.</w:t>
      </w:r>
    </w:p>
    <w:p w14:paraId="3CDA248E">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【VIQI 1】 information flow</w:t>
      </w:r>
    </w:p>
    <w:p w14:paraId="32D807AF">
      <w:pPr>
        <w:numPr>
          <w:ilvl w:val="0"/>
          <w:numId w:val="0"/>
        </w:numPr>
        <w:spacing w:line="480" w:lineRule="auto"/>
        <w:ind w:leftChars="0" w:firstLine="120" w:firstLineChars="5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The VIQI 1 in our study is according to thumbs-up because the data of thumbs-up are available from all three platforms.</w:t>
      </w:r>
    </w:p>
    <w:p w14:paraId="73F9CB8B">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1  ＜10 thumbs-up</w:t>
      </w:r>
    </w:p>
    <w:p w14:paraId="72A1FBF5">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2  ＜100 thumbs-up</w:t>
      </w:r>
    </w:p>
    <w:p w14:paraId="34AB8D5C">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3  ＜1000 thumbs-up</w:t>
      </w:r>
    </w:p>
    <w:p w14:paraId="1889C2B3">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4  ＜10000 thumbs-up</w:t>
      </w:r>
    </w:p>
    <w:p w14:paraId="4772C49F">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5  ≥10000 thumbs-up</w:t>
      </w:r>
    </w:p>
    <w:p w14:paraId="5FFF880B">
      <w:pPr>
        <w:numPr>
          <w:ilvl w:val="0"/>
          <w:numId w:val="0"/>
        </w:numPr>
        <w:spacing w:line="480" w:lineRule="auto"/>
        <w:ind w:leftChars="0" w:firstLine="120" w:firstLineChars="5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 xml:space="preserve"> If a video turns off the bottom of thumbs-up (very few would do this), we rate its flow by views.</w:t>
      </w:r>
    </w:p>
    <w:p w14:paraId="36083B35">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1  ＜100 views</w:t>
      </w:r>
    </w:p>
    <w:p w14:paraId="7CAE5C6D">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2  ＜1000 views</w:t>
      </w:r>
    </w:p>
    <w:p w14:paraId="61CD16A8">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3  ＜10000 views</w:t>
      </w:r>
    </w:p>
    <w:p w14:paraId="370332D1">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4  ＜100000 views</w:t>
      </w:r>
    </w:p>
    <w:p w14:paraId="7B0DBA1E">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5  ≥100000 views</w:t>
      </w:r>
    </w:p>
    <w:p w14:paraId="7719D8EA">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 xml:space="preserve">【VIQI 2】 information accuracy </w:t>
      </w:r>
    </w:p>
    <w:p w14:paraId="0C6648DA">
      <w:pPr>
        <w:numPr>
          <w:ilvl w:val="0"/>
          <w:numId w:val="0"/>
        </w:numPr>
        <w:spacing w:line="480" w:lineRule="auto"/>
        <w:ind w:leftChars="0"/>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【VIQI 3】quality (videos including one point for each image, animation, interview, video captions, and summary)</w:t>
      </w:r>
    </w:p>
    <w:p w14:paraId="792D64C8">
      <w:pPr>
        <w:numPr>
          <w:ilvl w:val="0"/>
          <w:numId w:val="0"/>
        </w:numPr>
        <w:spacing w:line="480" w:lineRule="auto"/>
        <w:ind w:leftChars="0"/>
        <w:rPr>
          <w:rFonts w:hint="default" w:ascii="Times New Roman" w:hAnsi="Times New Roman" w:cs="Times New Roman"/>
          <w:sz w:val="24"/>
          <w:szCs w:val="32"/>
          <w:lang w:val="en-US" w:eastAsia="zh-CN"/>
        </w:rPr>
      </w:pPr>
      <w:r>
        <w:rPr>
          <w:rFonts w:hint="default" w:ascii="Times New Roman" w:hAnsi="Times New Roman" w:cs="Times New Roman" w:eastAsiaTheme="minorEastAsia"/>
          <w:b w:val="0"/>
          <w:bCs w:val="0"/>
          <w:sz w:val="24"/>
          <w:szCs w:val="24"/>
          <w:lang w:eastAsia="zh-CN"/>
        </w:rPr>
        <w:t xml:space="preserve">【VIQI 4】 precision (level of coherence between video title and content) </w:t>
      </w:r>
      <w:r>
        <w:rPr>
          <w:rFonts w:hint="eastAsia" w:ascii="Times New Roman" w:hAnsi="Times New Roman" w:cs="Times New Roman"/>
          <w:sz w:val="24"/>
          <w:szCs w:val="32"/>
          <w:lang w:val="en-US" w:eastAsia="zh-CN"/>
        </w:rPr>
        <w:t xml:space="preserve">  </w:t>
      </w:r>
    </w:p>
    <w:p w14:paraId="16E8C35A">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480" w:lineRule="auto"/>
        <w:ind w:left="0" w:leftChars="0" w:firstLine="0" w:firstLineChars="0"/>
        <w:textAlignment w:val="auto"/>
        <w:rPr>
          <w:rFonts w:hint="eastAsia" w:ascii="Times New Roman" w:hAnsi="Times New Roman" w:cs="Times New Roman"/>
          <w:b w:val="0"/>
          <w:bCs w:val="0"/>
          <w:sz w:val="32"/>
          <w:szCs w:val="32"/>
          <w:lang w:val="en-US" w:eastAsia="zh-CN"/>
        </w:rPr>
      </w:pPr>
      <w:r>
        <w:rPr>
          <w:rFonts w:hint="eastAsia" w:ascii="Times New Roman" w:hAnsi="Times New Roman" w:cs="Times New Roman"/>
          <w:b/>
          <w:bCs/>
          <w:sz w:val="24"/>
          <w:szCs w:val="24"/>
          <w:lang w:val="en-US" w:eastAsia="zh-CN"/>
        </w:rPr>
        <w:t>mDISCERN</w:t>
      </w:r>
      <w:r>
        <w:rPr>
          <w:rFonts w:hint="eastAsia" w:ascii="Times New Roman" w:hAnsi="Times New Roman" w:cs="Times New Roman"/>
          <w:b w:val="0"/>
          <w:bCs w:val="0"/>
          <w:sz w:val="24"/>
          <w:szCs w:val="24"/>
          <w:lang w:val="en-US" w:eastAsia="zh-CN"/>
        </w:rPr>
        <w:t xml:space="preserve"> (Modified DISCERN)</w:t>
      </w:r>
    </w:p>
    <w:p w14:paraId="11BAAF3A">
      <w:pPr>
        <w:spacing w:line="480" w:lineRule="auto"/>
        <w:ind w:firstLine="480" w:firstLineChars="200"/>
        <w:rPr>
          <w:rFonts w:hint="eastAsia" w:ascii="Times New Roman" w:hAnsi="Times New Roman" w:cs="Times New Roman"/>
          <w:b w:val="0"/>
          <w:bCs w:val="0"/>
          <w:sz w:val="32"/>
          <w:szCs w:val="32"/>
          <w:lang w:val="en-US" w:eastAsia="zh-CN"/>
        </w:rPr>
      </w:pPr>
      <w:r>
        <w:rPr>
          <w:rFonts w:hint="eastAsia" w:ascii="Times New Roman" w:hAnsi="Times New Roman" w:cs="Times New Roman"/>
          <w:sz w:val="24"/>
          <w:szCs w:val="32"/>
          <w:lang w:val="en-US" w:eastAsia="zh-CN"/>
        </w:rPr>
        <w:t>The mDISCERN was adapted from the DISCERN tool and is more suitable for assessing video material, consist of five parts including clear aims, reliability, balance, additional reference and areas of uncertainty. The score of each question ranges from 0 to 1. The total score is 0 to 5.</w:t>
      </w:r>
    </w:p>
    <w:p w14:paraId="3977F63E">
      <w:pPr>
        <w:numPr>
          <w:ilvl w:val="0"/>
          <w:numId w:val="2"/>
        </w:num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mDISCERN-1 Are the aims clear and achieved?</w:t>
      </w:r>
    </w:p>
    <w:p w14:paraId="36D89ECA">
      <w:pPr>
        <w:spacing w:line="480" w:lineRule="auto"/>
        <w:ind w:firstLine="1680" w:firstLineChars="7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0-no 1-yes</w:t>
      </w:r>
    </w:p>
    <w:p w14:paraId="664F6179">
      <w:p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 mDISCERN-2 Are reliable sources of information used? </w:t>
      </w:r>
    </w:p>
    <w:p w14:paraId="13C1EEA4">
      <w:pPr>
        <w:spacing w:line="480" w:lineRule="auto"/>
        <w:ind w:firstLine="1680" w:firstLineChars="7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0-no 1-yes</w:t>
      </w:r>
    </w:p>
    <w:p w14:paraId="7B168390">
      <w:p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(3) mDISCERN-3 Is the information presented balanced and unbiased? </w:t>
      </w:r>
    </w:p>
    <w:p w14:paraId="08A7262F">
      <w:pPr>
        <w:spacing w:line="480" w:lineRule="auto"/>
        <w:ind w:firstLine="1680" w:firstLineChars="7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0-no 1-yes</w:t>
      </w:r>
    </w:p>
    <w:p w14:paraId="090BFA6E">
      <w:p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(4) mDISCERN-4 Are additional sources of information listed for patient reference? </w:t>
      </w:r>
    </w:p>
    <w:p w14:paraId="31216B93">
      <w:pPr>
        <w:spacing w:line="480" w:lineRule="auto"/>
        <w:ind w:firstLine="1680" w:firstLineChars="7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0-no 1-yes</w:t>
      </w:r>
    </w:p>
    <w:p w14:paraId="5466E8C1">
      <w:pPr>
        <w:spacing w:line="48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 mDISCERN-5 Are areas of uncertainty mentioned?</w:t>
      </w:r>
    </w:p>
    <w:p w14:paraId="7021A75F">
      <w:pPr>
        <w:numPr>
          <w:ilvl w:val="0"/>
          <w:numId w:val="3"/>
        </w:numPr>
        <w:spacing w:line="480" w:lineRule="auto"/>
        <w:ind w:firstLine="1680" w:firstLineChars="700"/>
        <w:rPr>
          <w:rFonts w:hint="default" w:ascii="Times New Roman" w:hAnsi="Times New Roman" w:cs="Times New Roman"/>
          <w:b w:val="0"/>
          <w:bCs w:val="0"/>
          <w:sz w:val="24"/>
          <w:szCs w:val="24"/>
          <w:lang w:val="en-US" w:eastAsia="zh-CN"/>
        </w:rPr>
      </w:pPr>
      <w:r>
        <w:rPr>
          <w:rFonts w:hint="eastAsia" w:ascii="Times New Roman" w:hAnsi="Times New Roman" w:cs="Times New Roman"/>
          <w:sz w:val="24"/>
          <w:szCs w:val="24"/>
          <w:lang w:val="en-US" w:eastAsia="zh-CN"/>
        </w:rPr>
        <w:t>no 1-yes</w:t>
      </w:r>
    </w:p>
    <w:p w14:paraId="59C3A9CC">
      <w:pPr>
        <w:numPr>
          <w:ilvl w:val="0"/>
          <w:numId w:val="0"/>
        </w:numPr>
        <w:spacing w:line="480" w:lineRule="auto"/>
        <w:rPr>
          <w:rFonts w:hint="default" w:ascii="Times New Roman" w:hAnsi="Times New Roman" w:cs="Times New Roman"/>
          <w:b w:val="0"/>
          <w:bCs w:val="0"/>
          <w:sz w:val="24"/>
          <w:szCs w:val="24"/>
          <w:lang w:val="en-US" w:eastAsia="zh-CN"/>
        </w:rPr>
      </w:pPr>
    </w:p>
    <w:p w14:paraId="5DB91285">
      <w:pPr>
        <w:widowControl w:val="0"/>
        <w:numPr>
          <w:ilvl w:val="0"/>
          <w:numId w:val="1"/>
        </w:numPr>
        <w:spacing w:line="480" w:lineRule="auto"/>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GQS (</w:t>
      </w:r>
      <w:r>
        <w:rPr>
          <w:rFonts w:hint="eastAsia" w:ascii="Times New Roman" w:hAnsi="Times New Roman" w:cs="Times New Roman"/>
          <w:sz w:val="24"/>
          <w:szCs w:val="24"/>
          <w:lang w:val="en-US" w:eastAsia="zh-CN"/>
        </w:rPr>
        <w:t>Global Quality Score)</w:t>
      </w:r>
    </w:p>
    <w:p w14:paraId="29267692">
      <w:pPr>
        <w:widowControl w:val="0"/>
        <w:numPr>
          <w:ilvl w:val="0"/>
          <w:numId w:val="0"/>
        </w:numPr>
        <w:spacing w:line="480" w:lineRule="auto"/>
        <w:ind w:leftChars="0" w:firstLine="480" w:firstLineChars="20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GQS,</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a 5-point scale, assesses the overall video quality, ranging from poor (1) to excellent (5). It </w:t>
      </w:r>
      <w:r>
        <w:rPr>
          <w:rFonts w:hint="default" w:ascii="Times New Roman" w:hAnsi="Times New Roman" w:cs="Times New Roman"/>
          <w:sz w:val="24"/>
          <w:szCs w:val="24"/>
          <w:lang w:val="en-US" w:eastAsia="zh-CN"/>
        </w:rPr>
        <w:t>is the simplest of all tools</w:t>
      </w:r>
      <w:r>
        <w:rPr>
          <w:rFonts w:hint="eastAsia" w:ascii="Times New Roman" w:hAnsi="Times New Roman" w:cs="Times New Roman"/>
          <w:sz w:val="24"/>
          <w:szCs w:val="24"/>
          <w:lang w:val="en-US" w:eastAsia="zh-CN"/>
        </w:rPr>
        <w:t xml:space="preserve"> in our study.</w:t>
      </w:r>
    </w:p>
    <w:p w14:paraId="37D6AFAA">
      <w:pPr>
        <w:widowControl w:val="0"/>
        <w:numPr>
          <w:ilvl w:val="0"/>
          <w:numId w:val="0"/>
        </w:numPr>
        <w:spacing w:line="480" w:lineRule="auto"/>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(Score 1) </w:t>
      </w:r>
      <w:r>
        <w:rPr>
          <w:rFonts w:hint="default" w:ascii="Times New Roman" w:hAnsi="Times New Roman" w:cs="Times New Roman"/>
          <w:sz w:val="24"/>
          <w:szCs w:val="24"/>
          <w:lang w:val="en-US" w:eastAsia="zh-CN"/>
        </w:rPr>
        <w:t>Poor quality, poor flow of the site, most information missing, not at all useful for patients</w:t>
      </w:r>
      <w:r>
        <w:rPr>
          <w:rFonts w:hint="eastAsia" w:ascii="Times New Roman" w:hAnsi="Times New Roman" w:cs="Times New Roman"/>
          <w:sz w:val="24"/>
          <w:szCs w:val="24"/>
          <w:lang w:val="en-US" w:eastAsia="zh-CN"/>
        </w:rPr>
        <w:t>.</w:t>
      </w:r>
    </w:p>
    <w:p w14:paraId="3CC9C96D">
      <w:pPr>
        <w:widowControl w:val="0"/>
        <w:numPr>
          <w:ilvl w:val="0"/>
          <w:numId w:val="0"/>
        </w:numPr>
        <w:spacing w:line="48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(Score 2) </w:t>
      </w:r>
      <w:r>
        <w:rPr>
          <w:rFonts w:hint="default" w:ascii="Times New Roman" w:hAnsi="Times New Roman" w:cs="Times New Roman"/>
          <w:sz w:val="24"/>
          <w:szCs w:val="24"/>
          <w:lang w:val="en-US" w:eastAsia="zh-CN"/>
        </w:rPr>
        <w:t>Generally poor quality and poor flow, some information listed but many important topics missing.of very limited use to patients</w:t>
      </w:r>
      <w:r>
        <w:rPr>
          <w:rFonts w:hint="eastAsia" w:ascii="Times New Roman" w:hAnsi="Times New Roman" w:cs="Times New Roman"/>
          <w:sz w:val="24"/>
          <w:szCs w:val="24"/>
          <w:lang w:val="en-US" w:eastAsia="zh-CN"/>
        </w:rPr>
        <w:t>.</w:t>
      </w:r>
    </w:p>
    <w:p w14:paraId="0DDBD8DF">
      <w:pPr>
        <w:widowControl w:val="0"/>
        <w:numPr>
          <w:ilvl w:val="0"/>
          <w:numId w:val="0"/>
        </w:numPr>
        <w:spacing w:line="48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(Score 3) </w:t>
      </w:r>
      <w:r>
        <w:rPr>
          <w:rFonts w:hint="default" w:ascii="Times New Roman" w:hAnsi="Times New Roman" w:cs="Times New Roman"/>
          <w:sz w:val="24"/>
          <w:szCs w:val="24"/>
          <w:lang w:val="en-US" w:eastAsia="zh-CN"/>
        </w:rPr>
        <w:t>Moderate quality, suboptimal flow, some important information is adequately discussed but others poorly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discussed, somewhat useful for patients</w:t>
      </w:r>
      <w:r>
        <w:rPr>
          <w:rFonts w:hint="eastAsia" w:ascii="Times New Roman" w:hAnsi="Times New Roman" w:cs="Times New Roman"/>
          <w:sz w:val="24"/>
          <w:szCs w:val="24"/>
          <w:lang w:val="en-US" w:eastAsia="zh-CN"/>
        </w:rPr>
        <w:t>.</w:t>
      </w:r>
    </w:p>
    <w:p w14:paraId="1BC101DF">
      <w:pPr>
        <w:widowControl w:val="0"/>
        <w:numPr>
          <w:ilvl w:val="0"/>
          <w:numId w:val="0"/>
        </w:numPr>
        <w:spacing w:line="48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(Score 4) </w:t>
      </w:r>
      <w:r>
        <w:rPr>
          <w:rFonts w:hint="default" w:ascii="Times New Roman" w:hAnsi="Times New Roman" w:cs="Times New Roman"/>
          <w:sz w:val="24"/>
          <w:szCs w:val="24"/>
          <w:lang w:val="en-US" w:eastAsia="zh-CN"/>
        </w:rPr>
        <w:t>Good quality and generally good flow, most of the relevant information is listed.but some topics not covered, useful for patients</w:t>
      </w:r>
      <w:r>
        <w:rPr>
          <w:rFonts w:hint="eastAsia" w:ascii="Times New Roman" w:hAnsi="Times New Roman" w:cs="Times New Roman"/>
          <w:sz w:val="24"/>
          <w:szCs w:val="24"/>
          <w:lang w:val="en-US" w:eastAsia="zh-CN"/>
        </w:rPr>
        <w:t>.</w:t>
      </w:r>
    </w:p>
    <w:p w14:paraId="43F1CD53">
      <w:pPr>
        <w:widowControl w:val="0"/>
        <w:numPr>
          <w:ilvl w:val="0"/>
          <w:numId w:val="0"/>
        </w:numPr>
        <w:spacing w:line="480" w:lineRule="auto"/>
        <w:jc w:val="both"/>
        <w:rPr>
          <w:rFonts w:hint="eastAsia" w:ascii="Times New Roman" w:hAnsi="Times New Roman" w:cs="Times New Roman"/>
          <w:sz w:val="24"/>
          <w:szCs w:val="32"/>
          <w:lang w:val="en-US" w:eastAsia="zh-CN"/>
        </w:rPr>
      </w:pPr>
      <w:r>
        <w:rPr>
          <w:rFonts w:hint="eastAsia" w:ascii="Times New Roman" w:hAnsi="Times New Roman" w:cs="Times New Roman"/>
          <w:sz w:val="24"/>
          <w:szCs w:val="24"/>
          <w:lang w:val="en-US" w:eastAsia="zh-CN"/>
        </w:rPr>
        <w:t xml:space="preserve">(Score 5) </w:t>
      </w:r>
      <w:r>
        <w:rPr>
          <w:rFonts w:hint="default" w:ascii="Times New Roman" w:hAnsi="Times New Roman" w:cs="Times New Roman"/>
          <w:sz w:val="24"/>
          <w:szCs w:val="24"/>
          <w:lang w:val="en-US" w:eastAsia="zh-CN"/>
        </w:rPr>
        <w:t>Excellent quality and excellent flow, very useful for patients</w:t>
      </w:r>
      <w:r>
        <w:rPr>
          <w:rFonts w:hint="eastAsia" w:ascii="Times New Roman" w:hAnsi="Times New Roman" w:cs="Times New Roman"/>
          <w:sz w:val="24"/>
          <w:szCs w:val="24"/>
          <w:lang w:val="en-US" w:eastAsia="zh-CN"/>
        </w:rPr>
        <w:t>.</w:t>
      </w:r>
    </w:p>
    <w:p w14:paraId="3C4F5431">
      <w:pPr>
        <w:numPr>
          <w:ilvl w:val="0"/>
          <w:numId w:val="0"/>
        </w:numPr>
        <w:spacing w:line="480" w:lineRule="auto"/>
        <w:ind w:leftChars="0"/>
        <w:rPr>
          <w:rFonts w:hint="eastAsia" w:ascii="Times New Roman" w:hAnsi="Times New Roman" w:cs="Times New Roman"/>
          <w:sz w:val="24"/>
          <w:szCs w:val="24"/>
          <w:lang w:val="en-US" w:eastAsia="zh-CN"/>
        </w:rPr>
      </w:pPr>
    </w:p>
    <w:p w14:paraId="398D574E">
      <w:pPr>
        <w:numPr>
          <w:ilvl w:val="0"/>
          <w:numId w:val="1"/>
        </w:numPr>
        <w:spacing w:line="480" w:lineRule="auto"/>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JAMA</w:t>
      </w:r>
      <w:r>
        <w:rPr>
          <w:rFonts w:hint="eastAsia" w:ascii="Times New Roman" w:hAnsi="Times New Roman" w:cs="Times New Roman"/>
          <w:sz w:val="24"/>
          <w:szCs w:val="24"/>
          <w:lang w:val="en-US" w:eastAsia="zh-CN"/>
        </w:rPr>
        <w:t xml:space="preserve"> (Journal of the American Medical Association benchmark criteria)</w:t>
      </w:r>
    </w:p>
    <w:p w14:paraId="04A26DE4">
      <w:pPr>
        <w:numPr>
          <w:ilvl w:val="0"/>
          <w:numId w:val="0"/>
        </w:numPr>
        <w:spacing w:line="48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32"/>
          <w:lang w:val="en-US" w:eastAsia="zh-CN"/>
        </w:rPr>
        <w:t xml:space="preserve">    The score of each question ranges from 0 to 1. The total score is 0 to 4.</w:t>
      </w:r>
    </w:p>
    <w:p w14:paraId="05241160">
      <w:pPr>
        <w:numPr>
          <w:ilvl w:val="0"/>
          <w:numId w:val="4"/>
        </w:numPr>
        <w:spacing w:line="480" w:lineRule="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Authorship</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Clearly states authors/creators (individuals or organizations) with relevant credentials.</w:t>
      </w:r>
    </w:p>
    <w:p w14:paraId="3CC92089">
      <w:pPr>
        <w:numPr>
          <w:ilvl w:val="0"/>
          <w:numId w:val="4"/>
        </w:numPr>
        <w:spacing w:line="480" w:lineRule="auto"/>
        <w:ind w:left="0" w:leftChars="0" w:firstLine="0" w:firstLine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Attribution</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Sources of information are listed (e.g., peer-reviewed studies, clinical guidelines).</w:t>
      </w:r>
    </w:p>
    <w:p w14:paraId="0C3223A3">
      <w:pPr>
        <w:numPr>
          <w:ilvl w:val="0"/>
          <w:numId w:val="4"/>
        </w:numPr>
        <w:spacing w:line="480" w:lineRule="auto"/>
        <w:ind w:left="0" w:leftChars="0" w:firstLine="0" w:firstLine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Currency</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Provides dates of creation/update to ensure timeliness.</w:t>
      </w:r>
    </w:p>
    <w:p w14:paraId="2C705067">
      <w:pPr>
        <w:numPr>
          <w:ilvl w:val="0"/>
          <w:numId w:val="4"/>
        </w:numPr>
        <w:spacing w:line="480" w:lineRule="auto"/>
        <w:ind w:left="0" w:leftChars="0" w:firstLine="0" w:firstLine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Transparency</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Discloses conflicts of interest (e.g., sponsorships, funding sources).</w:t>
      </w:r>
    </w:p>
    <w:p w14:paraId="492E8CFB">
      <w:pPr>
        <w:numPr>
          <w:ilvl w:val="0"/>
          <w:numId w:val="0"/>
        </w:numPr>
        <w:spacing w:line="360" w:lineRule="auto"/>
        <w:ind w:leftChars="0" w:firstLine="480" w:firstLineChars="200"/>
        <w:rPr>
          <w:rFonts w:hint="default" w:ascii="Times New Roman" w:hAnsi="Times New Roman" w:cs="Times New Roman"/>
          <w:sz w:val="24"/>
          <w:szCs w:val="32"/>
          <w:lang w:val="en-US" w:eastAsia="zh-CN"/>
        </w:rPr>
      </w:pPr>
    </w:p>
    <w:p w14:paraId="101B1012">
      <w:pPr>
        <w:numPr>
          <w:ilvl w:val="0"/>
          <w:numId w:val="0"/>
        </w:numPr>
        <w:spacing w:line="360" w:lineRule="auto"/>
        <w:ind w:leftChars="0" w:firstLine="480" w:firstLineChars="200"/>
        <w:rPr>
          <w:rFonts w:hint="default" w:ascii="Times New Roman" w:hAnsi="Times New Roman" w:cs="Times New Roman"/>
          <w:sz w:val="24"/>
          <w:szCs w:val="32"/>
          <w:lang w:val="en-US" w:eastAsia="zh-CN"/>
        </w:rPr>
      </w:pPr>
    </w:p>
    <w:p w14:paraId="2F295B78">
      <w:pPr>
        <w:numPr>
          <w:ilvl w:val="0"/>
          <w:numId w:val="0"/>
        </w:numPr>
        <w:spacing w:line="360" w:lineRule="auto"/>
        <w:ind w:leftChars="0" w:firstLine="480" w:firstLineChars="200"/>
        <w:rPr>
          <w:rFonts w:hint="eastAsia" w:ascii="Times New Roman" w:hAnsi="Times New Roman" w:cs="Times New Roman"/>
          <w:sz w:val="24"/>
          <w:szCs w:val="32"/>
          <w:lang w:val="en-US" w:eastAsia="zh-CN"/>
        </w:rPr>
      </w:pPr>
    </w:p>
    <w:p w14:paraId="45258068">
      <w:pPr>
        <w:numPr>
          <w:ilvl w:val="0"/>
          <w:numId w:val="0"/>
        </w:numPr>
        <w:spacing w:line="360" w:lineRule="auto"/>
        <w:ind w:leftChars="0" w:firstLine="480" w:firstLineChars="200"/>
        <w:rPr>
          <w:rFonts w:hint="default" w:ascii="Times New Roman" w:hAnsi="Times New Roman" w:cs="Times New Roman"/>
          <w:sz w:val="24"/>
          <w:szCs w:val="32"/>
          <w:lang w:val="en-US" w:eastAsia="zh-CN"/>
        </w:rPr>
      </w:pPr>
    </w:p>
    <w:p w14:paraId="530AABE1">
      <w:pPr>
        <w:numPr>
          <w:ilvl w:val="0"/>
          <w:numId w:val="0"/>
        </w:numPr>
        <w:spacing w:line="360" w:lineRule="auto"/>
        <w:ind w:leftChars="0" w:firstLine="480" w:firstLineChars="200"/>
        <w:rPr>
          <w:rFonts w:hint="eastAsia" w:ascii="Times New Roman" w:hAnsi="Times New Roman" w:cs="Times New Roman"/>
          <w:sz w:val="24"/>
          <w:szCs w:val="32"/>
          <w:lang w:val="en-US" w:eastAsia="zh-CN"/>
        </w:rPr>
      </w:pPr>
    </w:p>
    <w:p w14:paraId="5566B929">
      <w:pPr>
        <w:numPr>
          <w:ilvl w:val="0"/>
          <w:numId w:val="0"/>
        </w:numPr>
        <w:spacing w:line="360" w:lineRule="auto"/>
        <w:ind w:leftChars="0"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fldChar w:fldCharType="begin"/>
      </w:r>
      <w:r>
        <w:rPr>
          <w:rFonts w:hint="eastAsia" w:ascii="Times New Roman" w:hAnsi="Times New Roman" w:cs="Times New Roman"/>
          <w:sz w:val="24"/>
          <w:szCs w:val="32"/>
          <w:lang w:val="en-US" w:eastAsia="zh-CN"/>
        </w:rPr>
        <w:instrText xml:space="preserve"> ADDIN NE.Rep</w:instrText>
      </w:r>
      <w:r>
        <w:rPr>
          <w:rFonts w:hint="default" w:ascii="Times New Roman" w:hAnsi="Times New Roman" w:cs="Times New Roman"/>
          <w:sz w:val="24"/>
          <w:szCs w:val="32"/>
          <w:lang w:val="en-US" w:eastAsia="zh-CN"/>
        </w:rPr>
        <w:fldChar w:fldCharType="separate"/>
      </w:r>
      <w:r>
        <w:rPr>
          <w:rFonts w:hint="default" w:ascii="Times New Roman" w:hAnsi="Times New Roman" w:cs="Times New Roman"/>
          <w:sz w:val="24"/>
          <w:szCs w:val="32"/>
          <w:lang w:val="en-US"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C1EE"/>
    <w:multiLevelType w:val="singleLevel"/>
    <w:tmpl w:val="BF34C1EE"/>
    <w:lvl w:ilvl="0" w:tentative="0">
      <w:start w:val="1"/>
      <w:numFmt w:val="decimal"/>
      <w:suff w:val="space"/>
      <w:lvlText w:val="%1."/>
      <w:lvlJc w:val="left"/>
      <w:rPr>
        <w:rFonts w:hint="default"/>
        <w:b/>
        <w:bCs/>
        <w:sz w:val="24"/>
        <w:szCs w:val="24"/>
      </w:rPr>
    </w:lvl>
  </w:abstractNum>
  <w:abstractNum w:abstractNumId="1">
    <w:nsid w:val="663689E2"/>
    <w:multiLevelType w:val="singleLevel"/>
    <w:tmpl w:val="663689E2"/>
    <w:lvl w:ilvl="0" w:tentative="0">
      <w:start w:val="0"/>
      <w:numFmt w:val="decimal"/>
      <w:suff w:val="nothing"/>
      <w:lvlText w:val="%1-"/>
      <w:lvlJc w:val="left"/>
    </w:lvl>
  </w:abstractNum>
  <w:abstractNum w:abstractNumId="2">
    <w:nsid w:val="751AD7C6"/>
    <w:multiLevelType w:val="singleLevel"/>
    <w:tmpl w:val="751AD7C6"/>
    <w:lvl w:ilvl="0" w:tentative="0">
      <w:start w:val="1"/>
      <w:numFmt w:val="decimal"/>
      <w:suff w:val="space"/>
      <w:lvlText w:val="(%1)"/>
      <w:lvlJc w:val="left"/>
    </w:lvl>
  </w:abstractNum>
  <w:abstractNum w:abstractNumId="3">
    <w:nsid w:val="78AD0323"/>
    <w:multiLevelType w:val="singleLevel"/>
    <w:tmpl w:val="78AD0323"/>
    <w:lvl w:ilvl="0" w:tentative="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292AC041-2914-485C-B02C-06A5977FB75B}" w:val=" ADDIN NE.Ref.{292AC041-2914-485C-B02C-06A5977FB75B}&lt;Citation&gt;&lt;Group&gt;&lt;References&gt;&lt;Item&gt;&lt;ID&gt;898&lt;/ID&gt;&lt;UID&gt;{9017B1B5-94A6-4EED-85F0-B3AC1AA8606C}&lt;/UID&gt;&lt;Title&gt;YouTube for information on rheumatoid arthritis--a wakeup call?&lt;/Title&gt;&lt;Template&gt;Journal Article&lt;/Template&gt;&lt;Star&gt;0&lt;/Star&gt;&lt;Tag&gt;0&lt;/Tag&gt;&lt;Author&gt;Singh, Abha G; Singh, Siddharth; Singh, Preet Paul&lt;/Author&gt;&lt;Year&gt;2012&lt;/Year&gt;&lt;Details&gt;&lt;_accession_num&gt;22467934&lt;/_accession_num&gt;&lt;_author_adr&gt;Department of Internal Medicine, Mayo Clinic, Rochester, MN 55905, USA.  Singh.Abha@mayo.edu&lt;/_author_adr&gt;&lt;_date_display&gt;2012 May&lt;/_date_display&gt;&lt;_date&gt;2012-05-01&lt;/_date&gt;&lt;_doi&gt;10.3899/jrheum.111114&lt;/_doi&gt;&lt;_isbn&gt;1499-2752 (Electronic); 0315-162X (Linking)&lt;/_isbn&gt;&lt;_issue&gt;5&lt;/_issue&gt;&lt;_journal&gt;J Rheumatol&lt;/_journal&gt;&lt;_language&gt;eng&lt;/_language&gt;&lt;_pages&gt;899-903&lt;/_pages&gt;&lt;_subject_headings&gt;*Arthritis, Rheumatoid; Consumer Behavior; Health Education/*standards/trends; Humans; Information Dissemination; Patients/psychology; Social Media/*standards/trends; Video Recording/*standards/trends&lt;/_subject_headings&gt;&lt;_tertiary_title&gt;The Journal of rheumatology&lt;/_tertiary_title&gt;&lt;_type_work&gt;Journal Article; Validation Study&lt;/_type_work&gt;&lt;_url&gt;http://www.ncbi.nlm.nih.gov/entrez/query.fcgi?cmd=Retrieve&amp;amp;db=pubmed&amp;amp;dopt=Abstract&amp;amp;list_uids=22467934&amp;amp;query_hl=1&lt;/_url&gt;&lt;_volume&gt;39&lt;/_volume&gt;&lt;_created&gt;65829829&lt;/_created&gt;&lt;_modified&gt;65830569&lt;/_modified&gt;&lt;_db_updated&gt;PubMed&lt;/_db_updated&gt;&lt;_impact_factor&gt;   3.600&lt;/_impact_factor&gt;&lt;_social_category&gt;风湿病学(3)&lt;/_social_category&gt;&lt;_collection_scope&gt;SCIE&lt;/_collection_scope&gt;&lt;_accessed&gt;65831234&lt;/_accessed&gt;&lt;/Details&gt;&lt;Extra&gt;&lt;DBUID&gt;{F96A950B-833F-4880-A151-76DA2D6A2879}&lt;/DBUID&gt;&lt;/Extra&gt;&lt;/Item&gt;&lt;/References&gt;&lt;/Group&gt;&lt;/Citation&gt;_x000a_"/>
    <w:docVar w:name="NE.Ref{2EA17BA0-E447-44CE-84A0-98AEB67BB9AE}" w:val=" ADDIN NE.Ref.{2EA17BA0-E447-44CE-84A0-98AEB67BB9AE}&lt;Citation&gt;&lt;Group&gt;&lt;References&gt;&lt;Item&gt;&lt;ID&gt;916&lt;/ID&gt;&lt;UID&gt;{201E85D2-9D52-43BB-891F-48B066B2946F}&lt;/UID&gt;&lt;Title&gt;Assessing, controlling, and assuring the quality of medical information on the Internet: Caveant lector et viewor--Let the reader and viewer beware&lt;/Title&gt;&lt;Template&gt;Journal Article&lt;/Template&gt;&lt;Star&gt;0&lt;/Star&gt;&lt;Tag&gt;0&lt;/Tag&gt;&lt;Author&gt;Silberg, W M; Lundberg, G D; Musacchio, R A&lt;/Author&gt;&lt;Year&gt;1997&lt;/Year&gt;&lt;Details&gt;&lt;_accession_num&gt;9103351&lt;/_accession_num&gt;&lt;_date_display&gt;1997 Apr 16&lt;/_date_display&gt;&lt;_date&gt;1997-04-16&lt;/_date&gt;&lt;_isbn&gt;0098-7484 (Print); 0098-7484 (Linking)&lt;/_isbn&gt;&lt;_issue&gt;15&lt;/_issue&gt;&lt;_journal&gt;JAMA&lt;/_journal&gt;&lt;_language&gt;eng&lt;/_language&gt;&lt;_pages&gt;1244-5&lt;/_pages&gt;&lt;_subject_headings&gt;*Computer Communication Networks/standards; *Information Services/standards; *Medical Informatics/standards; Publishing; Quality Assurance, Health Care; Quality Control&lt;/_subject_headings&gt;&lt;_tertiary_title&gt;JAMA&lt;/_tertiary_title&gt;&lt;_type_work&gt;Editorial&lt;/_type_work&gt;&lt;_url&gt;http://www.ncbi.nlm.nih.gov/entrez/query.fcgi?cmd=Retrieve&amp;amp;db=pubmed&amp;amp;dopt=Abstract&amp;amp;list_uids=9103351&amp;amp;query_hl=1&lt;/_url&gt;&lt;_volume&gt;277&lt;/_volume&gt;&lt;_created&gt;65831227&lt;/_created&gt;&lt;_modified&gt;65831231&lt;/_modified&gt;&lt;_db_updated&gt;PubMed&lt;/_db_updated&gt;&lt;_impact_factor&gt;  63.500&lt;/_impact_factor&gt;&lt;_social_category&gt;医学：内科(1)&lt;/_social_category&gt;&lt;_collection_scope&gt;SCIE&lt;/_collection_scope&gt;&lt;_accessed&gt;65831232&lt;/_accessed&gt;&lt;/Details&gt;&lt;Extra&gt;&lt;DBUID&gt;{F96A950B-833F-4880-A151-76DA2D6A2879}&lt;/DBUID&gt;&lt;/Extra&gt;&lt;/Item&gt;&lt;/References&gt;&lt;/Group&gt;&lt;/Citation&gt;_x000a_"/>
    <w:docVar w:name="NE.Ref{4B3619F2-2318-4322-98F3-655FE8B19F05}" w:val=" ADDIN NE.Ref.{4B3619F2-2318-4322-98F3-655FE8B19F05}&lt;Citation&gt;&lt;Group&gt;&lt;References&gt;&lt;Item&gt;&lt;ID&gt;900&lt;/ID&gt;&lt;UID&gt;{E8D2FE5C-8D05-42DE-B642-B28C08EA76F6}&lt;/UID&gt;&lt;Title&gt;YouTube videos as a source of medical information during the Ebola hemorrhagic fever epidemic&lt;/Title&gt;&lt;Template&gt;Journal Article&lt;/Template&gt;&lt;Star&gt;0&lt;/Star&gt;&lt;Tag&gt;0&lt;/Tag&gt;&lt;Author&gt;Nagpal, Sajan Jiv Singh; Karimianpour, Ahmadreza; Mukhija, Dhruvika; Mohan, Diwakar; Brateanu, Andrei&lt;/Author&gt;&lt;Year&gt;2015&lt;/Year&gt;&lt;Details&gt;&lt;_accession_num&gt;26322263&lt;/_accession_num&gt;&lt;_author_adr&gt;Department of Internal Medicine, Cleveland Clinic Foundation, 9500 Euclid Ave,  NA-10, Cleveland, OH 44195 USA.; Department of Internal Medicine, Cleveland Clinic Foundation, 9500 Euclid Ave,  NA-10, Cleveland, OH 44195 USA.; Department of Internal Medicine, Cleveland Clinic Foundation, 9500 Euclid Ave,  NA-10, Cleveland, OH 44195 USA.; Bloomberg School of Public Health, Johns Hopkins University, Baltimore, MD USA.; Department of Internal Medicine, Cleveland Clinic Foundation, 9500 Euclid Ave,  NA-10, Cleveland, OH 44195 USA.&lt;/_author_adr&gt;&lt;_date_display&gt;2015&lt;/_date_display&gt;&lt;_date&gt;2015-01-20&lt;/_date&gt;&lt;_doi&gt;10.1186/s40064-015-1251-9&lt;/_doi&gt;&lt;_isbn&gt;2193-1801 (Print); 2193-1801 (Electronic); 2193-1801 (Linking)&lt;/_isbn&gt;&lt;_journal&gt;Springerplus&lt;/_journal&gt;&lt;_keywords&gt;Ebola; Ebola hemorrhagic fever; Epidemics; Multimedia; Patient education; Social media&lt;/_keywords&gt;&lt;_language&gt;eng&lt;/_language&gt;&lt;_pages&gt;457&lt;/_pages&gt;&lt;_tertiary_title&gt;SpringerPlus&lt;/_tertiary_title&gt;&lt;_type_work&gt;Journal Article&lt;/_type_work&gt;&lt;_url&gt;http://www.ncbi.nlm.nih.gov/entrez/query.fcgi?cmd=Retrieve&amp;amp;db=pubmed&amp;amp;dopt=Abstract&amp;amp;list_uids=26322263&amp;amp;query_hl=1&lt;/_url&gt;&lt;_volume&gt;4&lt;/_volume&gt;&lt;_created&gt;65829833&lt;/_created&gt;&lt;_modified&gt;65829834&lt;/_modified&gt;&lt;_db_updated&gt;PubMed&lt;/_db_updated&gt;&lt;_accessed&gt;65831235&lt;/_accessed&gt;&lt;/Details&gt;&lt;Extra&gt;&lt;DBUID&gt;{F96A950B-833F-4880-A151-76DA2D6A2879}&lt;/DBUID&gt;&lt;/Extra&gt;&lt;/Item&gt;&lt;/References&gt;&lt;/Group&gt;&lt;/Citation&gt;_x000a_"/>
    <w:docVar w:name="NE.Ref{659F0CAF-2808-44A0-8C9C-C11EA73658C8}" w:val=" ADDIN NE.Ref.{659F0CAF-2808-44A0-8C9C-C11EA73658C8}&lt;Citation&gt;&lt;Group&gt;&lt;References&gt;&lt;Item&gt;&lt;ID&gt;899&lt;/ID&gt;&lt;UID&gt;{73BA33AE-30F4-48A3-A357-4F99760C09A9}&lt;/UID&gt;&lt;Title&gt;A systematic review of patient inflammatory bowel disease information resources on the World Wide Web&lt;/Title&gt;&lt;Template&gt;Journal Article&lt;/Template&gt;&lt;Star&gt;0&lt;/Star&gt;&lt;Tag&gt;0&lt;/Tag&gt;&lt;Author&gt;Bernard, Andre; Langille, Morgan; Hughes, Stephanie; Rose, Caren; Leddin, Desmond; Veldhuyzen Van Zanten, Sander&lt;/Author&gt;&lt;Year&gt;2007&lt;/Year&gt;&lt;Details&gt;&lt;_accession_num&gt;17511753&lt;/_accession_num&gt;&lt;_author_adr&gt;Division of Anesthesiology, Dalhousie University, Halifax, Canada.&lt;/_author_adr&gt;&lt;_date_display&gt;2007 Sep&lt;/_date_display&gt;&lt;_date&gt;2007-09-01&lt;/_date&gt;&lt;_doi&gt;10.1111/j.1572-0241.2007.01325.x&lt;/_doi&gt;&lt;_isbn&gt;0002-9270 (Print); 0002-9270 (Linking)&lt;/_isbn&gt;&lt;_issue&gt;9&lt;/_issue&gt;&lt;_journal&gt;Am J Gastroenterol&lt;/_journal&gt;&lt;_language&gt;eng&lt;/_language&gt;&lt;_pages&gt;2070-7&lt;/_pages&gt;&lt;_subject_headings&gt;Humans; *Inflammatory Bowel Diseases; Information Storage and Retrieval; *Internet&lt;/_subject_headings&gt;&lt;_tertiary_title&gt;The American journal of gastroenterology&lt;/_tertiary_title&gt;&lt;_type_work&gt;Journal Article; Research Support, Non-U.S. Gov&amp;apos;t; Review; Systematic Review&lt;/_type_work&gt;&lt;_url&gt;http://www.ncbi.nlm.nih.gov/entrez/query.fcgi?cmd=Retrieve&amp;amp;db=pubmed&amp;amp;dopt=Abstract&amp;amp;list_uids=17511753&amp;amp;query_hl=1&lt;/_url&gt;&lt;_volume&gt;102&lt;/_volume&gt;&lt;_created&gt;65829831&lt;/_created&gt;&lt;_modified&gt;65830568&lt;/_modified&gt;&lt;_db_updated&gt;PubMed&lt;/_db_updated&gt;&lt;_impact_factor&gt;   8.500&lt;/_impact_factor&gt;&lt;_social_category&gt;胃肠肝病学(2)&lt;/_social_category&gt;&lt;_collection_scope&gt;SCIE&lt;/_collection_scope&gt;&lt;_accessed&gt;65831235&lt;/_accessed&gt;&lt;/Details&gt;&lt;Extra&gt;&lt;DBUID&gt;{F96A950B-833F-4880-A151-76DA2D6A2879}&lt;/DBUID&gt;&lt;/Extra&gt;&lt;/Item&gt;&lt;/References&gt;&lt;/Group&gt;&lt;/Citation&gt;_x000a_"/>
    <w:docVar w:name="NE.Ref{814C17AD-952B-4B66-ABFC-48E1FC8E71E6}" w:val=" ADDIN NE.Ref.{814C17AD-952B-4B66-ABFC-48E1FC8E71E6}&lt;Citation&gt;&lt;Group&gt;&lt;References&gt;&lt;Item&gt;&lt;ID&gt;902&lt;/ID&gt;&lt;UID&gt;{9CB4433F-5587-41DA-92BF-9072C7EA7755}&lt;/UID&gt;&lt;Title&gt;Interrater reliability of the Patient Education Materials Assessment Tool (PEMAT)&lt;/Title&gt;&lt;Template&gt;Journal Article&lt;/Template&gt;&lt;Star&gt;0&lt;/Star&gt;&lt;Tag&gt;0&lt;/Tag&gt;&lt;Author&gt;Vishnevetsky, Julia; Walters, Chasity Burrows; Tan, Kay See&lt;/Author&gt;&lt;Year&gt;2018&lt;/Year&gt;&lt;Details&gt;&lt;_accession_num&gt;28899713&lt;/_accession_num&gt;&lt;_author_adr&gt;Patient and Caregiver Engagement, Memorial Sloan Kettering Cancer Center, New  York, USA. Electronic address: vishnevj@mskcc.org.; Patient and Caregiver Engagement, Memorial Sloan Kettering Cancer Center, New  York, USA.; Epidemiology-Biostatistics, Memorial Sloan Kettering Cancer Center, New York,  USA.&lt;/_author_adr&gt;&lt;_date_display&gt;2018 Mar&lt;/_date_display&gt;&lt;_date&gt;2018-03-01&lt;/_date&gt;&lt;_doi&gt;10.1016/j.pec.2017.09.003&lt;/_doi&gt;&lt;_isbn&gt;1873-5134 (Electronic); 0738-3991 (Print); 0738-3991 (Linking)&lt;/_isbn&gt;&lt;_issue&gt;3&lt;/_issue&gt;&lt;_journal&gt;Patient Educ Couns&lt;/_journal&gt;&lt;_keywords&gt;Actionability; Evaluation; PEMAT; Patient Education Material Assessment Tool; Patient education; Readability; Understandability&lt;/_keywords&gt;&lt;_language&gt;eng&lt;/_language&gt;&lt;_ori_publication&gt;Copyright (c) 2017 Elsevier B.V. All rights reserved.&lt;/_ori_publication&gt;&lt;_pages&gt;490-496&lt;/_pages&gt;&lt;_subject_headings&gt;Audiovisual Aids; *Comprehension; Health Literacy/*standards; Humans; *Internet; Patient Education as Topic/standards; Reading; Reproducibility of Results; Teaching Materials/*standards&lt;/_subject_headings&gt;&lt;_tertiary_title&gt;Patient education and counseling&lt;/_tertiary_title&gt;&lt;_type_work&gt;Journal Article; Research Support, N.I.H., Extramural&lt;/_type_work&gt;&lt;_url&gt;http://www.ncbi.nlm.nih.gov/entrez/query.fcgi?cmd=Retrieve&amp;amp;db=pubmed&amp;amp;dopt=Abstract&amp;amp;list_uids=28899713&amp;amp;query_hl=1&lt;/_url&gt;&lt;_volume&gt;101&lt;/_volume&gt;&lt;_created&gt;65829835&lt;/_created&gt;&lt;_modified&gt;65830421&lt;/_modified&gt;&lt;_db_updated&gt;PubMed&lt;/_db_updated&gt;&lt;_impact_factor&gt;   2.900&lt;/_impact_factor&gt;&lt;_social_category&gt;公共卫生、环境卫生与职业卫生(2) &amp;amp; 社会科学：跨领域(2)&lt;/_social_category&gt;&lt;_collection_scope&gt;SCIE;SSCI&lt;/_collection_scope&gt;&lt;_accessed&gt;65831236&lt;/_accessed&gt;&lt;/Details&gt;&lt;Extra&gt;&lt;DBUID&gt;{F96A950B-833F-4880-A151-76DA2D6A2879}&lt;/DBUID&gt;&lt;/Extra&gt;&lt;/Item&gt;&lt;/References&gt;&lt;/Group&gt;&lt;/Citation&gt;_x000a_"/>
    <w:docVar w:name="NE.Ref{A16D9757-5353-433D-AF41-D60DCA62B164}" w:val=" ADDIN NE.Ref.{A16D9757-5353-433D-AF41-D60DCA62B164}&lt;Citation&gt;&lt;Group&gt;&lt;References&gt;&lt;Item&gt;&lt;ID&gt;897&lt;/ID&gt;&lt;UID&gt;{9F23F32B-8896-4754-B617-624A083F3FB2}&lt;/UID&gt;&lt;Title&gt;DISCERN: an instrument for judging the quality of written consumer health information on treatment choices&lt;/Title&gt;&lt;Template&gt;Journal Article&lt;/Template&gt;&lt;Star&gt;0&lt;/Star&gt;&lt;Tag&gt;0&lt;/Tag&gt;&lt;Author&gt;Charnock, D; Shepperd, S; Needham, G; Gann, R&lt;/Author&gt;&lt;Year&gt;1999&lt;/Year&gt;&lt;Details&gt;&lt;_accession_num&gt;10396471&lt;/_accession_num&gt;&lt;_author_adr&gt;University of Oxford, Division of Public Health and Primary Health Care,  Institute of Health Sciences.&lt;/_author_adr&gt;&lt;_date_display&gt;1999 Feb&lt;/_date_display&gt;&lt;_date&gt;1999-02-01&lt;/_date&gt;&lt;_doi&gt;10.1136/jech.53.2.105&lt;/_doi&gt;&lt;_isbn&gt;0143-005X (Print); 1470-2738 (Electronic); 0143-005X (Linking)&lt;/_isbn&gt;&lt;_issue&gt;2&lt;/_issue&gt;&lt;_journal&gt;J Epidemiol Community Health&lt;/_journal&gt;&lt;_language&gt;eng&lt;/_language&gt;&lt;_pages&gt;105-11&lt;/_pages&gt;&lt;_subject_headings&gt;Endometritis/therapy; Fatigue Syndrome, Chronic/therapy; Female; Health Promotion/*standards; Humans; Myocardial Infarction/therapy; Patient Education as Topic/*standards; Program Evaluation; Quality Assurance, Health Care&lt;/_subject_headings&gt;&lt;_tertiary_title&gt;Journal of epidemiology and community health&lt;/_tertiary_title&gt;&lt;_type_work&gt;Journal Article; Research Support, Non-U.S. Gov&amp;apos;t&lt;/_type_work&gt;&lt;_url&gt;http://www.ncbi.nlm.nih.gov/entrez/query.fcgi?cmd=Retrieve&amp;amp;db=pubmed&amp;amp;dopt=Abstract&amp;amp;list_uids=10396471&amp;amp;query_hl=1&lt;/_url&gt;&lt;_volume&gt;53&lt;/_volume&gt;&lt;_created&gt;65829828&lt;/_created&gt;&lt;_modified&gt;65829831&lt;/_modified&gt;&lt;_db_updated&gt;PubMed&lt;/_db_updated&gt;&lt;_impact_factor&gt;   4.900&lt;/_impact_factor&gt;&lt;_social_category&gt;公共卫生、环境卫生与职业卫生(2)&lt;/_social_category&gt;&lt;_collection_scope&gt;SCIE;SSCI&lt;/_collection_scope&gt;&lt;_accessed&gt;65831233&lt;/_accessed&gt;&lt;/Details&gt;&lt;Extra&gt;&lt;DBUID&gt;{F96A950B-833F-4880-A151-76DA2D6A2879}&lt;/DBUID&gt;&lt;/Extra&gt;&lt;/Item&gt;&lt;/References&gt;&lt;/Group&gt;&lt;/Citation&gt;_x000a_"/>
    <w:docVar w:name="NE.Ref{CB63671B-9DC7-400B-901D-F10730AA26A2}" w:val=" ADDIN NE.Ref.{CB63671B-9DC7-400B-901D-F10730AA26A2}&lt;Citation&gt;&lt;Group&gt;&lt;References&gt;&lt;Item&gt;&lt;ID&gt;917&lt;/ID&gt;&lt;UID&gt;{C7C2C9E1-E50A-4E96-B479-85C35E78133C}&lt;/UID&gt;&lt;Title&gt;Are DISCERN and JAMA Suitable Instruments for Assessing YouTube Videos on Thyroid Cancer? Methodological Concerns&lt;/Title&gt;&lt;Template&gt;Journal Article&lt;/Template&gt;&lt;Star&gt;0&lt;/Star&gt;&lt;Tag&gt;0&lt;/Tag&gt;&lt;Author&gt;Azer, Samy A&lt;/Author&gt;&lt;Year&gt;2020&lt;/Year&gt;&lt;Details&gt;&lt;_accession_num&gt;32472374&lt;/_accession_num&gt;&lt;_author_adr&gt;Curriculum Development and Research Unit, College of Medicine, King Saud  University, Riyadh, Saudi Arabia. mcqsmcqs@hotmail.com.&lt;/_author_adr&gt;&lt;_date_display&gt;2020 Dec&lt;/_date_display&gt;&lt;_date&gt;2020-12-01&lt;/_date&gt;&lt;_doi&gt;10.1007/s13187-020-01763-9&lt;/_doi&gt;&lt;_isbn&gt;1543-0154 (Electronic); 0885-8195 (Linking)&lt;/_isbn&gt;&lt;_issue&gt;6&lt;/_issue&gt;&lt;_journal&gt;J Cancer Educ&lt;/_journal&gt;&lt;_keywords&gt;DISCERN instrument; JAMA benchmark tools; Methodology; Patient education; Thyroid cancer; YouTube videos&lt;/_keywords&gt;&lt;_language&gt;eng&lt;/_language&gt;&lt;_pages&gt;1267-1277&lt;/_pages&gt;&lt;_subject_headings&gt;Benchmarking/*methods; Consumer Health Information/*standards; Humans; Information Dissemination/*methods; Patient Education as Topic/*standards; Quality Control; Social Media/*standards; Thyroid Neoplasms/*therapy; Video Recording/*standards&lt;/_subject_headings&gt;&lt;_tertiary_title&gt;Journal of cancer education : the official journal of the American Association _x000d__x000a_      for Cancer Education&lt;/_tertiary_title&gt;&lt;_type_work&gt;Journal Article; Research Support, Non-U.S. Gov&amp;apos;t&lt;/_type_work&gt;&lt;_url&gt;http://www.ncbi.nlm.nih.gov/entrez/query.fcgi?cmd=Retrieve&amp;amp;db=pubmed&amp;amp;dopt=Abstract&amp;amp;list_uids=32472374&amp;amp;query_hl=1&lt;/_url&gt;&lt;_volume&gt;35&lt;/_volume&gt;&lt;_created&gt;65831234&lt;/_created&gt;&lt;_modified&gt;65831234&lt;/_modified&gt;&lt;_db_updated&gt;PubMed&lt;/_db_updated&gt;&lt;_impact_factor&gt;   1.400&lt;/_impact_factor&gt;&lt;_social_category&gt;学科教育(4) &amp;amp; 肿瘤学(4) &amp;amp; 公共卫生、环境卫生与职业卫生(4)&lt;/_social_category&gt;&lt;_collection_scope&gt;SCIE&lt;/_collection_scope&gt;&lt;_accessed&gt;65831234&lt;/_accessed&gt;&lt;/Details&gt;&lt;Extra&gt;&lt;DBUID&gt;{F96A950B-833F-4880-A151-76DA2D6A2879}&lt;/DBUID&gt;&lt;/Extra&gt;&lt;/Item&gt;&lt;/References&gt;&lt;/Group&gt;&lt;/Citation&gt;_x000a_"/>
    <w:docVar w:name="NE.Ref{E7061E8B-795E-4DED-AF3F-80791ECFC0D1}" w:val=" ADDIN NE.Ref.{E7061E8B-795E-4DED-AF3F-80791ECFC0D1}&lt;Citation&gt;&lt;Group&gt;&lt;References&gt;&lt;Item&gt;&lt;ID&gt;901&lt;/ID&gt;&lt;UID&gt;{C3AE0D8B-C8D0-44D9-9DCA-93C5770E522D}&lt;/UID&gt;&lt;Title&gt;Development of the Patient Education Materials Assessment Tool (PEMAT): a new  measure of understandability and actionability for print and audiovisual patient  information&lt;/Title&gt;&lt;Template&gt;Journal Article&lt;/Template&gt;&lt;Star&gt;0&lt;/Star&gt;&lt;Tag&gt;0&lt;/Tag&gt;&lt;Author&gt;Shoemaker, Sarah J; Wolf, Michael S; Brach, Cindy&lt;/Author&gt;&lt;Year&gt;2014&lt;/Year&gt;&lt;Details&gt;&lt;_accession_num&gt;24973195&lt;/_accession_num&gt;&lt;_author_adr&gt;Health Policy, Abt Associates, Inc., Cambridge, USA. Electronic address:  sarah_shoemaker@abtassoc.com.; Feinberg School of Medicine, Northwestern University, Chicago, USA.; Agency for Healthcare Research and Quality (AHRQ), Rockville, USA.&lt;/_author_adr&gt;&lt;_date_display&gt;2014 Sep&lt;/_date_display&gt;&lt;_date&gt;2014-09-01&lt;/_date&gt;&lt;_doi&gt;10.1016/j.pec.2014.05.027&lt;/_doi&gt;&lt;_isbn&gt;1873-5134 (Electronic); 0738-3991 (Print); 0738-3991 (Linking)&lt;/_isbn&gt;&lt;_issue&gt;3&lt;/_issue&gt;&lt;_journal&gt;Patient Educ Couns&lt;/_journal&gt;&lt;_keywords&gt;Assessment; Audiovisual materials; Clear communication; Educational materials; Health literacy; Instrument development; Measurement; Patient education; Plain language; Readability&lt;/_keywords&gt;&lt;_language&gt;eng&lt;/_language&gt;&lt;_ori_publication&gt;Copyright (c) 2014 Elsevier Ireland Ltd. All rights reserved.&lt;/_ori_publication&gt;&lt;_pages&gt;395-403&lt;/_pages&gt;&lt;_subject_headings&gt;Audiovisual Aids; Communication; Community Participation; *Comprehension; Health Literacy/*standards; Humans; Mass Media; Patient Education as Topic/*standards; Reproducibility of Results; Teaching Materials/*standards&lt;/_subject_headings&gt;&lt;_tertiary_title&gt;Patient education and counseling&lt;/_tertiary_title&gt;&lt;_type_work&gt;Journal Article; Research Support, U.S. Gov&amp;apos;t, P.H.S.&lt;/_type_work&gt;&lt;_url&gt;http://www.ncbi.nlm.nih.gov/entrez/query.fcgi?cmd=Retrieve&amp;amp;db=pubmed&amp;amp;dopt=Abstract&amp;amp;list_uids=24973195&amp;amp;query_hl=1&lt;/_url&gt;&lt;_volume&gt;96&lt;/_volume&gt;&lt;_created&gt;65829834&lt;/_created&gt;&lt;_modified&gt;65829835&lt;/_modified&gt;&lt;_db_updated&gt;PubMed&lt;/_db_updated&gt;&lt;_impact_factor&gt;   2.900&lt;/_impact_factor&gt;&lt;_social_category&gt;公共卫生、环境卫生与职业卫生(2) &amp;amp; 社会科学：跨领域(2)&lt;/_social_category&gt;&lt;_collection_scope&gt;SCIE;SSCI&lt;/_collection_scope&gt;&lt;_accessed&gt;65831236&lt;/_accessed&gt;&lt;/Details&gt;&lt;Extra&gt;&lt;DBUID&gt;{F96A950B-833F-4880-A151-76DA2D6A2879}&lt;/DBUID&gt;&lt;/Extra&gt;&lt;/Item&gt;&lt;/References&gt;&lt;/Group&gt;&lt;/Citation&gt;_x000a_"/>
    <w:docVar w:name="NE.Ref{F142FBCB-CAE4-4CC0-BE86-B7C8BAB42AA7}" w:val=" ADDIN NE.Ref.{F142FBCB-CAE4-4CC0-BE86-B7C8BAB42AA7}&lt;Citation&gt;&lt;Group&gt;&lt;References&gt;&lt;Item&gt;&lt;ID&gt;905&lt;/ID&gt;&lt;UID&gt;{904A7F9E-125D-4ED7-9EAE-FF1F86D859FE}&lt;/UID&gt;&lt;Title&gt;YouTube/ Bilibili/ TikTok videos as sources of medical information on laryngeal carcinoma: cross-sectional content analysis study&lt;/Title&gt;&lt;Template&gt;Journal Article&lt;/Template&gt;&lt;Star&gt;0&lt;/Star&gt;&lt;Tag&gt;0&lt;/Tag&gt;&lt;Author&gt;Liu, ZeYang; Chen, YiWen; Lin, Ying; Ai, MaoMao; Lian, DongLing; Zhang, YuanHui; Shen, YanXiong; Yu, Feng&lt;/Author&gt;&lt;Year&gt;2024&lt;/Year&gt;&lt;Details&gt;&lt;_accession_num&gt;38877432&lt;/_accession_num&gt;&lt;_author_adr&gt;Institute of Otorhinolaryngology-Head and Neck Surgery, Guangzhou Red Cross  Hospital of Jinan University, Guangzhou, China.; Institute of Otorhinolaryngology-Head and Neck Surgery, Guangzhou Red Cross  Hospital of Jinan University, Guangzhou, China.; Institute of Otorhinolaryngology-Head and Neck Surgery, Guangzhou Red Cross  Hospital of Jinan University, Guangzhou, China.; Institute of Otorhinolaryngology-Head and Neck Surgery, Guangzhou Red Cross  Hospital of Jinan University, Guangzhou, China.; Institute of Otorhinolaryngology-Head and Neck Surgery, Guangzhou Red Cross  Hospital of Jinan University, Guangzhou, China.; Institute of Otorhinolaryngology-Head and Neck Surgery, Guangzhou Red Cross  Hospital of Jinan University, Guangzhou, China.; Institute of Otorhinolaryngology-Head and Neck Surgery, Guangzhou Red Cross  Hospital of Jinan University, Guangzhou, China.; Institute of Otorhinolaryngology-Head and Neck Surgery, Guangzhou Red Cross  Hospital of Jinan University, Guangzhou, China. fishwoo@sina.com.&lt;/_author_adr&gt;&lt;_date_display&gt;2024 Jun 14&lt;/_date_display&gt;&lt;_date&gt;2024-06-14&lt;/_date&gt;&lt;_doi&gt;10.1186/s12889-024-19077-6&lt;/_doi&gt;&lt;_isbn&gt;1471-2458 (Electronic); 1471-2458 (Linking)&lt;/_isbn&gt;&lt;_issue&gt;1&lt;/_issue&gt;&lt;_journal&gt;BMC Public Health&lt;/_journal&gt;&lt;_keywords&gt;Bilibili; Information quality; Laryngeal cancer; Patient education; Public education; Public health; Social media; TikTok; YouTube&lt;/_keywords&gt;&lt;_language&gt;eng&lt;/_language&gt;&lt;_ori_publication&gt;(c) 2024. The Author(s).&lt;/_ori_publication&gt;&lt;_pages&gt;1594&lt;/_pages&gt;&lt;_subject_headings&gt;Humans; *Social Media/statistics &amp;amp; numerical data; *Laryngeal Neoplasms; *Video Recording; Cross-Sectional Studies; China; Information Dissemination/methods; Consumer Health Information/standards&lt;/_subject_headings&gt;&lt;_tertiary_title&gt;BMC public health&lt;/_tertiary_title&gt;&lt;_type_work&gt;Journal Article; Research Support, Non-U.S. Gov&amp;apos;t&lt;/_type_work&gt;&lt;_url&gt;http://www.ncbi.nlm.nih.gov/entrez/query.fcgi?cmd=Retrieve&amp;amp;db=pubmed&amp;amp;dopt=Abstract&amp;amp;list_uids=38877432&amp;amp;query_hl=1&lt;/_url&gt;&lt;_volume&gt;24&lt;/_volume&gt;&lt;_created&gt;65830432&lt;/_created&gt;&lt;_modified&gt;65830607&lt;/_modified&gt;&lt;_db_updated&gt;PubMed&lt;/_db_updated&gt;&lt;_impact_factor&gt;   3.500&lt;/_impact_factor&gt;&lt;_social_category&gt;公共卫生、环境卫生与职业卫生(2)&lt;/_social_category&gt;&lt;_collection_scope&gt;SCIE&lt;/_collection_scope&gt;&lt;_accessed&gt;65831236&lt;/_accessed&gt;&lt;/Details&gt;&lt;Extra&gt;&lt;DBUID&gt;{F96A950B-833F-4880-A151-76DA2D6A2879}&lt;/DBUID&gt;&lt;/Extra&gt;&lt;/Item&gt;&lt;/References&gt;&lt;/Group&gt;&lt;/Citation&gt;_x000a_"/>
    <w:docVar w:name="ne_docsoft" w:val="MSWord"/>
    <w:docVar w:name="ne_docversion" w:val="NoteExpress 2.0"/>
    <w:docVar w:name="ne_stylename" w:val="Frontiers in Public Health"/>
  </w:docVars>
  <w:rsids>
    <w:rsidRoot w:val="00172A27"/>
    <w:rsid w:val="03F1578E"/>
    <w:rsid w:val="0B2A73D9"/>
    <w:rsid w:val="19355AE9"/>
    <w:rsid w:val="295A2911"/>
    <w:rsid w:val="2C931228"/>
    <w:rsid w:val="2D355E3C"/>
    <w:rsid w:val="33E97A29"/>
    <w:rsid w:val="39300EA9"/>
    <w:rsid w:val="43CC70A2"/>
    <w:rsid w:val="48B87BF5"/>
    <w:rsid w:val="63497970"/>
    <w:rsid w:val="6EBBA415"/>
    <w:rsid w:val="705C5185"/>
    <w:rsid w:val="7EE940BD"/>
    <w:rsid w:val="7FB4A4F6"/>
    <w:rsid w:val="DD2F7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509</Words>
  <Characters>2703</Characters>
  <Lines>0</Lines>
  <Paragraphs>0</Paragraphs>
  <TotalTime>16</TotalTime>
  <ScaleCrop>false</ScaleCrop>
  <LinksUpToDate>false</LinksUpToDate>
  <CharactersWithSpaces>3185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2025-03-02T18:07:00Z</dcterms:created>
  <dc:creator>Yanria</dc:creator>
  <cp:lastModifiedBy>R～</cp:lastModifiedBy>
  <dcterms:modified xsi:type="dcterms:W3CDTF">2026-01-22T15:56:54Z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KSOTemplateDocerSaveRecord">
    <vt:lpwstr>eyJoZGlkIjoiMzEwNTM5NzYwMDRjMzkwZTVkZjY2ODkwMGIxNGU0OTUiLCJ1c2VySWQiOiIyMDIzNzg2ODYifQ==</vt:lpwstr>
  </property>
  <property fmtid="{D5CDD505-2E9C-101B-9397-08002B2CF9AE}" pid="4" name="ICV">
    <vt:lpwstr>D7F113B3602F4CC746D871699DA9DEB6_43</vt:lpwstr>
  </property>
</Properties>
</file>