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7D23F4"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84" w:afterAutospacing="0" w:line="252" w:lineRule="atLeast"/>
        <w:ind w:left="425" w:leftChars="0" w:right="0" w:hanging="425" w:firstLineChars="0"/>
        <w:rPr>
          <w:rFonts w:hint="default" w:ascii="Times New Roman" w:hAnsi="Times New Roman" w:eastAsia="sans-serif" w:cs="Times New Roman"/>
          <w:sz w:val="21"/>
          <w:szCs w:val="21"/>
        </w:rPr>
      </w:pP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2B2D31"/>
          <w:spacing w:val="0"/>
          <w:sz w:val="21"/>
          <w:szCs w:val="21"/>
          <w:shd w:val="clear" w:fill="FFFFFF"/>
        </w:rPr>
        <w:t>A universal multi-epitope mRNA vaccine candidate was designed targeting ten distinct mammarenaviruses.</w:t>
      </w:r>
    </w:p>
    <w:p w14:paraId="2039E693"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84" w:afterAutospacing="0" w:line="252" w:lineRule="atLeast"/>
        <w:ind w:left="425" w:leftChars="0" w:right="0" w:hanging="425" w:firstLineChars="0"/>
        <w:rPr>
          <w:rFonts w:hint="default" w:ascii="Times New Roman" w:hAnsi="Times New Roman" w:eastAsia="sans-serif" w:cs="Times New Roman"/>
          <w:sz w:val="21"/>
          <w:szCs w:val="21"/>
        </w:rPr>
      </w:pP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2B2D31"/>
          <w:spacing w:val="0"/>
          <w:sz w:val="21"/>
          <w:szCs w:val="21"/>
          <w:shd w:val="clear" w:fill="FFFFFF"/>
        </w:rPr>
        <w:t>Highly conserved B-cell and T-cell epitopes were identified using inverse vaccination and immunoinformatics.</w:t>
      </w:r>
    </w:p>
    <w:p w14:paraId="55DBD47C"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84" w:afterAutospacing="0" w:line="252" w:lineRule="atLeast"/>
        <w:ind w:left="425" w:leftChars="0" w:right="0" w:hanging="425" w:firstLineChars="0"/>
        <w:rPr>
          <w:rFonts w:hint="default" w:ascii="Times New Roman" w:hAnsi="Times New Roman" w:eastAsia="sans-serif" w:cs="Times New Roman"/>
          <w:sz w:val="21"/>
          <w:szCs w:val="21"/>
        </w:rPr>
      </w:pP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2B2D31"/>
          <w:spacing w:val="0"/>
          <w:sz w:val="21"/>
          <w:szCs w:val="21"/>
          <w:shd w:val="clear" w:fill="FFFFFF"/>
        </w:rPr>
        <w:t>The optimized vaccine construct incorporates the tPA signal peptide and PADRE adjuvant to enhance immunogenicity.</w:t>
      </w:r>
    </w:p>
    <w:p w14:paraId="21B6FDC7"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84" w:afterAutospacing="0" w:line="252" w:lineRule="atLeast"/>
        <w:ind w:left="425" w:leftChars="0" w:right="0" w:hanging="425" w:firstLineChars="0"/>
        <w:rPr>
          <w:rFonts w:hint="default" w:ascii="Times New Roman" w:hAnsi="Times New Roman" w:eastAsia="sans-serif" w:cs="Times New Roman"/>
          <w:sz w:val="21"/>
          <w:szCs w:val="21"/>
        </w:rPr>
      </w:pP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2B2D31"/>
          <w:spacing w:val="0"/>
          <w:sz w:val="21"/>
          <w:szCs w:val="21"/>
          <w:shd w:val="clear" w:fill="FFFFFF"/>
        </w:rPr>
        <w:t>Molecular docking and molecular dynamics simulations confirmed the vaccine's structural stability and receptor binding.</w:t>
      </w:r>
    </w:p>
    <w:p w14:paraId="30187007"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84" w:afterAutospacing="0" w:line="252" w:lineRule="atLeast"/>
        <w:ind w:left="425" w:leftChars="0" w:right="0" w:hanging="425" w:firstLineChars="0"/>
        <w:rPr>
          <w:rFonts w:hint="default" w:ascii="Times New Roman" w:hAnsi="Times New Roman" w:eastAsia="sans-serif" w:cs="Times New Roman"/>
          <w:sz w:val="21"/>
          <w:szCs w:val="21"/>
        </w:rPr>
      </w:pP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2B2D31"/>
          <w:spacing w:val="0"/>
          <w:sz w:val="21"/>
          <w:szCs w:val="21"/>
          <w:shd w:val="clear" w:fill="FFFFFF"/>
        </w:rPr>
        <w:t>In silico immunosimulation demonstrated the elicitation of robust, sustained, and comprehensive immune responses.</w:t>
      </w:r>
    </w:p>
    <w:p w14:paraId="75592381">
      <w:pPr>
        <w:keepNext w:val="0"/>
        <w:keepLines w:val="0"/>
        <w:widowControl/>
        <w:numPr>
          <w:numId w:val="0"/>
        </w:numPr>
        <w:suppressLineNumbers w:val="0"/>
        <w:spacing w:before="0" w:beforeAutospacing="1" w:after="0" w:afterAutospacing="1" w:line="252" w:lineRule="atLeast"/>
        <w:ind w:left="1920" w:leftChars="0"/>
        <w:rPr>
          <w:rFonts w:hint="default" w:ascii="Times New Roman" w:hAnsi="Times New Roman" w:eastAsia="sans-serif" w:cs="Times New Roman"/>
          <w:sz w:val="16"/>
          <w:szCs w:val="16"/>
        </w:rPr>
      </w:pPr>
      <w:bookmarkStart w:id="0" w:name="_GoBack"/>
      <w:bookmarkEnd w:id="0"/>
    </w:p>
    <w:p w14:paraId="1775BA38"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66F3FA"/>
    <w:multiLevelType w:val="singleLevel"/>
    <w:tmpl w:val="F766F3F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1F24DB"/>
    <w:rsid w:val="0D6D6245"/>
    <w:rsid w:val="26A77A69"/>
    <w:rsid w:val="34CA6087"/>
    <w:rsid w:val="36276DB7"/>
    <w:rsid w:val="381A72E4"/>
    <w:rsid w:val="436F356B"/>
    <w:rsid w:val="500478D6"/>
    <w:rsid w:val="50406D18"/>
    <w:rsid w:val="59C23760"/>
    <w:rsid w:val="782C3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wordWrap w:val="0"/>
      <w:spacing w:line="360" w:lineRule="auto"/>
      <w:ind w:firstLine="1040" w:firstLineChars="200"/>
      <w:jc w:val="left"/>
    </w:pPr>
    <w:rPr>
      <w:rFonts w:ascii="Times New Roman" w:hAnsi="Times New Roman" w:eastAsia="宋体" w:cstheme="minorBidi"/>
      <w:sz w:val="24"/>
      <w:szCs w:val="22"/>
    </w:rPr>
  </w:style>
  <w:style w:type="paragraph" w:styleId="2">
    <w:name w:val="heading 1"/>
    <w:basedOn w:val="1"/>
    <w:qFormat/>
    <w:uiPriority w:val="0"/>
    <w:pPr>
      <w:keepNext/>
      <w:keepLines/>
      <w:spacing w:before="340" w:after="330" w:line="579" w:lineRule="auto"/>
      <w:jc w:val="center"/>
      <w:outlineLvl w:val="0"/>
    </w:pPr>
    <w:rPr>
      <w:rFonts w:ascii="Arial" w:hAnsi="Arial" w:eastAsia="黑体" w:cs="Arial"/>
      <w:b/>
      <w:bCs/>
      <w:snapToGrid w:val="0"/>
      <w:color w:val="000000"/>
      <w:kern w:val="44"/>
      <w:sz w:val="44"/>
      <w:szCs w:val="44"/>
      <w:lang w:val="en-US" w:eastAsia="en-US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 w:cs="Arial"/>
      <w:b/>
      <w:snapToGrid w:val="0"/>
      <w:color w:val="000000"/>
      <w:sz w:val="32"/>
      <w:szCs w:val="21"/>
      <w:lang w:val="en-US" w:eastAsia="en-US" w:bidi="ar-SA"/>
    </w:rPr>
  </w:style>
  <w:style w:type="paragraph" w:styleId="4">
    <w:name w:val="heading 3"/>
    <w:basedOn w:val="1"/>
    <w:next w:val="1"/>
    <w:link w:val="8"/>
    <w:semiHidden/>
    <w:unhideWhenUsed/>
    <w:qFormat/>
    <w:uiPriority w:val="0"/>
    <w:pPr>
      <w:keepNext/>
      <w:keepLines/>
      <w:spacing w:before="120" w:after="120" w:line="360" w:lineRule="auto"/>
      <w:outlineLvl w:val="2"/>
    </w:pPr>
    <w:rPr>
      <w:rFonts w:ascii="Times New Roman" w:hAnsi="Times New Roman" w:eastAsia="宋体" w:cs="Times New Roman"/>
      <w:b/>
      <w:bCs/>
      <w:snapToGrid w:val="0"/>
      <w:color w:val="000000"/>
      <w:sz w:val="28"/>
      <w:szCs w:val="28"/>
      <w:lang w:val="en-US" w:eastAsia="en-US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rPr>
      <w:sz w:val="24"/>
    </w:rPr>
  </w:style>
  <w:style w:type="character" w:customStyle="1" w:styleId="8">
    <w:name w:val="标题 3 字符"/>
    <w:link w:val="4"/>
    <w:uiPriority w:val="9"/>
    <w:rPr>
      <w:rFonts w:ascii="等线" w:hAnsi="等线" w:eastAsia="宋体"/>
      <w:b/>
      <w:bCs/>
      <w:snapToGrid w:val="0"/>
      <w:color w:val="000000"/>
      <w:kern w:val="2"/>
      <w:sz w:val="24"/>
      <w:szCs w:val="3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877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2025-07-25T07:58:00Z</dcterms:created>
  <dc:creator>zdp848570848</dc:creator>
  <cp:lastModifiedBy>ZD</cp:lastModifiedBy>
  <dcterms:modified xsi:type="dcterms:W3CDTF">2026-02-19T14:54:08Z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D4503220CC4343F0AEC9E4A2B53648C7_12</vt:lpwstr>
  </property>
  <property fmtid="{D5CDD505-2E9C-101B-9397-08002B2CF9AE}" pid="4" name="KSOTemplateDocerSaveRecord">
    <vt:lpwstr>eyJoZGlkIjoiZWUwYWIzY2VmNTZlYjQzNTJjNDdhNjhmMzBiODg5MWMiLCJ1c2VySWQiOiI1MTg4MzIxMjMifQ==</vt:lpwstr>
  </property>
</Properties>
</file>