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914E1E" w14:textId="5ECB84F3" w:rsidR="00702179" w:rsidRDefault="00B44759">
      <w:pPr>
        <w:rPr>
          <w:lang w:val="en-US"/>
        </w:rPr>
      </w:pPr>
      <w:r>
        <w:rPr>
          <w:lang w:val="en-US"/>
        </w:rPr>
        <w:t>Supporting information</w:t>
      </w:r>
    </w:p>
    <w:p w14:paraId="40B84F7F" w14:textId="79CE8038" w:rsidR="00B44759" w:rsidRDefault="00B44759">
      <w:pPr>
        <w:rPr>
          <w:lang w:val="en-US"/>
        </w:rPr>
      </w:pPr>
    </w:p>
    <w:p w14:paraId="62889142" w14:textId="709D33D8" w:rsidR="00B44759" w:rsidRPr="00211A64" w:rsidRDefault="00A43BC9" w:rsidP="00B44759">
      <w:pPr>
        <w:spacing w:line="360" w:lineRule="auto"/>
        <w:jc w:val="center"/>
        <w:rPr>
          <w:rFonts w:cstheme="minorHAnsi"/>
          <w:b/>
          <w:bCs/>
          <w:sz w:val="28"/>
          <w:szCs w:val="28"/>
        </w:rPr>
      </w:pPr>
      <w:bookmarkStart w:id="0" w:name="_Hlk74222849"/>
      <w:bookmarkEnd w:id="0"/>
      <w:r w:rsidRPr="00435020">
        <w:rPr>
          <w:sz w:val="28"/>
          <w:szCs w:val="28"/>
        </w:rPr>
        <w:t>Self-aligned double injection-function contact mitigating short channel effects in sub-micron channels of solution processed indium gallium zinc oxide</w:t>
      </w:r>
    </w:p>
    <w:p w14:paraId="2C397B74" w14:textId="77777777" w:rsidR="00B44759" w:rsidRPr="008E1FD2" w:rsidRDefault="00B44759" w:rsidP="00B44759">
      <w:pPr>
        <w:spacing w:after="200" w:line="360" w:lineRule="auto"/>
        <w:jc w:val="center"/>
        <w:rPr>
          <w:rFonts w:eastAsia="Calibri" w:cstheme="minorHAnsi"/>
          <w:rtl/>
        </w:rPr>
      </w:pPr>
      <w:r w:rsidRPr="008E1FD2">
        <w:rPr>
          <w:rFonts w:eastAsia="Calibri" w:cstheme="minorHAnsi"/>
        </w:rPr>
        <w:t>Gil Sheleg and Nir Tessler*</w:t>
      </w:r>
    </w:p>
    <w:p w14:paraId="3441C8E3" w14:textId="77777777" w:rsidR="00B44759" w:rsidRPr="008E1FD2" w:rsidRDefault="00B44759" w:rsidP="00B44759">
      <w:pPr>
        <w:spacing w:after="200" w:line="360" w:lineRule="auto"/>
        <w:rPr>
          <w:rFonts w:eastAsia="Calibri" w:cstheme="minorHAnsi"/>
        </w:rPr>
      </w:pPr>
      <w:r w:rsidRPr="008E1FD2">
        <w:rPr>
          <w:rFonts w:eastAsia="Calibri" w:cstheme="minorHAnsi"/>
        </w:rPr>
        <w:t>Sara and Moshe Zisapel Nano-Electronic Center, Department of Electrical Engineering, Technion - Israel Institute of Technology, Haifa 32000, Israel.</w:t>
      </w:r>
    </w:p>
    <w:p w14:paraId="3D212520" w14:textId="4ECDCFB7" w:rsidR="001E55F9" w:rsidRDefault="001E55F9" w:rsidP="001E55F9">
      <w:pPr>
        <w:spacing w:line="360" w:lineRule="auto"/>
        <w:rPr>
          <w:lang w:val="en-US"/>
        </w:rPr>
      </w:pPr>
    </w:p>
    <w:p w14:paraId="48A68276" w14:textId="545D6A51" w:rsidR="00750705" w:rsidRPr="00750705" w:rsidRDefault="00750705" w:rsidP="001E55F9">
      <w:pPr>
        <w:spacing w:line="360" w:lineRule="auto"/>
        <w:rPr>
          <w:b/>
          <w:bCs/>
          <w:u w:val="single"/>
          <w:lang w:val="en-US"/>
        </w:rPr>
      </w:pPr>
      <w:r w:rsidRPr="00750705">
        <w:rPr>
          <w:b/>
          <w:bCs/>
          <w:u w:val="single"/>
          <w:lang w:val="en-US"/>
        </w:rPr>
        <w:t>Double dope function TFT</w:t>
      </w:r>
    </w:p>
    <w:p w14:paraId="1EC4753A" w14:textId="1FD97E68" w:rsidR="00750705" w:rsidRDefault="00750705" w:rsidP="001E55F9">
      <w:pPr>
        <w:spacing w:line="360" w:lineRule="auto"/>
        <w:rPr>
          <w:lang w:val="en-US"/>
        </w:rPr>
      </w:pPr>
      <w:r>
        <w:rPr>
          <w:lang w:val="en-US"/>
        </w:rPr>
        <w:t>In the main text, Figure 7 and Figure 8, we demonstrated the effect of creating a source electrode that is made of two self-aligned metals having two different injection barriers. Another method to produce differential injection such that only the part facing the drain is injection-limited is through lithography patterned doping.</w:t>
      </w:r>
      <w:r w:rsidR="00A32291">
        <w:rPr>
          <w:lang w:val="en-US"/>
        </w:rPr>
        <w:t xml:space="preserve"> In this method the metal contact is of Schottky </w:t>
      </w:r>
      <w:proofErr w:type="gramStart"/>
      <w:r w:rsidR="00A32291">
        <w:rPr>
          <w:lang w:val="en-US"/>
        </w:rPr>
        <w:t>type</w:t>
      </w:r>
      <w:proofErr w:type="gramEnd"/>
      <w:r w:rsidR="00A32291">
        <w:rPr>
          <w:lang w:val="en-US"/>
        </w:rPr>
        <w:t xml:space="preserve"> and the channel material is highly doped under the source electrode but not close to the channel (see </w:t>
      </w:r>
      <w:r w:rsidR="00A32291">
        <w:rPr>
          <w:lang w:val="en-US"/>
        </w:rPr>
        <w:fldChar w:fldCharType="begin"/>
      </w:r>
      <w:r w:rsidR="00A32291">
        <w:rPr>
          <w:lang w:val="en-US"/>
        </w:rPr>
        <w:instrText xml:space="preserve"> REF _Ref82096480 </w:instrText>
      </w:r>
      <w:r w:rsidR="00A32291">
        <w:rPr>
          <w:lang w:val="en-US"/>
        </w:rPr>
        <w:fldChar w:fldCharType="separate"/>
      </w:r>
      <w:r w:rsidR="00AE1587">
        <w:t xml:space="preserve">Figure </w:t>
      </w:r>
      <w:r w:rsidR="00AE1587">
        <w:rPr>
          <w:noProof/>
        </w:rPr>
        <w:t>1</w:t>
      </w:r>
      <w:r w:rsidR="00A32291">
        <w:rPr>
          <w:lang w:val="en-US"/>
        </w:rPr>
        <w:fldChar w:fldCharType="end"/>
      </w:r>
      <w:r w:rsidR="00A32291">
        <w:rPr>
          <w:lang w:val="en-US"/>
        </w:rPr>
        <w:t xml:space="preserve">Sa). The mechanisms by which doping turns a Schottky contact into an effectively ohmic is known and is reproduced in </w:t>
      </w:r>
      <w:r w:rsidR="00A32291">
        <w:rPr>
          <w:lang w:val="en-US"/>
        </w:rPr>
        <w:fldChar w:fldCharType="begin"/>
      </w:r>
      <w:r w:rsidR="00A32291">
        <w:rPr>
          <w:lang w:val="en-US"/>
        </w:rPr>
        <w:instrText xml:space="preserve"> REF _Ref82096480 </w:instrText>
      </w:r>
      <w:r w:rsidR="00A32291">
        <w:rPr>
          <w:lang w:val="en-US"/>
        </w:rPr>
        <w:fldChar w:fldCharType="separate"/>
      </w:r>
      <w:r w:rsidR="00AE1587">
        <w:t xml:space="preserve">Figure </w:t>
      </w:r>
      <w:r w:rsidR="00AE1587">
        <w:rPr>
          <w:noProof/>
        </w:rPr>
        <w:t>1</w:t>
      </w:r>
      <w:r w:rsidR="00A32291">
        <w:rPr>
          <w:lang w:val="en-US"/>
        </w:rPr>
        <w:fldChar w:fldCharType="end"/>
      </w:r>
      <w:r w:rsidR="00A32291">
        <w:rPr>
          <w:lang w:val="en-US"/>
        </w:rPr>
        <w:t>Sb.</w:t>
      </w:r>
      <w:r w:rsidR="00A32291">
        <w:rPr>
          <w:lang w:val="en-US"/>
        </w:rPr>
        <w:fldChar w:fldCharType="begin"/>
      </w:r>
      <w:r w:rsidR="00A32291">
        <w:rPr>
          <w:lang w:val="en-US"/>
        </w:rPr>
        <w:instrText xml:space="preserve"> ADDIN EN.CITE &lt;EndNote&gt;&lt;Cite&gt;&lt;Author&gt;Sze&lt;/Author&gt;&lt;Year&gt;1981&lt;/Year&gt;&lt;RecNum&gt;536&lt;/RecNum&gt;&lt;DisplayText&gt;&lt;style face="superscript"&gt;1&lt;/style&gt;&lt;/DisplayText&gt;&lt;record&gt;&lt;rec-number&gt;536&lt;/rec-number&gt;&lt;foreign-keys&gt;&lt;key app="EN" db-id="dwe5w55xit2we6etsv25xwagpf0ap209zzt9" timestamp="1594539315"&gt;536&lt;/key&gt;&lt;/foreign-keys&gt;&lt;ref-type name="Book"&gt;6&lt;/ref-type&gt;&lt;contributors&gt;&lt;authors&gt;&lt;author&gt;Sze, S.M.&lt;/author&gt;&lt;/authors&gt;&lt;/contributors&gt;&lt;titles&gt;&lt;title&gt;Physics of Semiconductor Devices&lt;/title&gt;&lt;/titles&gt;&lt;dates&gt;&lt;year&gt;1981&lt;/year&gt;&lt;/dates&gt;&lt;pub-location&gt;New York&lt;/pub-location&gt;&lt;publisher&gt;Wiley&lt;/publisher&gt;&lt;urls&gt;&lt;/urls&gt;&lt;/record&gt;&lt;/Cite&gt;&lt;/EndNote&gt;</w:instrText>
      </w:r>
      <w:r w:rsidR="00A32291">
        <w:rPr>
          <w:lang w:val="en-US"/>
        </w:rPr>
        <w:fldChar w:fldCharType="separate"/>
      </w:r>
      <w:r w:rsidR="00A32291" w:rsidRPr="00A32291">
        <w:rPr>
          <w:noProof/>
          <w:vertAlign w:val="superscript"/>
          <w:lang w:val="en-US"/>
        </w:rPr>
        <w:t>1</w:t>
      </w:r>
      <w:r w:rsidR="00A32291">
        <w:rPr>
          <w:lang w:val="en-US"/>
        </w:rPr>
        <w:fldChar w:fldCharType="end"/>
      </w:r>
    </w:p>
    <w:p w14:paraId="7D009E0C" w14:textId="77777777" w:rsidR="00A32291" w:rsidRDefault="00737FB2" w:rsidP="00A32291">
      <w:pPr>
        <w:keepNext/>
        <w:spacing w:line="360" w:lineRule="auto"/>
      </w:pPr>
      <w:r w:rsidRPr="00737FB2">
        <w:rPr>
          <w:noProof/>
        </w:rPr>
        <w:drawing>
          <wp:inline distT="0" distB="0" distL="0" distR="0" wp14:anchorId="04DA5EC1" wp14:editId="25378032">
            <wp:extent cx="5943600" cy="2343785"/>
            <wp:effectExtent l="0" t="0" r="0" b="571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5943600" cy="2343785"/>
                    </a:xfrm>
                    <a:prstGeom prst="rect">
                      <a:avLst/>
                    </a:prstGeom>
                  </pic:spPr>
                </pic:pic>
              </a:graphicData>
            </a:graphic>
          </wp:inline>
        </w:drawing>
      </w:r>
    </w:p>
    <w:p w14:paraId="145C977F" w14:textId="45B5B52F" w:rsidR="00180322" w:rsidRDefault="00A32291" w:rsidP="00A32291">
      <w:pPr>
        <w:pStyle w:val="Caption"/>
        <w:jc w:val="left"/>
      </w:pPr>
      <w:bookmarkStart w:id="1" w:name="_Ref82096480"/>
      <w:r>
        <w:t xml:space="preserve">Figure </w:t>
      </w:r>
      <w:r>
        <w:fldChar w:fldCharType="begin"/>
      </w:r>
      <w:r>
        <w:instrText xml:space="preserve"> SEQ Figure \* ARABIC </w:instrText>
      </w:r>
      <w:r>
        <w:fldChar w:fldCharType="separate"/>
      </w:r>
      <w:r w:rsidR="00AE1587">
        <w:rPr>
          <w:noProof/>
        </w:rPr>
        <w:t>1</w:t>
      </w:r>
      <w:r>
        <w:fldChar w:fldCharType="end"/>
      </w:r>
      <w:bookmarkEnd w:id="1"/>
      <w:r>
        <w:t>S. a) Schematic description of the double doped function source electrode. b) Schematic description of Schottky (top) and ohmic-tunneling (bottom) contacts.</w:t>
      </w:r>
    </w:p>
    <w:p w14:paraId="180B24A0" w14:textId="1029823B" w:rsidR="00A32291" w:rsidRPr="00A32291" w:rsidRDefault="00A32291" w:rsidP="00B70DA4">
      <w:pPr>
        <w:spacing w:line="360" w:lineRule="auto"/>
        <w:rPr>
          <w:lang w:val="en-US"/>
        </w:rPr>
      </w:pPr>
      <w:r>
        <w:rPr>
          <w:lang w:val="en-US"/>
        </w:rPr>
        <w:t xml:space="preserve">In </w:t>
      </w:r>
      <w:r>
        <w:rPr>
          <w:lang w:val="en-US"/>
        </w:rPr>
        <w:fldChar w:fldCharType="begin"/>
      </w:r>
      <w:r>
        <w:rPr>
          <w:lang w:val="en-US"/>
        </w:rPr>
        <w:instrText xml:space="preserve"> REF _Ref82096788 </w:instrText>
      </w:r>
      <w:r>
        <w:rPr>
          <w:lang w:val="en-US"/>
        </w:rPr>
        <w:fldChar w:fldCharType="separate"/>
      </w:r>
      <w:r w:rsidR="00AE1587">
        <w:t xml:space="preserve">Figure </w:t>
      </w:r>
      <w:r w:rsidR="00AE1587">
        <w:rPr>
          <w:noProof/>
        </w:rPr>
        <w:t>2</w:t>
      </w:r>
      <w:r>
        <w:rPr>
          <w:lang w:val="en-US"/>
        </w:rPr>
        <w:fldChar w:fldCharType="end"/>
      </w:r>
      <w:r>
        <w:rPr>
          <w:lang w:val="en-US"/>
        </w:rPr>
        <w:t xml:space="preserve">S we reproduce the data of Figure 8 and add simulation results for a structure having double doped function (DDF) source electrode. As </w:t>
      </w:r>
      <w:r>
        <w:rPr>
          <w:lang w:val="en-US"/>
        </w:rPr>
        <w:fldChar w:fldCharType="begin"/>
      </w:r>
      <w:r>
        <w:rPr>
          <w:lang w:val="en-US"/>
        </w:rPr>
        <w:instrText xml:space="preserve"> REF _Ref82096788 </w:instrText>
      </w:r>
      <w:r>
        <w:rPr>
          <w:lang w:val="en-US"/>
        </w:rPr>
        <w:fldChar w:fldCharType="separate"/>
      </w:r>
      <w:r w:rsidR="00AE1587">
        <w:t xml:space="preserve">Figure </w:t>
      </w:r>
      <w:r w:rsidR="00AE1587">
        <w:rPr>
          <w:noProof/>
        </w:rPr>
        <w:t>2</w:t>
      </w:r>
      <w:r>
        <w:rPr>
          <w:lang w:val="en-US"/>
        </w:rPr>
        <w:fldChar w:fldCharType="end"/>
      </w:r>
      <w:r>
        <w:rPr>
          <w:lang w:val="en-US"/>
        </w:rPr>
        <w:t>Sc shows, this method is also a viable one and seems to be as good as the double work function (DWF) architecture.</w:t>
      </w:r>
    </w:p>
    <w:p w14:paraId="6D2749F0" w14:textId="77777777" w:rsidR="00750705" w:rsidRDefault="00750705" w:rsidP="00750705">
      <w:pPr>
        <w:keepNext/>
        <w:spacing w:line="360" w:lineRule="auto"/>
      </w:pPr>
      <w:r w:rsidRPr="00750705">
        <w:rPr>
          <w:noProof/>
        </w:rPr>
        <w:lastRenderedPageBreak/>
        <w:drawing>
          <wp:inline distT="0" distB="0" distL="0" distR="0" wp14:anchorId="367F8C21" wp14:editId="7431F644">
            <wp:extent cx="5115140" cy="3085479"/>
            <wp:effectExtent l="0" t="0" r="3175"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138646" cy="3099658"/>
                    </a:xfrm>
                    <a:prstGeom prst="rect">
                      <a:avLst/>
                    </a:prstGeom>
                  </pic:spPr>
                </pic:pic>
              </a:graphicData>
            </a:graphic>
          </wp:inline>
        </w:drawing>
      </w:r>
    </w:p>
    <w:p w14:paraId="701F2AA3" w14:textId="6799330B" w:rsidR="00750705" w:rsidRDefault="00750705" w:rsidP="00750705">
      <w:pPr>
        <w:pStyle w:val="Caption"/>
        <w:jc w:val="left"/>
      </w:pPr>
      <w:bookmarkStart w:id="2" w:name="_Ref82096788"/>
      <w:r>
        <w:t xml:space="preserve">Figure </w:t>
      </w:r>
      <w:r>
        <w:fldChar w:fldCharType="begin"/>
      </w:r>
      <w:r>
        <w:instrText xml:space="preserve"> SEQ Figure \* ARABIC </w:instrText>
      </w:r>
      <w:r>
        <w:fldChar w:fldCharType="separate"/>
      </w:r>
      <w:r w:rsidR="00AE1587">
        <w:rPr>
          <w:noProof/>
        </w:rPr>
        <w:t>2</w:t>
      </w:r>
      <w:r>
        <w:fldChar w:fldCharType="end"/>
      </w:r>
      <w:bookmarkEnd w:id="2"/>
      <w:r>
        <w:t>S. Output characteristics of (a), (d) single work function (SWF</w:t>
      </w:r>
      <w:proofErr w:type="gramStart"/>
      <w:r>
        <w:t>);  (</w:t>
      </w:r>
      <w:proofErr w:type="gramEnd"/>
      <w:r>
        <w:t>b), (e) double work function (DWF); and (c), (f) double dope function (DDF) TFTs. The Schottky barrier height used is 0.75eV (a), (b), (c) and 1.05eV (d), (e), (f). The full, dash-dotted, and dashed lines represent TFTs having channel length of 1000nm, 500nm, and 200nm, respectively. The current is normalized to the channel’s width.</w:t>
      </w:r>
    </w:p>
    <w:p w14:paraId="64C81FED" w14:textId="2D49BEE8" w:rsidR="00750705" w:rsidRDefault="00750705" w:rsidP="001E55F9">
      <w:pPr>
        <w:spacing w:line="360" w:lineRule="auto"/>
        <w:rPr>
          <w:lang w:val="en-US"/>
        </w:rPr>
      </w:pPr>
    </w:p>
    <w:p w14:paraId="012D9703" w14:textId="75EA2B5F" w:rsidR="00AE1587" w:rsidRPr="00AE1587" w:rsidRDefault="00AE1587" w:rsidP="001E55F9">
      <w:pPr>
        <w:spacing w:line="360" w:lineRule="auto"/>
        <w:rPr>
          <w:b/>
          <w:bCs/>
          <w:u w:val="single"/>
          <w:lang w:val="en-US"/>
        </w:rPr>
      </w:pPr>
      <w:r w:rsidRPr="00AE1587">
        <w:rPr>
          <w:b/>
          <w:bCs/>
          <w:u w:val="single"/>
          <w:lang w:val="en-US"/>
        </w:rPr>
        <w:t>First attempts at making the DWF structure</w:t>
      </w:r>
    </w:p>
    <w:p w14:paraId="52C04715" w14:textId="1D384D73" w:rsidR="001E55F9" w:rsidRPr="001E55F9" w:rsidRDefault="001E55F9" w:rsidP="001E55F9">
      <w:pPr>
        <w:spacing w:line="360" w:lineRule="auto"/>
        <w:rPr>
          <w:rFonts w:cstheme="minorHAnsi"/>
        </w:rPr>
      </w:pPr>
      <w:r>
        <w:rPr>
          <w:lang w:val="en-US"/>
        </w:rPr>
        <w:t>A transistor with a</w:t>
      </w:r>
      <w:r w:rsidRPr="00F7737C">
        <w:t xml:space="preserve"> combination of</w:t>
      </w:r>
      <w:r w:rsidRPr="00611D5E">
        <w:t xml:space="preserve"> Platinum on Molybdenum source metal was fabricated in the proposed </w:t>
      </w:r>
      <w:r w:rsidRPr="00577655">
        <w:t>configuration (</w:t>
      </w:r>
      <w:r>
        <w:rPr>
          <w:rFonts w:cstheme="minorHAnsi"/>
          <w:lang w:val="en-US"/>
        </w:rPr>
        <w:t>Figure 11 in main text</w:t>
      </w:r>
      <w:r w:rsidRPr="00577655">
        <w:t>) with</w:t>
      </w:r>
      <w:r w:rsidRPr="008E1FD2">
        <w:t xml:space="preserve"> the same IGZO solution thickness and atom ratio.</w:t>
      </w:r>
      <w:r>
        <w:rPr>
          <w:rFonts w:cstheme="minorHAnsi"/>
          <w:lang w:val="en-US"/>
        </w:rPr>
        <w:t xml:space="preserve"> </w:t>
      </w:r>
      <w:r w:rsidRPr="008E1FD2">
        <w:fldChar w:fldCharType="begin"/>
      </w:r>
      <w:r w:rsidRPr="008E1FD2">
        <w:instrText xml:space="preserve"> REF _Ref75181462 \h  \* MERGEFORMAT </w:instrText>
      </w:r>
      <w:r w:rsidRPr="008E1FD2">
        <w:fldChar w:fldCharType="separate"/>
      </w:r>
      <w:r w:rsidR="00AE1587" w:rsidRPr="008E1FD2">
        <w:t xml:space="preserve">Figure </w:t>
      </w:r>
      <w:r w:rsidR="00AE1587">
        <w:t>3</w:t>
      </w:r>
      <w:r w:rsidRPr="008E1FD2">
        <w:fldChar w:fldCharType="end"/>
      </w:r>
      <w:r w:rsidR="00AE1587">
        <w:rPr>
          <w:lang w:val="en-US"/>
        </w:rPr>
        <w:t>S</w:t>
      </w:r>
      <w:r w:rsidRPr="008E1FD2">
        <w:t xml:space="preserve"> shows the characteristics of the device.</w:t>
      </w:r>
    </w:p>
    <w:p w14:paraId="3573CFCA" w14:textId="77777777" w:rsidR="001E55F9" w:rsidRPr="008E1FD2" w:rsidRDefault="001E55F9" w:rsidP="00AE1587">
      <w:pPr>
        <w:keepNext/>
        <w:spacing w:line="360" w:lineRule="auto"/>
        <w:jc w:val="center"/>
      </w:pPr>
      <w:r w:rsidRPr="00BB7957">
        <w:rPr>
          <w:noProof/>
        </w:rPr>
        <w:drawing>
          <wp:inline distT="0" distB="0" distL="0" distR="0" wp14:anchorId="42B02E57" wp14:editId="4FE74298">
            <wp:extent cx="4613251" cy="2435481"/>
            <wp:effectExtent l="0" t="0" r="0" b="317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4618554" cy="2438280"/>
                    </a:xfrm>
                    <a:prstGeom prst="rect">
                      <a:avLst/>
                    </a:prstGeom>
                  </pic:spPr>
                </pic:pic>
              </a:graphicData>
            </a:graphic>
          </wp:inline>
        </w:drawing>
      </w:r>
    </w:p>
    <w:p w14:paraId="36F74616" w14:textId="78C51663" w:rsidR="001E55F9" w:rsidRPr="008928A2" w:rsidRDefault="001E55F9" w:rsidP="001E55F9">
      <w:pPr>
        <w:pStyle w:val="Caption"/>
      </w:pPr>
      <w:bookmarkStart w:id="3" w:name="_Ref75181462"/>
      <w:r w:rsidRPr="008E1FD2">
        <w:t xml:space="preserve">Figure </w:t>
      </w:r>
      <w:r>
        <w:fldChar w:fldCharType="begin"/>
      </w:r>
      <w:r>
        <w:instrText xml:space="preserve"> SEQ Figure \* ARABIC </w:instrText>
      </w:r>
      <w:r>
        <w:fldChar w:fldCharType="separate"/>
      </w:r>
      <w:r w:rsidR="00AE1587">
        <w:rPr>
          <w:noProof/>
        </w:rPr>
        <w:t>3</w:t>
      </w:r>
      <w:r>
        <w:rPr>
          <w:noProof/>
        </w:rPr>
        <w:fldChar w:fldCharType="end"/>
      </w:r>
      <w:bookmarkEnd w:id="3"/>
      <w:r>
        <w:rPr>
          <w:noProof/>
        </w:rPr>
        <w:t>S</w:t>
      </w:r>
      <w:r w:rsidRPr="008E1FD2">
        <w:t xml:space="preserve"> (a) transfer and (b) output characteristics of the Mo/Pt source contact. The IGZO </w:t>
      </w:r>
      <w:r w:rsidRPr="003B218B">
        <w:t xml:space="preserve">layer is made from a </w:t>
      </w:r>
      <w:r w:rsidRPr="007738E0">
        <w:t>15 nm 70:15:15 atom in the sol-gel solution.</w:t>
      </w:r>
    </w:p>
    <w:p w14:paraId="7EF041A6" w14:textId="0F072BE2" w:rsidR="00A32291" w:rsidRDefault="001E55F9" w:rsidP="00B70DA4">
      <w:pPr>
        <w:spacing w:line="360" w:lineRule="auto"/>
        <w:rPr>
          <w:lang w:val="en-US"/>
        </w:rPr>
      </w:pPr>
      <w:r w:rsidRPr="008E1FD2">
        <w:lastRenderedPageBreak/>
        <w:fldChar w:fldCharType="begin"/>
      </w:r>
      <w:r w:rsidRPr="008E1FD2">
        <w:instrText xml:space="preserve"> REF _Ref75181462 \h  \* MERGEFORMAT </w:instrText>
      </w:r>
      <w:r w:rsidRPr="008E1FD2">
        <w:fldChar w:fldCharType="separate"/>
      </w:r>
      <w:r w:rsidR="00AE1587" w:rsidRPr="008E1FD2">
        <w:t xml:space="preserve">Figure </w:t>
      </w:r>
      <w:r w:rsidR="00AE1587">
        <w:t>3</w:t>
      </w:r>
      <w:r w:rsidRPr="008E1FD2">
        <w:fldChar w:fldCharType="end"/>
      </w:r>
      <w:r w:rsidR="00AE1587">
        <w:rPr>
          <w:lang w:val="en-US"/>
        </w:rPr>
        <w:t>S</w:t>
      </w:r>
      <w:r>
        <w:t xml:space="preserve">a shows some (not much) improvement in the subthreshold slope, while </w:t>
      </w:r>
      <w:r w:rsidR="00A43BC9">
        <w:fldChar w:fldCharType="begin"/>
      </w:r>
      <w:r w:rsidR="00A43BC9">
        <w:instrText xml:space="preserve"> REF _Ref75181462 </w:instrText>
      </w:r>
      <w:r w:rsidR="00A43BC9">
        <w:fldChar w:fldCharType="separate"/>
      </w:r>
      <w:r w:rsidR="00AE1587" w:rsidRPr="008E1FD2">
        <w:t xml:space="preserve">Figure </w:t>
      </w:r>
      <w:r w:rsidR="00AE1587">
        <w:rPr>
          <w:noProof/>
        </w:rPr>
        <w:t>3</w:t>
      </w:r>
      <w:r w:rsidR="00A43BC9">
        <w:rPr>
          <w:noProof/>
        </w:rPr>
        <w:fldChar w:fldCharType="end"/>
      </w:r>
      <w:r w:rsidR="00AE1587">
        <w:rPr>
          <w:lang w:val="en-US"/>
        </w:rPr>
        <w:t>S</w:t>
      </w:r>
      <w:r>
        <w:t>b shows a very pronounced Schottky effect as if the platinum electrode completely blocks the injection from the ohmic contact. However</w:t>
      </w:r>
      <w:r w:rsidRPr="008E1FD2">
        <w:t>,</w:t>
      </w:r>
      <w:r>
        <w:t xml:space="preserve"> despite the pronounced Schottky effect, the maximum currents are higher than those of the ohmic contact transistor </w:t>
      </w:r>
      <w:r w:rsidRPr="002228DC">
        <w:t xml:space="preserve">(see </w:t>
      </w:r>
      <w:r>
        <w:rPr>
          <w:lang w:val="en-US"/>
        </w:rPr>
        <w:t>Figure 12</w:t>
      </w:r>
      <w:r w:rsidRPr="002228DC">
        <w:t>a and b</w:t>
      </w:r>
      <w:r>
        <w:rPr>
          <w:lang w:val="en-US"/>
        </w:rPr>
        <w:t xml:space="preserve"> in the main text</w:t>
      </w:r>
      <w:r w:rsidRPr="002228DC">
        <w:t>)</w:t>
      </w:r>
      <w:r>
        <w:t>.</w:t>
      </w:r>
      <w:r w:rsidRPr="008E1FD2">
        <w:t xml:space="preserve"> </w:t>
      </w:r>
      <w:r>
        <w:t>After detailed analysis using experiments and simulations, we concluded that when we deposit on the</w:t>
      </w:r>
      <w:r w:rsidRPr="008E1FD2">
        <w:t xml:space="preserve"> </w:t>
      </w:r>
      <w:r>
        <w:t>IGZO 4 different materials (molybdenum, platinum, alumina, and silver), we lose our ability to control the oxygen vacancies concentration in the IGZO film. As the entire approach of double work function source electrode relies on controlling the depletion under the electrode, not controlling the vacancies (doping) makes it hopeless.</w:t>
      </w:r>
      <w:r w:rsidR="00AE1587">
        <w:rPr>
          <w:lang w:val="en-US"/>
        </w:rPr>
        <w:t xml:space="preserve"> </w:t>
      </w:r>
      <w:proofErr w:type="gramStart"/>
      <w:r w:rsidR="00AE1587">
        <w:rPr>
          <w:lang w:val="en-US"/>
        </w:rPr>
        <w:t>Hence</w:t>
      </w:r>
      <w:proofErr w:type="gramEnd"/>
      <w:r w:rsidR="00AE1587">
        <w:rPr>
          <w:lang w:val="en-US"/>
        </w:rPr>
        <w:t xml:space="preserve"> we adapted the double layer approach for the IGZO (see main text).</w:t>
      </w:r>
    </w:p>
    <w:p w14:paraId="212B2DA8" w14:textId="1083547C" w:rsidR="00B70DA4" w:rsidRDefault="00B70DA4" w:rsidP="00B70DA4">
      <w:pPr>
        <w:spacing w:line="360" w:lineRule="auto"/>
        <w:rPr>
          <w:lang w:val="en-US"/>
        </w:rPr>
      </w:pPr>
    </w:p>
    <w:p w14:paraId="194CD358" w14:textId="5F0CB5C3" w:rsidR="00B70DA4" w:rsidRPr="00B70DA4" w:rsidRDefault="00B70DA4" w:rsidP="00B70DA4">
      <w:pPr>
        <w:spacing w:line="360" w:lineRule="auto"/>
        <w:rPr>
          <w:b/>
          <w:bCs/>
          <w:u w:val="single"/>
          <w:lang w:val="en-US"/>
        </w:rPr>
      </w:pPr>
      <w:r w:rsidRPr="00B70DA4">
        <w:rPr>
          <w:b/>
          <w:bCs/>
          <w:u w:val="single"/>
          <w:lang w:val="en-US"/>
        </w:rPr>
        <w:t>References:</w:t>
      </w:r>
    </w:p>
    <w:p w14:paraId="1FEB1F9A" w14:textId="77777777" w:rsidR="00A32291" w:rsidRDefault="00A32291" w:rsidP="001E55F9"/>
    <w:p w14:paraId="5868A0FA" w14:textId="77777777" w:rsidR="00A32291" w:rsidRPr="00A32291" w:rsidRDefault="00A32291" w:rsidP="00A32291">
      <w:pPr>
        <w:pStyle w:val="EndNoteBibliography"/>
        <w:rPr>
          <w:noProof/>
        </w:rPr>
      </w:pPr>
      <w:r>
        <w:fldChar w:fldCharType="begin"/>
      </w:r>
      <w:r>
        <w:instrText xml:space="preserve"> ADDIN EN.REFLIST </w:instrText>
      </w:r>
      <w:r>
        <w:fldChar w:fldCharType="separate"/>
      </w:r>
      <w:r w:rsidRPr="00A32291">
        <w:rPr>
          <w:noProof/>
        </w:rPr>
        <w:t>1.</w:t>
      </w:r>
      <w:r w:rsidRPr="00A32291">
        <w:rPr>
          <w:noProof/>
        </w:rPr>
        <w:tab/>
        <w:t xml:space="preserve">Sze, S. M., </w:t>
      </w:r>
      <w:r w:rsidRPr="00A32291">
        <w:rPr>
          <w:i/>
          <w:noProof/>
        </w:rPr>
        <w:t>Physics of Semiconductor Devices</w:t>
      </w:r>
      <w:r w:rsidRPr="00A32291">
        <w:rPr>
          <w:noProof/>
        </w:rPr>
        <w:t>. Wiley: New York, 1981.</w:t>
      </w:r>
    </w:p>
    <w:p w14:paraId="0219D052" w14:textId="27ED5F2A" w:rsidR="00B44759" w:rsidRPr="00B06ACB" w:rsidRDefault="00A32291" w:rsidP="00A32291">
      <w:pPr>
        <w:rPr>
          <w:rtl/>
          <w:lang w:val="en-US"/>
        </w:rPr>
      </w:pPr>
      <w:r>
        <w:rPr>
          <w:lang w:val="en-US"/>
        </w:rPr>
        <w:fldChar w:fldCharType="end"/>
      </w:r>
    </w:p>
    <w:sectPr w:rsidR="00B44759" w:rsidRPr="00B06ACB">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ACS&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we5w55xit2we6etsv25xwagpf0ap209zzt9&quot;&gt;Nir_Ref_07_2020-Converted&lt;record-ids&gt;&lt;item&gt;536&lt;/item&gt;&lt;/record-ids&gt;&lt;/item&gt;&lt;/Libraries&gt;"/>
  </w:docVars>
  <w:rsids>
    <w:rsidRoot w:val="00B44759"/>
    <w:rsid w:val="000432D9"/>
    <w:rsid w:val="00056E55"/>
    <w:rsid w:val="00071D87"/>
    <w:rsid w:val="00076C5B"/>
    <w:rsid w:val="000D5C45"/>
    <w:rsid w:val="000E52E8"/>
    <w:rsid w:val="000F2B03"/>
    <w:rsid w:val="000F2C87"/>
    <w:rsid w:val="00180322"/>
    <w:rsid w:val="001E07E9"/>
    <w:rsid w:val="001E55F9"/>
    <w:rsid w:val="001F5BFB"/>
    <w:rsid w:val="00231526"/>
    <w:rsid w:val="00310B11"/>
    <w:rsid w:val="00316870"/>
    <w:rsid w:val="00386DAB"/>
    <w:rsid w:val="003902BC"/>
    <w:rsid w:val="003A69C3"/>
    <w:rsid w:val="003C25F6"/>
    <w:rsid w:val="00416716"/>
    <w:rsid w:val="00420293"/>
    <w:rsid w:val="004219F6"/>
    <w:rsid w:val="00422E6F"/>
    <w:rsid w:val="004329B6"/>
    <w:rsid w:val="00454D3A"/>
    <w:rsid w:val="004578C5"/>
    <w:rsid w:val="0049632F"/>
    <w:rsid w:val="004D0CD4"/>
    <w:rsid w:val="004D6596"/>
    <w:rsid w:val="00550970"/>
    <w:rsid w:val="005C442A"/>
    <w:rsid w:val="005D5E35"/>
    <w:rsid w:val="005F0C00"/>
    <w:rsid w:val="0062540F"/>
    <w:rsid w:val="0068542A"/>
    <w:rsid w:val="00690EA2"/>
    <w:rsid w:val="006A32E7"/>
    <w:rsid w:val="006C3820"/>
    <w:rsid w:val="006E2C60"/>
    <w:rsid w:val="00702179"/>
    <w:rsid w:val="00720C54"/>
    <w:rsid w:val="00737FB2"/>
    <w:rsid w:val="00750705"/>
    <w:rsid w:val="0076616D"/>
    <w:rsid w:val="00767AC2"/>
    <w:rsid w:val="00776678"/>
    <w:rsid w:val="00797904"/>
    <w:rsid w:val="007B06B3"/>
    <w:rsid w:val="007D489D"/>
    <w:rsid w:val="007D5164"/>
    <w:rsid w:val="007E61BF"/>
    <w:rsid w:val="007F025A"/>
    <w:rsid w:val="00811590"/>
    <w:rsid w:val="00861533"/>
    <w:rsid w:val="008653E1"/>
    <w:rsid w:val="008654F8"/>
    <w:rsid w:val="00883812"/>
    <w:rsid w:val="008966DD"/>
    <w:rsid w:val="00897F30"/>
    <w:rsid w:val="008C2D72"/>
    <w:rsid w:val="008D3525"/>
    <w:rsid w:val="008D4D73"/>
    <w:rsid w:val="008E5B93"/>
    <w:rsid w:val="008F092F"/>
    <w:rsid w:val="008F1712"/>
    <w:rsid w:val="008F3BA2"/>
    <w:rsid w:val="009027AF"/>
    <w:rsid w:val="0091546D"/>
    <w:rsid w:val="00A32291"/>
    <w:rsid w:val="00A43BC9"/>
    <w:rsid w:val="00A463CC"/>
    <w:rsid w:val="00AA0B45"/>
    <w:rsid w:val="00AB1E62"/>
    <w:rsid w:val="00AD5345"/>
    <w:rsid w:val="00AE1587"/>
    <w:rsid w:val="00B03031"/>
    <w:rsid w:val="00B06ACB"/>
    <w:rsid w:val="00B13B8D"/>
    <w:rsid w:val="00B44759"/>
    <w:rsid w:val="00B50E51"/>
    <w:rsid w:val="00B70DA4"/>
    <w:rsid w:val="00B91F77"/>
    <w:rsid w:val="00BA2E8C"/>
    <w:rsid w:val="00BB00CF"/>
    <w:rsid w:val="00C200B3"/>
    <w:rsid w:val="00CB62A2"/>
    <w:rsid w:val="00D05043"/>
    <w:rsid w:val="00D45A68"/>
    <w:rsid w:val="00D51B9C"/>
    <w:rsid w:val="00D5733B"/>
    <w:rsid w:val="00D80546"/>
    <w:rsid w:val="00DB4232"/>
    <w:rsid w:val="00DB7E2D"/>
    <w:rsid w:val="00E71AA5"/>
    <w:rsid w:val="00EB031A"/>
    <w:rsid w:val="00EC7DFD"/>
    <w:rsid w:val="00EF1EB2"/>
    <w:rsid w:val="00F050F9"/>
    <w:rsid w:val="00F16E13"/>
    <w:rsid w:val="00F17D07"/>
    <w:rsid w:val="00F24765"/>
    <w:rsid w:val="00F32E12"/>
    <w:rsid w:val="00F36F5C"/>
    <w:rsid w:val="00F8391D"/>
    <w:rsid w:val="00FD7E08"/>
    <w:rsid w:val="00FE7F5D"/>
  </w:rsids>
  <m:mathPr>
    <m:mathFont m:val="Cambria Math"/>
    <m:brkBin m:val="before"/>
    <m:brkBinSub m:val="--"/>
    <m:smallFrac m:val="0"/>
    <m:dispDef/>
    <m:lMargin m:val="0"/>
    <m:rMargin m:val="0"/>
    <m:defJc m:val="centerGroup"/>
    <m:wrapIndent m:val="1440"/>
    <m:intLim m:val="subSup"/>
    <m:naryLim m:val="undOvr"/>
  </m:mathPr>
  <w:themeFontLang w:val="en-IL"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AD1B4C"/>
  <w15:chartTrackingRefBased/>
  <w15:docId w15:val="{8DA12945-3FB5-BD45-9745-C751199A01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IL" w:eastAsia="en-US" w:bidi="he-I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1E55F9"/>
    <w:rPr>
      <w:sz w:val="16"/>
      <w:szCs w:val="16"/>
    </w:rPr>
  </w:style>
  <w:style w:type="paragraph" w:styleId="CommentText">
    <w:name w:val="annotation text"/>
    <w:basedOn w:val="Normal"/>
    <w:link w:val="CommentTextChar"/>
    <w:uiPriority w:val="99"/>
    <w:unhideWhenUsed/>
    <w:rsid w:val="001E55F9"/>
    <w:pPr>
      <w:spacing w:after="160"/>
      <w:jc w:val="both"/>
    </w:pPr>
    <w:rPr>
      <w:sz w:val="20"/>
      <w:szCs w:val="20"/>
      <w:lang w:val="en-US"/>
    </w:rPr>
  </w:style>
  <w:style w:type="character" w:customStyle="1" w:styleId="CommentTextChar">
    <w:name w:val="Comment Text Char"/>
    <w:basedOn w:val="DefaultParagraphFont"/>
    <w:link w:val="CommentText"/>
    <w:uiPriority w:val="99"/>
    <w:rsid w:val="001E55F9"/>
    <w:rPr>
      <w:sz w:val="20"/>
      <w:szCs w:val="20"/>
      <w:lang w:val="en-US"/>
    </w:rPr>
  </w:style>
  <w:style w:type="paragraph" w:styleId="Caption">
    <w:name w:val="caption"/>
    <w:basedOn w:val="Normal"/>
    <w:next w:val="Normal"/>
    <w:uiPriority w:val="35"/>
    <w:unhideWhenUsed/>
    <w:qFormat/>
    <w:rsid w:val="001E55F9"/>
    <w:pPr>
      <w:spacing w:after="200"/>
      <w:jc w:val="both"/>
    </w:pPr>
    <w:rPr>
      <w:i/>
      <w:iCs/>
      <w:color w:val="44546A" w:themeColor="text2"/>
      <w:sz w:val="18"/>
      <w:szCs w:val="18"/>
      <w:lang w:val="en-US"/>
    </w:rPr>
  </w:style>
  <w:style w:type="paragraph" w:customStyle="1" w:styleId="EndNoteBibliographyTitle">
    <w:name w:val="EndNote Bibliography Title"/>
    <w:basedOn w:val="Normal"/>
    <w:link w:val="EndNoteBibliographyTitleChar"/>
    <w:rsid w:val="00A32291"/>
    <w:pPr>
      <w:jc w:val="center"/>
    </w:pPr>
    <w:rPr>
      <w:rFonts w:ascii="Calibri" w:hAnsi="Calibri" w:cs="Calibri"/>
      <w:lang w:val="en-US"/>
    </w:rPr>
  </w:style>
  <w:style w:type="character" w:customStyle="1" w:styleId="EndNoteBibliographyTitleChar">
    <w:name w:val="EndNote Bibliography Title Char"/>
    <w:basedOn w:val="DefaultParagraphFont"/>
    <w:link w:val="EndNoteBibliographyTitle"/>
    <w:rsid w:val="00A32291"/>
    <w:rPr>
      <w:rFonts w:ascii="Calibri" w:hAnsi="Calibri" w:cs="Calibri"/>
      <w:lang w:val="en-US"/>
    </w:rPr>
  </w:style>
  <w:style w:type="paragraph" w:customStyle="1" w:styleId="EndNoteBibliography">
    <w:name w:val="EndNote Bibliography"/>
    <w:basedOn w:val="Normal"/>
    <w:link w:val="EndNoteBibliographyChar"/>
    <w:rsid w:val="00A32291"/>
    <w:rPr>
      <w:rFonts w:ascii="Calibri" w:hAnsi="Calibri" w:cs="Calibri"/>
      <w:lang w:val="en-US"/>
    </w:rPr>
  </w:style>
  <w:style w:type="character" w:customStyle="1" w:styleId="EndNoteBibliographyChar">
    <w:name w:val="EndNote Bibliography Char"/>
    <w:basedOn w:val="DefaultParagraphFont"/>
    <w:link w:val="EndNoteBibliography"/>
    <w:rsid w:val="00A32291"/>
    <w:rPr>
      <w:rFonts w:ascii="Calibri" w:hAnsi="Calibri" w:cs="Calibri"/>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5" Type="http://schemas.openxmlformats.org/officeDocument/2006/relationships/image" Target="media/image2.tiff"/><Relationship Id="rId4"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56</TotalTime>
  <Pages>3</Pages>
  <Words>623</Words>
  <Characters>3552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Nir Tessler</dc:creator>
  <cp:keywords/>
  <dc:description/>
  <cp:lastModifiedBy>Nir Tessler</cp:lastModifiedBy>
  <cp:revision>6</cp:revision>
  <cp:lastPrinted>2021-09-09T13:22:00Z</cp:lastPrinted>
  <dcterms:created xsi:type="dcterms:W3CDTF">2021-08-31T13:03:00Z</dcterms:created>
  <dcterms:modified xsi:type="dcterms:W3CDTF">2021-09-12T14:02:00Z</dcterms:modified>
</cp:coreProperties>
</file>