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 w:line="276"/>
        <w:jc w:val="center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SUPPLEMENTARY MATERIAL S2</w:t>
      </w:r>
    </w:p>
    <w:p>
      <w:pPr>
        <w:spacing w:before="0" w:after="200" w:line="276"/>
        <w:jc w:val="center"/>
      </w:pPr>
      <w:r>
        <w:rPr>
          <w:rFonts w:ascii="Arial" w:cs="Arial" w:eastAsia="Arial" w:hAnsi="Arial"/>
          <w:b/>
          <w:bCs/>
          <w:color w:val="1F4E79"/>
          <w:sz w:val="34"/>
          <w:szCs w:val="34"/>
        </w:rPr>
        <w:t xml:space="preserve">Facilitator Flowcharts &amp; Decision Guides</w:t>
      </w:r>
    </w:p>
    <w:p>
      <w:pPr>
        <w:spacing w:before="0" w:after="80" w:line="276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AI-Driven Social–Emotional Learning: Enhancing Perspective-Taking Skills</w:t>
      </w:r>
    </w:p>
    <w:p>
      <w:pPr>
        <w:spacing w:before="0" w:after="80" w:line="276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Through Scenario-Based Chatbot Dialogues in Early Childhood</w:t>
      </w:r>
    </w:p>
    <w:p>
      <w:pPr>
        <w:spacing w:before="0" w:after="400"/>
      </w:pP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Purpose of This Document</w:t>
      </w:r>
    </w:p>
    <w:p>
      <w:pPr>
        <w:spacing w:before="0" w:after="160" w:line="276"/>
        <w:jc w:val="left"/>
      </w:pPr>
      <w:r>
        <w:rPr>
          <w:rFonts w:ascii="Arial" w:cs="Arial" w:eastAsia="Arial" w:hAnsi="Arial"/>
          <w:sz w:val="22"/>
          <w:szCs w:val="22"/>
        </w:rPr>
        <w:t xml:space="preserve">This document provides structured delivery guidance for facilitators across all 12 sessions. It contains: (1) the master 12-session implementation timeline, (2) the universal session flow applicable to every session, (3) a situational decision guide, and (4) a scaffolding ladder. All materials should be read alongside the Scenario Scripts (S1) and the Session Fidelity Checklist (S3).</w:t>
      </w:r>
    </w:p>
    <w:p>
      <w:pPr>
        <w:spacing w:before="0" w:after="200" w:line="276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Interaction model. </w:t>
      </w:r>
      <w:r>
        <w:rPr>
          <w:rFonts w:ascii="Arial" w:cs="Arial" w:eastAsia="Arial" w:hAnsi="Arial"/>
          <w:sz w:val="22"/>
          <w:szCs w:val="22"/>
        </w:rPr>
        <w:t xml:space="preserve">A voice-activated, web-based generative AI chatbot was used. The chatbot spoke directly to the child and the child responded by speaking aloud. The facilitator was present for support, observation, and scaffolding — but was not the communication channel between child and chatbot.</w:t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Master Implementation Timeline</w:t>
      </w:r>
    </w:p>
    <w:p>
      <w:pPr>
        <w:spacing w:before="0" w:after="140" w:line="276"/>
        <w:jc w:val="left"/>
      </w:pPr>
      <w:r>
        <w:rPr>
          <w:rFonts w:ascii="Arial" w:cs="Arial" w:eastAsia="Arial" w:hAnsi="Arial"/>
          <w:sz w:val="20"/>
          <w:szCs w:val="20"/>
        </w:rPr>
        <w:t xml:space="preserve">One scenario was delivered per session across 12 sessions over six weeks (two sessions per week).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80"/>
        <w:gridCol w:w="1746"/>
        <w:gridCol w:w="1700"/>
        <w:gridCol w:w="1920"/>
        <w:gridCol w:w="2600"/>
      </w:tblGrid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Ses.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Scenario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Theme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Skill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Facilitator Focus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New Friend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Inclusion &amp; Loneliness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Emotion recognition + prosocial action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Establish rapport; note first engagement with chatbot voice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Broken Toy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Misunderstanding &amp; Apology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Dual-perspective; intentionality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Monitor dual-perspective attempts; note apology language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3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Shared Snack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Fairness &amp; Generosity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Fairness values; disappointment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Note fairness reasoning; record sharing proposals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4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Surprise Party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Intentions &amp; Consequences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Three-perspective; behaviour–meaning gap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Track whether child holds competing beliefs simultaneously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5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3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Painting That Got Torn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Emotional Regulation &amp; Forgiveness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Regulation strategy; causal attribution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Listen for regulation vocabulary; note self-correction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6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3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Left Out of the Game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Inclusion &amp; Social Advocacy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Witness perspective; systemic repair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Note advocacy language and solution quality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7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4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Mixed-Up Message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Miscommunication &amp; Clarification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Ambiguity; clarification; repair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Observe whether child queries intent vs. assumes meaning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8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4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Too-Loud Voice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Self-Regulation &amp; Social Awareness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Self-monitoring; social impact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Record self-corrective strategies offered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9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5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Forgotten Invitation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Hurt Feelings &amp; Intentionality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Attribution; empathic inquiry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Track intentionality judgements; note inquiry language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10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5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Different Idea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Perspective Differences &amp; Compromise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Competing views; compromise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Note whether child validates the other view before proposing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11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6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Broken Promise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Trust &amp; Repair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Attribution; forgiveness; trust-repair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Observe complexity of forgiveness reasoning</w:t>
            </w:r>
          </w:p>
        </w:tc>
      </w:tr>
      <w:tr>
        <w:tc>
          <w:tcPr>
            <w:tcW w:type="dxa" w:w="4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12</w:t>
            </w:r>
          </w:p>
        </w:tc>
        <w:tc>
          <w:tcPr>
            <w:tcW w:type="dxa" w:w="5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6</w:t>
            </w:r>
          </w:p>
        </w:tc>
        <w:tc>
          <w:tcPr>
            <w:tcW w:type="dxa" w:w="1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The Last Day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Loss, Change &amp; Transition</w:t>
            </w:r>
          </w:p>
        </w:tc>
        <w:tc>
          <w:tcPr>
            <w:tcW w:type="dxa" w:w="1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Mixed emotions; acceptance; reframing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7"/>
                <w:szCs w:val="17"/>
              </w:rPr>
              <w:t xml:space="preserve">Note positive reframing; document emotional vocabulary range</w:t>
            </w:r>
          </w:p>
        </w:tc>
      </w:tr>
    </w:tbl>
    <w:p>
      <w:pPr>
        <w:spacing w:before="0" w:after="400"/>
      </w:pP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Universal Session Flow</w:t>
      </w:r>
    </w:p>
    <w:p>
      <w:pPr>
        <w:spacing w:before="0" w:after="160" w:line="276"/>
        <w:jc w:val="left"/>
      </w:pPr>
      <w:r>
        <w:rPr>
          <w:rFonts w:ascii="Arial" w:cs="Arial" w:eastAsia="Arial" w:hAnsi="Arial"/>
          <w:sz w:val="22"/>
          <w:szCs w:val="22"/>
        </w:rPr>
        <w:t xml:space="preserve">The flow below applies to all 12 sessions. Only the scenario content changes each session.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9026"/>
            <w:gridSpan w:val="2"/>
            <w:tcBorders>
              <w:top w:val="single" w:color="1F4E79" w:sz="8"/>
              <w:left w:val="single" w:color="1F4E79" w:sz="8"/>
              <w:bottom w:val="single" w:color="BBBBBB" w:sz="1"/>
              <w:right w:val="single" w:color="1F4E79" w:sz="8"/>
            </w:tcBorders>
            <w:shd w:fill="1F4E79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Universal Session Flow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color w:val="9DC3E6"/>
                <w:sz w:val="17"/>
                <w:szCs w:val="17"/>
              </w:rPr>
              <w:t xml:space="preserve">Applies to all 12 sessions  |  20–25 minutes per session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375623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PRE-SESSION  (5 minutes before child arrives)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i/>
                <w:iCs/>
                <w:color w:val="BDD7EE"/>
                <w:sz w:val="17"/>
                <w:szCs w:val="17"/>
              </w:rPr>
              <w:t xml:space="preserve">Complete before the child enters the room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2EFDA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Confirm stable internet connection. Open and test the chatbot interface — confirm voice output is working.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Set device volume to an appropriate level for the room. Test that the microphone picks up normal child speech.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Have this session's fidelity checklist (S3) ready — paper or digital.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Review today's scenario script: narrative content, phase sequence, and scaffold prompts.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Arrange seating: child faces the device (tablet or laptop) at a comfortable distance. Facilitator sits to the side — present but not between child and device.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Remove distracting objects. Ensure the space is quiet and low-distraction.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"/>
              <w:left w:type="dxa" w:w="0"/>
              <w:bottom w:type="dxa" w:w="6"/>
              <w:right w:type="dxa" w:w="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▼  Child arrives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STEP 1  —  Welcome &amp; Orientation  (1–2 min)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2FC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Greet the child warmly by name.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Say: </w:t>
            </w:r>
            <w:r>
              <w:rPr>
                <w:rFonts w:ascii="Arial" w:cs="Arial" w:eastAsia="Arial" w:hAnsi="Arial"/>
                <w:i/>
                <w:iCs/>
                <w:sz w:val="19"/>
                <w:szCs w:val="19"/>
              </w:rPr>
              <w:t xml:space="preserve">"Today we're going to talk with our story friend again. Are you ready?"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Direct the child's attention to the device. Confirm the chatbot interface is active.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"/>
              <w:left w:type="dxa" w:w="0"/>
              <w:bottom w:type="dxa" w:w="6"/>
              <w:right w:type="dxa" w:w="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▼  Child begins speaking with chatbot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BF8F00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STEP 2  —  Scenario Delivery  (15–18 min)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i/>
                <w:iCs/>
                <w:color w:val="BDD7EE"/>
                <w:sz w:val="17"/>
                <w:szCs w:val="17"/>
              </w:rPr>
              <w:t xml:space="preserve">Child and chatbot interact directly by voice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2CC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8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During each turn in the scenario: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1.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Chatbot speaks its prompt aloud. Child listens.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2.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Child responds by speaking directly to the chatbot. Chatbot processes the voice input.</w:t>
            </w:r>
          </w:p>
          <w:p>
            <w:pPr>
              <w:spacing w:before="0" w:after="8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3.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Chatbot responds by voice and continues to the next prompt.</w:t>
            </w:r>
          </w:p>
          <w:p>
            <w:pPr>
              <w:spacing w:before="0" w:after="6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Facilitator role during delivery: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●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Observe engagement, affect, and attention continuously.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●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Do NOT speak for the child, prompt answers, or confirm/deny any response.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●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Use scaffold prompts (from the scenario script) only if the child does not respond after approximately 15 seconds.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●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If a technical issue occurs: calmly say "Let's pause for a moment," resolve the issue, then resume.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2CC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BF8F00"/>
                <w:sz w:val="20"/>
                <w:szCs w:val="20"/>
              </w:rPr>
              <w:t xml:space="preserve">◆  Did a technical or behavioural disruption occur?</w:t>
            </w:r>
          </w:p>
        </w:tc>
      </w:tr>
      <w:tr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4D6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6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833C00"/>
                <w:sz w:val="19"/>
                <w:szCs w:val="19"/>
              </w:rPr>
              <w:t xml:space="preserve">YES — Technical disruption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Say calmly: "Let's pause for a moment."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Do not show frustration or alarm.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Wait for system recovery. Re-start chatbot prompt.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 If unresolved after 2 min: log, skip to next prompt.</w:t>
            </w:r>
          </w:p>
        </w:tc>
        <w:tc>
          <w:tcPr>
            <w:tcW w:type="dxa" w:w="45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0F0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6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C00000"/>
                <w:sz w:val="19"/>
                <w:szCs w:val="19"/>
              </w:rPr>
              <w:t xml:space="preserve">YES — Child disengages or becomes distressed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 Gently redirect: "Let's try again. What do you think?"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 If distress continues: pause session, offer reassurance.</w:t>
            </w:r>
          </w:p>
          <w:p>
            <w:pPr>
              <w:spacing w:before="0" w:after="4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 Resume only when child is ready and willing.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 Log the incident in Section H of the fidelity checklist.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"/>
              <w:left w:type="dxa" w:w="0"/>
              <w:bottom w:type="dxa" w:w="6"/>
              <w:right w:type="dxa" w:w="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▼  Scenario complete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STEP 3  —  Session Closing  (2 min)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2FC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Chatbot delivers its closing statement by voice.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Facilitator affirms the child's effort warmly: </w:t>
            </w:r>
            <w:r>
              <w:rPr>
                <w:rFonts w:ascii="Arial" w:cs="Arial" w:eastAsia="Arial" w:hAnsi="Arial"/>
                <w:i/>
                <w:iCs/>
                <w:sz w:val="19"/>
                <w:szCs w:val="19"/>
              </w:rPr>
              <w:t xml:space="preserve">"You did such careful thinking today."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Return child to classroom. Do not discuss responses with teachers or peers.</w:t>
            </w:r>
          </w:p>
        </w:tc>
      </w:tr>
      <w:tr>
        <w:tc>
          <w:tcPr>
            <w:tcW w:type="dxa" w:w="902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"/>
              <w:left w:type="dxa" w:w="0"/>
              <w:bottom w:type="dxa" w:w="6"/>
              <w:right w:type="dxa" w:w="0"/>
            </w:tcMar>
          </w:tcPr>
          <w:p>
            <w:pPr>
              <w:spacing w:before="0"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▼  Child returns to class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POST-SESSION  (complete before your next session)</w:t>
            </w:r>
          </w:p>
        </w:tc>
      </w:tr>
      <w:tr>
        <w:tc>
          <w:tcPr>
            <w:tcW w:type="dxa" w:w="9026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F2FC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Complete all fields of the Session Fidelity Checklist (S3).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Record field observation notes: notable child responses, spontaneous comments, engagement patterns.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Log any technical disruptions: nature, duration, and impact on session flow.</w:t>
            </w:r>
          </w:p>
          <w:p>
            <w:pPr>
              <w:spacing w:before="0" w:after="5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Log any scaffold instances: which prompt, which level of support used.</w:t>
            </w:r>
          </w:p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✓  </w:t>
            </w:r>
            <w:r>
              <w:rPr>
                <w:rFonts w:ascii="Arial" w:cs="Arial" w:eastAsia="Arial" w:hAnsi="Arial"/>
                <w:sz w:val="19"/>
                <w:szCs w:val="19"/>
              </w:rPr>
              <w:t xml:space="preserve">Ensure no session content is discussed with classroom teachers, parents, or peers.</w:t>
            </w:r>
          </w:p>
        </w:tc>
      </w:tr>
    </w:tbl>
    <w:p>
      <w:pPr>
        <w:spacing w:before="0" w:after="400"/>
      </w:pP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Situational Decision Guide</w:t>
      </w:r>
    </w:p>
    <w:p>
      <w:pPr>
        <w:spacing w:before="0" w:after="140" w:line="276"/>
        <w:jc w:val="left"/>
      </w:pPr>
      <w:r>
        <w:rPr>
          <w:rFonts w:ascii="Arial" w:cs="Arial" w:eastAsia="Arial" w:hAnsi="Arial"/>
          <w:sz w:val="22"/>
          <w:szCs w:val="22"/>
        </w:rPr>
        <w:t xml:space="preserve">Facilitator guidance for specific situations that may arise during any session. Column 3 (in red) specifies prohibited actions to prevent inadvertent bias or fidelity violations.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613"/>
        <w:gridCol w:w="2413"/>
        <w:gridCol w:w="1200"/>
      </w:tblGrid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Situation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to do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NOT to do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Log in checklist?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 does not speak after chatbot prompt (15 s)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Deliver the scenario-specific scaffold prompt from S1. Wait 10 more seconds. If still no response, move to the next prompt.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speak the answer or lead the child toward any emotion or perspective.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Yes — note prompt and scaffold level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 gives a very short or off-topic answer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Accept it. Allow the chatbot to process and continue. Use a scaffold only if the chatbot explicitly loops back.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ask the child to try again or rephrase unless chatbot indicates non-recognition.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Optional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Chatbot does not recognise child speech (voice error)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Calmly ask the child to repeat: "Can you say that again a little louder?" If repeated errors, note and continue.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interpret or speak the child's words into the device on their behalf.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Yes — note frequency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 becomes upset or distressed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Pause the session. Say: "Let's take a little break." Offer reassurance. Resume only if child is willing.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pressure the child to continue. Do not minimise their feelings.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Yes — mandatory (Section H)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Internet disconnects mid-session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Say calmly: "Let's wait a moment." Attempt reconnection. Resume from the last prompt. If &gt; 2 min: log and skip to next.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express frustration. Do not leave child unattended.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Yes — note duration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 asks "Is that right?" or seeks confirmation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Say: "There's no right or wrong answer — I want to hear what YOU think." Smile reassuringly.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confirm or deny any response as correct or incorrect.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Optional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Child asks about the chatbot ("Is it a robot?")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Respond simply: "It's a kind of computer that tells stories. What do you think about it?" Allow exploration.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dismiss the question. Do not over-explain AI technology.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Optional — may be analytically rich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Session runs over 25 minutes</w:t>
            </w:r>
          </w:p>
        </w:tc>
        <w:tc>
          <w:tcPr>
            <w:tcW w:type="dxa" w:w="26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Begin closing sequence immediately. Prioritise the closing step even if the final scenario prompt is incomplete.</w:t>
            </w:r>
          </w:p>
        </w:tc>
        <w:tc>
          <w:tcPr>
            <w:tcW w:type="dxa" w:w="241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00000"/>
                <w:sz w:val="18"/>
                <w:szCs w:val="18"/>
              </w:rPr>
              <w:t xml:space="preserve">Do not rush through earlier steps to compensate for lost time.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Yes — record actual duration</w:t>
            </w:r>
          </w:p>
        </w:tc>
      </w:tr>
    </w:tbl>
    <w:p>
      <w:pPr>
        <w:spacing w:before="0" w:after="400"/>
      </w:pP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Scaffolding Ladder</w:t>
      </w:r>
    </w:p>
    <w:p>
      <w:pPr>
        <w:spacing w:before="0" w:after="140" w:line="276"/>
        <w:jc w:val="left"/>
      </w:pPr>
      <w:r>
        <w:rPr>
          <w:rFonts w:ascii="Arial" w:cs="Arial" w:eastAsia="Arial" w:hAnsi="Arial"/>
          <w:sz w:val="22"/>
          <w:szCs w:val="22"/>
        </w:rPr>
        <w:t xml:space="preserve">Scaffolding must be delivered in level order. Do not skip levels or apply Level 3+ support before exhausting lower levels.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26"/>
        <w:gridCol w:w="2800"/>
        <w:gridCol w:w="3200"/>
      </w:tblGrid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Level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When to use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Facilitator language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Purpose</w:t>
            </w:r>
          </w:p>
        </w:tc>
      </w:tr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Child does not respond within 15 s of chatbot prompt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"Take your time — what do you think?" [Pause 10 more seconds]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Extend wait time before any facilitator support is given</w:t>
            </w:r>
          </w:p>
        </w:tc>
      </w:tr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Still no response after extended wait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Read the scenario-specific scaffold prompt (from S1) aloud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Provide the lowest possible cue without leading toward any answer</w:t>
            </w:r>
          </w:p>
        </w:tc>
      </w:tr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Scaffold prompt produces no response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"That's completely fine. Let's keep going." [Allow chatbot to continue]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Honour the child's pace; remove pressure entirely</w:t>
            </w:r>
          </w:p>
        </w:tc>
      </w:tr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Child appears confused by the scenario narrative itself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"Let me listen to that part again with you." [Allow chatbot to re-read if supported, or re-state the scenario in neutral terms]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Clarify context without introducing emotional content</w:t>
            </w:r>
          </w:p>
        </w:tc>
      </w:tr>
      <w:tr>
        <w:tc>
          <w:tcPr>
            <w:tcW w:type="dxa" w:w="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24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Child is visibly anxious, withdrawing, or distressed</w:t>
            </w:r>
          </w:p>
        </w:tc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"Would you like to take a little break? We can stop whenever you want."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Prioritise emotional safety above session completion at all times</w:t>
            </w:r>
          </w:p>
        </w:tc>
      </w:tr>
    </w:tbl>
    <w:p>
      <w:pPr>
        <w:spacing w:before="0" w:after="400"/>
      </w:pP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Key Principles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Child–chatbot primacy: The child interacts directly with the chatbot by voice. The facilitator does not mediate this communication.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Neutrality: The facilitator never suggests, confirms, or denies any response. The child's own words are the only valid input.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Patience: A 15-second wait is the minimum before any scaffold is offered. Silence is acceptable.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Safety: If a child shows distress, the session pauses immediately. There is no pressure to resume.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Fidelity: Every deviation from the standard flow — however minor — must be logged in the checklist (S3).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Confidentiality: No child response is discussed with teachers, parents, or peers.</w:t>
      </w:r>
    </w:p>
    <w:p>
      <w:pPr>
        <w:pStyle w:val="ListParagraph"/>
        <w:numPr>
          <w:ilvl w:val="0"/>
          <w:numId w:val="2"/>
        </w:numPr>
        <w:spacing w:before="0" w:after="100"/>
      </w:pPr>
      <w:r>
        <w:rPr>
          <w:rFonts w:ascii="Arial" w:cs="Arial" w:eastAsia="Arial" w:hAnsi="Arial"/>
          <w:sz w:val="20"/>
          <w:szCs w:val="20"/>
        </w:rPr>
        <w:t xml:space="preserve">Documentation: The observation log is completed immediately after each session, not retrospectively.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of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1"/>
      </w:pBdr>
      <w:spacing w:before="0" w:after="0"/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Supplementary Material S2  |  Facilitator Flowcharts &amp; Decision Guides  |  AI-Driven SEL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8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300" w:after="13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2026-03-18T01:20:32.534Z</dcterms:created>
  <dcterms:modified xsi:type="dcterms:W3CDTF">2026-03-18T01:20:32.535Z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