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22C144" w14:textId="4AB33F82" w:rsidR="00311D29" w:rsidRPr="001A3CE0" w:rsidRDefault="00000000">
      <w:pPr>
        <w:spacing w:after="120"/>
        <w:rPr>
          <w:b/>
          <w:bCs/>
        </w:rPr>
      </w:pPr>
      <w:bookmarkStart w:id="0" w:name="OLE_LINK1"/>
      <w:r w:rsidRPr="001A3CE0">
        <w:rPr>
          <w:b/>
          <w:bCs/>
        </w:rPr>
        <w:t xml:space="preserve">Supplementary Table S1. Selected clinical </w:t>
      </w:r>
      <w:r w:rsidR="00F877A1">
        <w:rPr>
          <w:rFonts w:eastAsia="宋体" w:hint="eastAsia"/>
          <w:b/>
          <w:bCs/>
          <w:lang w:eastAsia="zh-CN"/>
        </w:rPr>
        <w:t>surrogates</w:t>
      </w:r>
      <w:r w:rsidRPr="001A3CE0">
        <w:rPr>
          <w:b/>
          <w:bCs/>
        </w:rPr>
        <w:t xml:space="preserve"> in contemporary hypertension guidance and their implicit physiological rationale</w:t>
      </w:r>
    </w:p>
    <w:bookmarkEnd w:id="0"/>
    <w:p w14:paraId="7A5D18A1" w14:textId="68BDCE11" w:rsidR="00311D29" w:rsidRDefault="00000000">
      <w:pPr>
        <w:spacing w:after="160"/>
      </w:pPr>
      <w:r>
        <w:t>Selected examples from contemporary hypertension guidance illustrate how treatment recommendations often rely on clinical proxies</w:t>
      </w:r>
      <w:r w:rsidR="00F877A1">
        <w:rPr>
          <w:rFonts w:eastAsia="宋体" w:hint="eastAsia"/>
          <w:lang w:eastAsia="zh-CN"/>
        </w:rPr>
        <w:t xml:space="preserve"> (surrogates)</w:t>
      </w:r>
      <w:r>
        <w:t xml:space="preserve"> that implicitly reflect underlying physiological mechanisms, but do not provide a structured basis for comparing these mechanisms within individual patients. Examples are drawn from the 2017 ACC/AHA guideline, 2023 ESH guideline, 2024 ESC guideline, and related publications listed below.</w:t>
      </w:r>
    </w:p>
    <w:p w14:paraId="6086CAE7" w14:textId="77777777" w:rsidR="00311D29" w:rsidRDefault="00000000">
      <w:r>
        <w:rPr>
          <w:i/>
        </w:rPr>
        <w:t>† Historically included in earlier guidelines (e.g., JNC 7/8); contemporary guidelines have largely moved away from race-based recommendations.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024"/>
        <w:gridCol w:w="1800"/>
        <w:gridCol w:w="2880"/>
        <w:gridCol w:w="2880"/>
        <w:gridCol w:w="3456"/>
      </w:tblGrid>
      <w:tr w:rsidR="00311D29" w14:paraId="1A7F2818" w14:textId="77777777">
        <w:trPr>
          <w:tblHeader/>
          <w:jc w:val="center"/>
        </w:trPr>
        <w:tc>
          <w:tcPr>
            <w:tcW w:w="3024" w:type="dxa"/>
            <w:shd w:val="clear" w:color="auto" w:fill="D9E2F3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2E22E7D8" w14:textId="77777777" w:rsidR="00311D29" w:rsidRDefault="00000000">
            <w:pPr>
              <w:jc w:val="center"/>
            </w:pPr>
            <w:r>
              <w:rPr>
                <w:b/>
                <w:sz w:val="17"/>
              </w:rPr>
              <w:t>Guideline recommendation or decision context</w:t>
            </w:r>
          </w:p>
        </w:tc>
        <w:tc>
          <w:tcPr>
            <w:tcW w:w="1800" w:type="dxa"/>
            <w:shd w:val="clear" w:color="auto" w:fill="D9E2F3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0C2520D7" w14:textId="77777777" w:rsidR="00311D29" w:rsidRDefault="00000000">
            <w:pPr>
              <w:jc w:val="center"/>
            </w:pPr>
            <w:r>
              <w:rPr>
                <w:b/>
                <w:sz w:val="17"/>
              </w:rPr>
              <w:t>Clinical proxy used</w:t>
            </w:r>
          </w:p>
        </w:tc>
        <w:tc>
          <w:tcPr>
            <w:tcW w:w="2880" w:type="dxa"/>
            <w:shd w:val="clear" w:color="auto" w:fill="D9E2F3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076983A5" w14:textId="77777777" w:rsidR="00311D29" w:rsidRDefault="00000000">
            <w:pPr>
              <w:jc w:val="center"/>
            </w:pPr>
            <w:r>
              <w:rPr>
                <w:b/>
                <w:sz w:val="17"/>
              </w:rPr>
              <w:t>Implicit physiological rationale</w:t>
            </w:r>
          </w:p>
        </w:tc>
        <w:tc>
          <w:tcPr>
            <w:tcW w:w="2880" w:type="dxa"/>
            <w:shd w:val="clear" w:color="auto" w:fill="D9E2F3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75EBF282" w14:textId="77777777" w:rsidR="00311D29" w:rsidRDefault="00000000">
            <w:pPr>
              <w:jc w:val="center"/>
            </w:pPr>
            <w:r>
              <w:rPr>
                <w:b/>
                <w:sz w:val="17"/>
              </w:rPr>
              <w:t>Limitation of proxy-based approach</w:t>
            </w:r>
          </w:p>
        </w:tc>
        <w:tc>
          <w:tcPr>
            <w:tcW w:w="3456" w:type="dxa"/>
            <w:shd w:val="clear" w:color="auto" w:fill="D9E2F3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77C34D73" w14:textId="77777777" w:rsidR="00311D29" w:rsidRDefault="00000000">
            <w:pPr>
              <w:jc w:val="center"/>
            </w:pPr>
            <w:r>
              <w:rPr>
                <w:b/>
                <w:sz w:val="17"/>
              </w:rPr>
              <w:t>Hemodynaomics perspective</w:t>
            </w:r>
          </w:p>
        </w:tc>
      </w:tr>
      <w:tr w:rsidR="00311D29" w14:paraId="3E274D19" w14:textId="77777777">
        <w:trPr>
          <w:jc w:val="center"/>
        </w:trPr>
        <w:tc>
          <w:tcPr>
            <w:tcW w:w="3024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1B31E92D" w14:textId="77777777" w:rsidR="00311D29" w:rsidRDefault="00000000">
            <w:r>
              <w:rPr>
                <w:sz w:val="17"/>
              </w:rPr>
              <w:t>Age-based treatment targets and drug selection</w:t>
            </w:r>
          </w:p>
        </w:tc>
        <w:tc>
          <w:tcPr>
            <w:tcW w:w="1800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64CB2F9F" w14:textId="77777777" w:rsidR="00311D29" w:rsidRDefault="00000000">
            <w:r>
              <w:rPr>
                <w:sz w:val="17"/>
              </w:rPr>
              <w:t>Age</w:t>
            </w:r>
          </w:p>
        </w:tc>
        <w:tc>
          <w:tcPr>
            <w:tcW w:w="2880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61EEE384" w14:textId="77777777" w:rsidR="00311D29" w:rsidRDefault="00000000">
            <w:r>
              <w:rPr>
                <w:sz w:val="17"/>
              </w:rPr>
              <w:t>Age-related increases in arterial stiffness and vascular resistance; altered hemodynamic response to therapy</w:t>
            </w:r>
          </w:p>
        </w:tc>
        <w:tc>
          <w:tcPr>
            <w:tcW w:w="2880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249B295A" w14:textId="77777777" w:rsidR="00311D29" w:rsidRDefault="00000000">
            <w:r>
              <w:rPr>
                <w:sz w:val="17"/>
              </w:rPr>
              <w:t>Patients of similar age may have different dominant mechanisms and different degrees of cardiac, vascular, or volume contribution</w:t>
            </w:r>
          </w:p>
        </w:tc>
        <w:tc>
          <w:tcPr>
            <w:tcW w:w="3456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6F8E38D6" w14:textId="77777777" w:rsidR="00311D29" w:rsidRDefault="00000000">
            <w:r>
              <w:rPr>
                <w:sz w:val="17"/>
              </w:rPr>
              <w:t>Direct representation of cardiac output, vascular resistance, arterial properties, and volume-related deviations enables individualized assessment</w:t>
            </w:r>
          </w:p>
        </w:tc>
      </w:tr>
      <w:tr w:rsidR="00311D29" w14:paraId="1D128B3A" w14:textId="77777777">
        <w:trPr>
          <w:jc w:val="center"/>
        </w:trPr>
        <w:tc>
          <w:tcPr>
            <w:tcW w:w="3024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04C58C88" w14:textId="77777777" w:rsidR="00311D29" w:rsidRDefault="00000000">
            <w:r>
              <w:t>Preferential use of ACE inhibitors or ARBs in chronic kidney disease or selected diabetes-related contexts</w:t>
            </w:r>
          </w:p>
        </w:tc>
        <w:tc>
          <w:tcPr>
            <w:tcW w:w="1800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29ACE5B8" w14:textId="77777777" w:rsidR="00311D29" w:rsidRDefault="00000000">
            <w:r>
              <w:rPr>
                <w:sz w:val="17"/>
              </w:rPr>
              <w:t>Disease label (CKD, diabetes)</w:t>
            </w:r>
          </w:p>
        </w:tc>
        <w:tc>
          <w:tcPr>
            <w:tcW w:w="2880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68F5930A" w14:textId="77777777" w:rsidR="00311D29" w:rsidRDefault="00000000">
            <w:r>
              <w:t>RAAS activation and altered renal-systemic hemodynamics, particularly in albuminuric or kidney-involved disease</w:t>
            </w:r>
          </w:p>
        </w:tc>
        <w:tc>
          <w:tcPr>
            <w:tcW w:w="2880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3016E69D" w14:textId="77777777" w:rsidR="00311D29" w:rsidRDefault="00000000">
            <w:r>
              <w:t>Disease categories do not quantify the relative dominance of resistance or volume components within an individual patient</w:t>
            </w:r>
          </w:p>
        </w:tc>
        <w:tc>
          <w:tcPr>
            <w:tcW w:w="3456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7999D1CC" w14:textId="77777777" w:rsidR="00311D29" w:rsidRDefault="00000000">
            <w:r>
              <w:t>Mechanism-level deviation patterns allow resistance and volume components to be quantified and compared on a common scale</w:t>
            </w:r>
          </w:p>
        </w:tc>
      </w:tr>
      <w:tr w:rsidR="00311D29" w14:paraId="77F0B593" w14:textId="77777777">
        <w:trPr>
          <w:jc w:val="center"/>
        </w:trPr>
        <w:tc>
          <w:tcPr>
            <w:tcW w:w="3024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6B73FD52" w14:textId="77777777" w:rsidR="00311D29" w:rsidRDefault="00000000">
            <w:r>
              <w:t>Use of beta-blockers in coronary artery disease, heart failure, elevated resting heart rate, or related cardiac indications</w:t>
            </w:r>
          </w:p>
        </w:tc>
        <w:tc>
          <w:tcPr>
            <w:tcW w:w="1800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5BCA170B" w14:textId="77777777" w:rsidR="00311D29" w:rsidRDefault="00000000">
            <w:r>
              <w:rPr>
                <w:sz w:val="17"/>
              </w:rPr>
              <w:t>Disease label or heart-rate signal</w:t>
            </w:r>
          </w:p>
        </w:tc>
        <w:tc>
          <w:tcPr>
            <w:tcW w:w="2880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72E2DC55" w14:textId="77777777" w:rsidR="00311D29" w:rsidRDefault="00000000">
            <w:r>
              <w:t>Sympathetic activation, elevated heart rate, ischemic burden, arrhythmic risk, or altered cardiac function</w:t>
            </w:r>
          </w:p>
        </w:tc>
        <w:tc>
          <w:tcPr>
            <w:tcW w:w="2880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042B92D5" w14:textId="77777777" w:rsidR="00311D29" w:rsidRDefault="00000000">
            <w:r>
              <w:rPr>
                <w:sz w:val="17"/>
              </w:rPr>
              <w:t>The same clinical signal may arise from different hemodynamic states and may not distinguish primary sympathetic drive from compensatory tachycardia</w:t>
            </w:r>
          </w:p>
        </w:tc>
        <w:tc>
          <w:tcPr>
            <w:tcW w:w="3456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16ACA2DD" w14:textId="77777777" w:rsidR="00311D29" w:rsidRDefault="00000000">
            <w:r>
              <w:rPr>
                <w:sz w:val="17"/>
              </w:rPr>
              <w:t>Explicit representation of cardiac versus vascular load may help align heart-rate management with the underlying hemodynamic pattern</w:t>
            </w:r>
          </w:p>
        </w:tc>
      </w:tr>
      <w:tr w:rsidR="00311D29" w14:paraId="107069E5" w14:textId="77777777">
        <w:trPr>
          <w:jc w:val="center"/>
        </w:trPr>
        <w:tc>
          <w:tcPr>
            <w:tcW w:w="3024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6872B891" w14:textId="77777777" w:rsidR="00311D29" w:rsidRDefault="00000000">
            <w:r>
              <w:rPr>
                <w:sz w:val="17"/>
              </w:rPr>
              <w:t>Initial or early use of combination therapy</w:t>
            </w:r>
          </w:p>
        </w:tc>
        <w:tc>
          <w:tcPr>
            <w:tcW w:w="1800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141F8FBC" w14:textId="77777777" w:rsidR="00311D29" w:rsidRDefault="00000000">
            <w:r>
              <w:rPr>
                <w:sz w:val="17"/>
              </w:rPr>
              <w:t>Empirical multi-drug strategy</w:t>
            </w:r>
          </w:p>
        </w:tc>
        <w:tc>
          <w:tcPr>
            <w:tcW w:w="2880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19D9D8D8" w14:textId="77777777" w:rsidR="00311D29" w:rsidRDefault="00000000">
            <w:r>
              <w:rPr>
                <w:sz w:val="17"/>
              </w:rPr>
              <w:t>Recognition that hypertension commonly involves multiple interacting physiological mechanisms</w:t>
            </w:r>
          </w:p>
        </w:tc>
        <w:tc>
          <w:tcPr>
            <w:tcW w:w="2880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55609D20" w14:textId="77777777" w:rsidR="00311D29" w:rsidRDefault="00000000">
            <w:r>
              <w:rPr>
                <w:sz w:val="17"/>
              </w:rPr>
              <w:t>Empirical combination therapy does not explicitly rank competing mechanisms or indicate which should be prioritized first</w:t>
            </w:r>
          </w:p>
        </w:tc>
        <w:tc>
          <w:tcPr>
            <w:tcW w:w="3456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7678B97A" w14:textId="77777777" w:rsidR="00311D29" w:rsidRDefault="00000000">
            <w:r>
              <w:t>Ranking of physiological deviations by magnitude can guide prioritization and sequencing of therapeutic interventions</w:t>
            </w:r>
          </w:p>
        </w:tc>
      </w:tr>
      <w:tr w:rsidR="00311D29" w14:paraId="7C93C4C4" w14:textId="77777777">
        <w:trPr>
          <w:jc w:val="center"/>
        </w:trPr>
        <w:tc>
          <w:tcPr>
            <w:tcW w:w="3024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439B314F" w14:textId="77777777" w:rsidR="00311D29" w:rsidRDefault="00000000">
            <w:r>
              <w:rPr>
                <w:sz w:val="17"/>
              </w:rPr>
              <w:t>Treatment intensification after inadequate blood pressure response</w:t>
            </w:r>
          </w:p>
        </w:tc>
        <w:tc>
          <w:tcPr>
            <w:tcW w:w="1800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33BF899A" w14:textId="77777777" w:rsidR="00311D29" w:rsidRDefault="00000000">
            <w:r>
              <w:rPr>
                <w:sz w:val="17"/>
              </w:rPr>
              <w:t>Observed BP response</w:t>
            </w:r>
          </w:p>
        </w:tc>
        <w:tc>
          <w:tcPr>
            <w:tcW w:w="2880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560EB3FB" w14:textId="77777777" w:rsidR="00311D29" w:rsidRDefault="00000000">
            <w:r>
              <w:rPr>
                <w:sz w:val="17"/>
              </w:rPr>
              <w:t>Assumes persistent residual mechanisms without direct characterization</w:t>
            </w:r>
          </w:p>
        </w:tc>
        <w:tc>
          <w:tcPr>
            <w:tcW w:w="2880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0D1B98A0" w14:textId="77777777" w:rsidR="00311D29" w:rsidRDefault="00000000">
            <w:r>
              <w:rPr>
                <w:sz w:val="17"/>
              </w:rPr>
              <w:t>BP response is a downstream signal and does not identify which mechanism remains insufficiently treated</w:t>
            </w:r>
          </w:p>
        </w:tc>
        <w:tc>
          <w:tcPr>
            <w:tcW w:w="3456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76BAEFF0" w14:textId="77777777" w:rsidR="00311D29" w:rsidRDefault="00000000">
            <w:r>
              <w:rPr>
                <w:sz w:val="17"/>
              </w:rPr>
              <w:t>Deviation-based profiling can identify residual dominant drivers to support structured re-prioritization of therapy</w:t>
            </w:r>
          </w:p>
        </w:tc>
      </w:tr>
      <w:tr w:rsidR="00311D29" w14:paraId="383397CC" w14:textId="77777777">
        <w:trPr>
          <w:jc w:val="center"/>
        </w:trPr>
        <w:tc>
          <w:tcPr>
            <w:tcW w:w="3024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4BF099B3" w14:textId="77777777" w:rsidR="00311D29" w:rsidRDefault="00000000">
            <w:r>
              <w:rPr>
                <w:sz w:val="17"/>
              </w:rPr>
              <w:t>Risk-based treatment intensification in stage 1 hypertension or broader cardiovascular prevention</w:t>
            </w:r>
          </w:p>
        </w:tc>
        <w:tc>
          <w:tcPr>
            <w:tcW w:w="1800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684543AA" w14:textId="77777777" w:rsidR="00311D29" w:rsidRDefault="00000000">
            <w:r>
              <w:rPr>
                <w:sz w:val="17"/>
              </w:rPr>
              <w:t>Composite clinical risk score</w:t>
            </w:r>
          </w:p>
        </w:tc>
        <w:tc>
          <w:tcPr>
            <w:tcW w:w="2880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4441B037" w14:textId="77777777" w:rsidR="00311D29" w:rsidRDefault="00000000">
            <w:r>
              <w:rPr>
                <w:sz w:val="17"/>
              </w:rPr>
              <w:t>Reflects cumulative burden of cardiovascular, metabolic, and renal dysfunction</w:t>
            </w:r>
          </w:p>
        </w:tc>
        <w:tc>
          <w:tcPr>
            <w:tcW w:w="2880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2712178E" w14:textId="77777777" w:rsidR="00311D29" w:rsidRDefault="00000000">
            <w:r>
              <w:rPr>
                <w:sz w:val="17"/>
              </w:rPr>
              <w:t>Risk estimates inform prognosis but do not directly characterize the mechanism of blood pressure elevation in the individual patient</w:t>
            </w:r>
          </w:p>
        </w:tc>
        <w:tc>
          <w:tcPr>
            <w:tcW w:w="3456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7C1E79CD" w14:textId="77777777" w:rsidR="00311D29" w:rsidRDefault="00000000">
            <w:r>
              <w:rPr>
                <w:sz w:val="17"/>
              </w:rPr>
              <w:t>Mechanism-level physiological representation can complement risk stratification by identifying actionable hemodynamic drivers</w:t>
            </w:r>
          </w:p>
        </w:tc>
      </w:tr>
      <w:tr w:rsidR="00311D29" w14:paraId="2197A3F2" w14:textId="77777777">
        <w:trPr>
          <w:jc w:val="center"/>
        </w:trPr>
        <w:tc>
          <w:tcPr>
            <w:tcW w:w="3024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2E533D5C" w14:textId="77777777" w:rsidR="00311D29" w:rsidRDefault="00000000">
            <w:r>
              <w:t>Historical race-informed treatment considerations†</w:t>
            </w:r>
          </w:p>
        </w:tc>
        <w:tc>
          <w:tcPr>
            <w:tcW w:w="1800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4A65BA81" w14:textId="77777777" w:rsidR="00311D29" w:rsidRDefault="00000000">
            <w:r>
              <w:rPr>
                <w:sz w:val="17"/>
              </w:rPr>
              <w:t>Race or ethnicity</w:t>
            </w:r>
          </w:p>
        </w:tc>
        <w:tc>
          <w:tcPr>
            <w:tcW w:w="2880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3BB0B6AA" w14:textId="77777777" w:rsidR="00311D29" w:rsidRDefault="00000000">
            <w:r>
              <w:rPr>
                <w:sz w:val="17"/>
              </w:rPr>
              <w:t>Population-level differences in renin activity, vascular resistance, and volume status</w:t>
            </w:r>
          </w:p>
        </w:tc>
        <w:tc>
          <w:tcPr>
            <w:tcW w:w="2880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055C5C65" w14:textId="77777777" w:rsidR="00311D29" w:rsidRDefault="00000000">
            <w:r>
              <w:rPr>
                <w:sz w:val="17"/>
              </w:rPr>
              <w:t>Population proxies oversimplify heterogeneous individuals and do not provide patient-level physiological specificity</w:t>
            </w:r>
          </w:p>
        </w:tc>
        <w:tc>
          <w:tcPr>
            <w:tcW w:w="3456" w:type="dxa"/>
            <w:tcMar>
              <w:top w:w="55" w:type="dxa"/>
              <w:left w:w="85" w:type="dxa"/>
              <w:bottom w:w="55" w:type="dxa"/>
              <w:right w:w="85" w:type="dxa"/>
            </w:tcMar>
            <w:vAlign w:val="center"/>
          </w:tcPr>
          <w:p w14:paraId="435150DA" w14:textId="77777777" w:rsidR="00311D29" w:rsidRDefault="00000000">
            <w:r>
              <w:t>Individualized hemodynamic profiling provides a patient-level physiological alternative to population-based proxies</w:t>
            </w:r>
          </w:p>
        </w:tc>
      </w:tr>
    </w:tbl>
    <w:p w14:paraId="3653862F" w14:textId="77777777" w:rsidR="00311D29" w:rsidRDefault="00000000">
      <w:pPr>
        <w:spacing w:before="80" w:after="60"/>
      </w:pPr>
      <w:r>
        <w:rPr>
          <w:b/>
          <w:sz w:val="20"/>
        </w:rPr>
        <w:t>Selected supporting sources</w:t>
      </w:r>
    </w:p>
    <w:p w14:paraId="3D4F8520" w14:textId="77777777" w:rsidR="00311D29" w:rsidRDefault="00000000">
      <w:pPr>
        <w:pStyle w:val="ListNumber"/>
        <w:spacing w:after="0"/>
      </w:pPr>
      <w:r>
        <w:rPr>
          <w:sz w:val="17"/>
        </w:rPr>
        <w:t>Whelton PK, Carey RM, Aronow WS, et al. 2017 ACC/AHA/AAPA/ABC/ACPM/AGS/APhA/ASH/ASPC/NMA/PCNA guideline for the prevention, detection, evaluation, and management of high blood pressure in adults. J Am Coll Cardiol. 2018;71:e127-e248.</w:t>
      </w:r>
    </w:p>
    <w:p w14:paraId="2EB3047A" w14:textId="77777777" w:rsidR="00311D29" w:rsidRDefault="00000000">
      <w:pPr>
        <w:pStyle w:val="ListNumber"/>
        <w:spacing w:after="0"/>
      </w:pPr>
      <w:r>
        <w:rPr>
          <w:sz w:val="17"/>
        </w:rPr>
        <w:t>Mancia G, Kreutz R, Brunström M, et al. 2023 ESH guidelines for the management of arterial hypertension. J Hypertens. 2023;41:1874-2071.</w:t>
      </w:r>
    </w:p>
    <w:p w14:paraId="24BF8CB8" w14:textId="77777777" w:rsidR="00311D29" w:rsidRDefault="00000000">
      <w:pPr>
        <w:pStyle w:val="ListNumber"/>
        <w:spacing w:after="0"/>
      </w:pPr>
      <w:r>
        <w:rPr>
          <w:sz w:val="17"/>
        </w:rPr>
        <w:t>McEvoy JW, Mancia G, Barbato E, et al. 2024 ESC Guidelines for the management of elevated blood pressure and hypertension. Eur Heart J. 2024;45:3912-4018.</w:t>
      </w:r>
    </w:p>
    <w:p w14:paraId="638644DC" w14:textId="77777777" w:rsidR="00311D29" w:rsidRDefault="00000000">
      <w:pPr>
        <w:pStyle w:val="ListNumber"/>
        <w:spacing w:after="0"/>
      </w:pPr>
      <w:r>
        <w:rPr>
          <w:sz w:val="17"/>
        </w:rPr>
        <w:t>Mancia G, Brunström M, Burnier M, et al. Rationale of treatment recommendations in the 2023 ESH hypertension guidelines. Eur J Intern Med. 2024;121:1-7.</w:t>
      </w:r>
    </w:p>
    <w:p w14:paraId="310C99D8" w14:textId="77777777" w:rsidR="00311D29" w:rsidRDefault="00000000">
      <w:pPr>
        <w:pStyle w:val="ListNumber"/>
        <w:spacing w:after="0"/>
      </w:pPr>
      <w:r>
        <w:t>Khan SS, Matsushita K, Sang Y, et al. Development and Validation of the American Heart Association's PREVENT Equations. Circulation. 2024;149:430-449.</w:t>
      </w:r>
    </w:p>
    <w:sectPr w:rsidR="00311D29" w:rsidSect="00034616">
      <w:pgSz w:w="15840" w:h="12240" w:orient="landscape"/>
      <w:pgMar w:top="792" w:right="792" w:bottom="792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1051501">
    <w:abstractNumId w:val="8"/>
  </w:num>
  <w:num w:numId="2" w16cid:durableId="1774860444">
    <w:abstractNumId w:val="6"/>
  </w:num>
  <w:num w:numId="3" w16cid:durableId="1591961188">
    <w:abstractNumId w:val="5"/>
  </w:num>
  <w:num w:numId="4" w16cid:durableId="570892937">
    <w:abstractNumId w:val="4"/>
  </w:num>
  <w:num w:numId="5" w16cid:durableId="201065171">
    <w:abstractNumId w:val="7"/>
  </w:num>
  <w:num w:numId="6" w16cid:durableId="492264060">
    <w:abstractNumId w:val="3"/>
  </w:num>
  <w:num w:numId="7" w16cid:durableId="1678145507">
    <w:abstractNumId w:val="2"/>
  </w:num>
  <w:num w:numId="8" w16cid:durableId="1430008343">
    <w:abstractNumId w:val="1"/>
  </w:num>
  <w:num w:numId="9" w16cid:durableId="19505055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A3CE0"/>
    <w:rsid w:val="0029639D"/>
    <w:rsid w:val="00311D29"/>
    <w:rsid w:val="00326F90"/>
    <w:rsid w:val="00505651"/>
    <w:rsid w:val="00AA1D8D"/>
    <w:rsid w:val="00B14074"/>
    <w:rsid w:val="00B47730"/>
    <w:rsid w:val="00C4750C"/>
    <w:rsid w:val="00CB0664"/>
    <w:rsid w:val="00F877A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6DC4AF"/>
  <w14:defaultImageDpi w14:val="300"/>
  <w15:docId w15:val="{7B971393-C599-4833-8847-8EEDC7A9E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eastAsia="Arial" w:hAnsi="Arial"/>
      <w:sz w:val="1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608</Words>
  <Characters>4247</Characters>
  <Application>Microsoft Office Word</Application>
  <DocSecurity>0</DocSecurity>
  <Lines>132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4800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Jonathan Ma</cp:lastModifiedBy>
  <cp:revision>4</cp:revision>
  <dcterms:created xsi:type="dcterms:W3CDTF">2013-12-23T23:15:00Z</dcterms:created>
  <dcterms:modified xsi:type="dcterms:W3CDTF">2026-04-06T07:51:00Z</dcterms:modified>
  <cp:category/>
</cp:coreProperties>
</file>