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3C394" w14:textId="77777777" w:rsidR="00AB2D62" w:rsidRPr="00365852" w:rsidRDefault="00AB2D62" w:rsidP="00AB2D62">
      <w:pPr>
        <w:spacing w:line="480" w:lineRule="auto"/>
        <w:rPr>
          <w:rFonts w:ascii="Times New Roman" w:hAnsi="Times New Roman" w:cs="Times New Roman"/>
          <w:b/>
          <w:color w:val="000000" w:themeColor="text1"/>
        </w:rPr>
      </w:pPr>
      <w:r>
        <w:rPr>
          <w:rFonts w:ascii="Times New Roman" w:hAnsi="Times New Roman" w:cs="Times New Roman"/>
          <w:b/>
          <w:color w:val="000000" w:themeColor="text1"/>
        </w:rPr>
        <w:t>Supplementary</w:t>
      </w:r>
      <w:r w:rsidRPr="00365852">
        <w:rPr>
          <w:rFonts w:ascii="Times New Roman" w:hAnsi="Times New Roman" w:cs="Times New Roman"/>
          <w:b/>
          <w:color w:val="000000" w:themeColor="text1"/>
        </w:rPr>
        <w:t xml:space="preserve"> Figure Legends</w:t>
      </w:r>
    </w:p>
    <w:p w14:paraId="2DE2B2EC" w14:textId="77777777" w:rsidR="00AB2D62" w:rsidRDefault="00AB2D62" w:rsidP="00AB2D62">
      <w:pPr>
        <w:spacing w:line="480" w:lineRule="auto"/>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Supplementary</w:t>
      </w:r>
      <w:r w:rsidRPr="004B77B3">
        <w:rPr>
          <w:rFonts w:ascii="Times New Roman" w:hAnsi="Times New Roman" w:cs="Times New Roman"/>
          <w:b/>
          <w:color w:val="000000" w:themeColor="text1"/>
          <w:sz w:val="20"/>
          <w:szCs w:val="20"/>
        </w:rPr>
        <w:t xml:space="preserve"> Fig. 1.</w:t>
      </w:r>
      <w:r>
        <w:rPr>
          <w:rFonts w:ascii="Times New Roman" w:hAnsi="Times New Roman" w:cs="Times New Roman"/>
          <w:b/>
          <w:color w:val="000000" w:themeColor="text1"/>
          <w:sz w:val="20"/>
          <w:szCs w:val="20"/>
        </w:rPr>
        <w:t xml:space="preserve"> Survival and repair efficiency following a single HO break in wild-type and DNA repair mutants.</w:t>
      </w:r>
    </w:p>
    <w:p w14:paraId="6CF6DD60" w14:textId="77777777" w:rsidR="00AB2D62" w:rsidRDefault="00AB2D62" w:rsidP="00AB2D62">
      <w:pPr>
        <w:spacing w:line="480" w:lineRule="auto"/>
        <w:rPr>
          <w:rFonts w:ascii="Times New Roman" w:hAnsi="Times New Roman" w:cs="Times New Roman"/>
          <w:bCs/>
          <w:color w:val="000000" w:themeColor="text1"/>
          <w:sz w:val="20"/>
          <w:szCs w:val="20"/>
        </w:rPr>
      </w:pPr>
      <w:r w:rsidRPr="007532A5">
        <w:rPr>
          <w:rFonts w:ascii="Times New Roman" w:hAnsi="Times New Roman" w:cs="Times New Roman"/>
          <w:bCs/>
          <w:color w:val="000000" w:themeColor="text1"/>
          <w:sz w:val="20"/>
          <w:szCs w:val="20"/>
        </w:rPr>
        <w:t xml:space="preserve">A) </w:t>
      </w:r>
      <w:r>
        <w:rPr>
          <w:rFonts w:ascii="Times New Roman" w:hAnsi="Times New Roman" w:cs="Times New Roman"/>
          <w:bCs/>
          <w:color w:val="000000" w:themeColor="text1"/>
          <w:sz w:val="20"/>
          <w:szCs w:val="20"/>
        </w:rPr>
        <w:t xml:space="preserve">A single HO break was induced in wild-type,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by adding galactose to the media. Samples were collected 12 h post-induction for wild-type and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and 24 h for</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DNA repair efficiency was evaluated by measuring coverage recovery of a 2-4 kb region immediately downstream of the HO cut site (left panel). Cell viability was determined by comparing the number of colonies growing on solid YPG medium relative to YPD.</w:t>
      </w:r>
    </w:p>
    <w:p w14:paraId="55979D51"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B) Three </w:t>
      </w:r>
      <w:r w:rsidRPr="00D103D1">
        <w:rPr>
          <w:rFonts w:ascii="Times New Roman" w:hAnsi="Times New Roman" w:cs="Times New Roman"/>
          <w:bCs/>
          <w:i/>
          <w:iCs/>
          <w:color w:val="000000" w:themeColor="text1"/>
          <w:sz w:val="20"/>
          <w:szCs w:val="20"/>
        </w:rPr>
        <w:t>MAT</w:t>
      </w:r>
      <w:r>
        <w:rPr>
          <w:rFonts w:ascii="Times New Roman" w:hAnsi="Times New Roman" w:cs="Times New Roman"/>
          <w:bCs/>
          <w:color w:val="000000" w:themeColor="text1"/>
          <w:sz w:val="20"/>
          <w:szCs w:val="20"/>
        </w:rPr>
        <w:t xml:space="preserve">a´ polymorphisms generate </w:t>
      </w:r>
      <w:r w:rsidRPr="00466F7D">
        <w:rPr>
          <w:rFonts w:ascii="Times New Roman" w:hAnsi="Times New Roman" w:cs="Times New Roman"/>
          <w:bCs/>
          <w:i/>
          <w:iCs/>
          <w:color w:val="000000" w:themeColor="text1"/>
          <w:sz w:val="20"/>
          <w:szCs w:val="20"/>
        </w:rPr>
        <w:t>Eco</w:t>
      </w:r>
      <w:r>
        <w:rPr>
          <w:rFonts w:ascii="Times New Roman" w:hAnsi="Times New Roman" w:cs="Times New Roman"/>
          <w:bCs/>
          <w:color w:val="000000" w:themeColor="text1"/>
          <w:sz w:val="20"/>
          <w:szCs w:val="20"/>
        </w:rPr>
        <w:t xml:space="preserve">RI restriction sites (blue lines), enabling distinction between NHEJ and HR repair and the assessment of gene conversion directionality by Southern blotting (left panel). The position of probes and expected fragment sizes for each putative recombination outcome are indicated. Southern blot assays using the left and right probes show that GC in wild-type,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w:t>
      </w:r>
      <w:r>
        <w:rPr>
          <w:rFonts w:ascii="Times New Roman" w:hAnsi="Times New Roman" w:cs="Times New Roman"/>
          <w:bCs/>
          <w:color w:val="000000" w:themeColor="text1"/>
          <w:sz w:val="20"/>
          <w:szCs w:val="20"/>
        </w:rPr>
        <w:t xml:space="preserve"> and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Pr>
          <w:rFonts w:ascii="Symbol" w:hAnsi="Symbol" w:cs="Times New Roman"/>
          <w:bCs/>
          <w:color w:val="000000" w:themeColor="text1"/>
          <w:sz w:val="20"/>
          <w:szCs w:val="20"/>
        </w:rPr>
        <w:t xml:space="preserve"> </w:t>
      </w:r>
      <w:r>
        <w:rPr>
          <w:rFonts w:ascii="Times New Roman" w:hAnsi="Times New Roman" w:cs="Times New Roman"/>
          <w:bCs/>
          <w:color w:val="000000" w:themeColor="text1"/>
          <w:sz w:val="20"/>
          <w:szCs w:val="20"/>
        </w:rPr>
        <w:t xml:space="preserve">cells is asymmetric toward the left of the HO site, incorporating the two </w:t>
      </w:r>
      <w:r w:rsidRPr="00D103D1">
        <w:rPr>
          <w:rFonts w:ascii="Times New Roman" w:hAnsi="Times New Roman" w:cs="Times New Roman"/>
          <w:bCs/>
          <w:i/>
          <w:iCs/>
          <w:color w:val="000000" w:themeColor="text1"/>
          <w:sz w:val="20"/>
          <w:szCs w:val="20"/>
        </w:rPr>
        <w:t>Eco</w:t>
      </w:r>
      <w:r>
        <w:rPr>
          <w:rFonts w:ascii="Times New Roman" w:hAnsi="Times New Roman" w:cs="Times New Roman"/>
          <w:bCs/>
          <w:color w:val="000000" w:themeColor="text1"/>
          <w:sz w:val="20"/>
          <w:szCs w:val="20"/>
        </w:rPr>
        <w:t xml:space="preserve">RI sites in surviving cells (right panel). In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Symbol" w:hAnsi="Symbol" w:cs="Times New Roman"/>
          <w:bCs/>
          <w:i/>
          <w:iCs/>
          <w:color w:val="000000" w:themeColor="text1"/>
          <w:sz w:val="20"/>
          <w:szCs w:val="20"/>
        </w:rPr>
        <w:t xml:space="preserve"> </w:t>
      </w:r>
      <w:r>
        <w:rPr>
          <w:rFonts w:ascii="Times New Roman" w:hAnsi="Times New Roman" w:cs="Times New Roman"/>
          <w:bCs/>
          <w:color w:val="000000" w:themeColor="text1"/>
          <w:sz w:val="20"/>
          <w:szCs w:val="20"/>
        </w:rPr>
        <w:t>survivors, little HR product was detected, with re-accumulation of the uncut band, thus indicative of DNA repair by NHEJ of short-range recombination.</w:t>
      </w:r>
    </w:p>
    <w:p w14:paraId="347B0691"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C) Coverage profile of chromosome III for wild-type,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under NSS, SS and UD conditions. Low-coverage regions surrounding the HO break in NSS samples of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indicate ongoing resection and incomplete repair at this time-point. Chromosome III coverage was fully restored in all strains under SS conditions. Notably,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SS cells exhibit a pronounced coverage loss between two transposons (85-150 kb), consistent with stable gross chromosomal rearrangements in the absence of the helicase. Note that duplicated regions have been removed from the analysis (grey areas) due to the -m 1 bowtie alignment mode.</w:t>
      </w:r>
    </w:p>
    <w:p w14:paraId="6EB7AFDB" w14:textId="77777777" w:rsidR="00AB2D62" w:rsidRPr="00706E78" w:rsidRDefault="00AB2D62" w:rsidP="00AB2D62">
      <w:pPr>
        <w:spacing w:line="480" w:lineRule="auto"/>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 xml:space="preserve">Supplementary Fig. 2. Analysis of </w:t>
      </w:r>
      <w:r>
        <w:rPr>
          <w:rFonts w:ascii="Times New Roman" w:hAnsi="Times New Roman" w:cs="Times New Roman"/>
          <w:b/>
          <w:i/>
          <w:iCs/>
          <w:color w:val="000000" w:themeColor="text1"/>
          <w:sz w:val="20"/>
          <w:szCs w:val="20"/>
        </w:rPr>
        <w:t xml:space="preserve">MAT </w:t>
      </w:r>
      <w:r w:rsidRPr="00964863">
        <w:rPr>
          <w:rFonts w:ascii="Times New Roman" w:hAnsi="Times New Roman" w:cs="Times New Roman"/>
          <w:b/>
          <w:i/>
          <w:iCs/>
          <w:color w:val="000000" w:themeColor="text1"/>
          <w:sz w:val="20"/>
          <w:szCs w:val="20"/>
        </w:rPr>
        <w:t>locus</w:t>
      </w:r>
      <w:r>
        <w:rPr>
          <w:rFonts w:ascii="Times New Roman" w:hAnsi="Times New Roman" w:cs="Times New Roman"/>
          <w:b/>
          <w:color w:val="000000" w:themeColor="text1"/>
          <w:sz w:val="20"/>
          <w:szCs w:val="20"/>
        </w:rPr>
        <w:t xml:space="preserve"> gene conversion using polymorphism-specific coverage profiles.</w:t>
      </w:r>
    </w:p>
    <w:p w14:paraId="17E253D4"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A) Schematic representation of the coordinates and polymorphisms sites at the </w:t>
      </w:r>
      <w:r>
        <w:rPr>
          <w:rFonts w:ascii="Times New Roman" w:hAnsi="Times New Roman" w:cs="Times New Roman"/>
          <w:bCs/>
          <w:i/>
          <w:iCs/>
          <w:color w:val="000000" w:themeColor="text1"/>
          <w:sz w:val="20"/>
          <w:szCs w:val="20"/>
        </w:rPr>
        <w:t>MAT</w:t>
      </w:r>
      <w:r>
        <w:rPr>
          <w:rFonts w:ascii="Times New Roman" w:hAnsi="Times New Roman" w:cs="Times New Roman"/>
          <w:bCs/>
          <w:color w:val="000000" w:themeColor="text1"/>
          <w:sz w:val="20"/>
          <w:szCs w:val="20"/>
        </w:rPr>
        <w:t xml:space="preserve">a and </w:t>
      </w:r>
      <w:r>
        <w:rPr>
          <w:rFonts w:ascii="Times New Roman" w:hAnsi="Times New Roman" w:cs="Times New Roman"/>
          <w:bCs/>
          <w:i/>
          <w:iCs/>
          <w:color w:val="000000" w:themeColor="text1"/>
          <w:sz w:val="20"/>
          <w:szCs w:val="20"/>
        </w:rPr>
        <w:t>MAT</w:t>
      </w:r>
      <w:r>
        <w:rPr>
          <w:rFonts w:ascii="Times New Roman" w:hAnsi="Times New Roman" w:cs="Times New Roman"/>
          <w:bCs/>
          <w:color w:val="000000" w:themeColor="text1"/>
          <w:sz w:val="20"/>
          <w:szCs w:val="20"/>
        </w:rPr>
        <w:t xml:space="preserve">a´ </w:t>
      </w:r>
      <w:r w:rsidRPr="00625B51">
        <w:rPr>
          <w:rFonts w:ascii="Times New Roman" w:hAnsi="Times New Roman" w:cs="Times New Roman"/>
          <w:bCs/>
          <w:i/>
          <w:iCs/>
          <w:color w:val="000000" w:themeColor="text1"/>
          <w:sz w:val="20"/>
          <w:szCs w:val="20"/>
        </w:rPr>
        <w:t>loci</w:t>
      </w:r>
      <w:r>
        <w:rPr>
          <w:rFonts w:ascii="Times New Roman" w:hAnsi="Times New Roman" w:cs="Times New Roman"/>
          <w:bCs/>
          <w:color w:val="000000" w:themeColor="text1"/>
          <w:sz w:val="20"/>
          <w:szCs w:val="20"/>
        </w:rPr>
        <w:t xml:space="preserve"> on chromosomes III and V.</w:t>
      </w:r>
    </w:p>
    <w:p w14:paraId="60B6BBD0" w14:textId="77777777" w:rsidR="00AB2D62" w:rsidRPr="00930F8D"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lastRenderedPageBreak/>
        <w:t xml:space="preserve">B) </w:t>
      </w:r>
      <w:r>
        <w:rPr>
          <w:rFonts w:ascii="Times New Roman" w:hAnsi="Times New Roman" w:cs="Times New Roman"/>
          <w:bCs/>
          <w:i/>
          <w:iCs/>
          <w:color w:val="000000" w:themeColor="text1"/>
          <w:sz w:val="20"/>
          <w:szCs w:val="20"/>
        </w:rPr>
        <w:t xml:space="preserve">MAT </w:t>
      </w:r>
      <w:r>
        <w:rPr>
          <w:rFonts w:ascii="Times New Roman" w:hAnsi="Times New Roman" w:cs="Times New Roman"/>
          <w:bCs/>
          <w:color w:val="000000" w:themeColor="text1"/>
          <w:sz w:val="20"/>
          <w:szCs w:val="20"/>
        </w:rPr>
        <w:t xml:space="preserve">coverage profiles in NSS (left column), SS (middle column) and UD (right column) cells, and their corresponding T0 sample. Sequencing reads were split into 18-mer and aligned using Bowtie in -k 1 mode. Reads mapping within inter-polymorphism regions aligned randomly to </w:t>
      </w:r>
      <w:r>
        <w:rPr>
          <w:rFonts w:ascii="Times New Roman" w:hAnsi="Times New Roman" w:cs="Times New Roman"/>
          <w:bCs/>
          <w:i/>
          <w:iCs/>
          <w:color w:val="000000" w:themeColor="text1"/>
          <w:sz w:val="20"/>
          <w:szCs w:val="20"/>
        </w:rPr>
        <w:t>MAT</w:t>
      </w:r>
      <w:r>
        <w:rPr>
          <w:rFonts w:ascii="Times New Roman" w:hAnsi="Times New Roman" w:cs="Times New Roman"/>
          <w:bCs/>
          <w:color w:val="000000" w:themeColor="text1"/>
          <w:sz w:val="20"/>
          <w:szCs w:val="20"/>
        </w:rPr>
        <w:t xml:space="preserve">a or </w:t>
      </w:r>
      <w:r>
        <w:rPr>
          <w:rFonts w:ascii="Times New Roman" w:hAnsi="Times New Roman" w:cs="Times New Roman"/>
          <w:bCs/>
          <w:i/>
          <w:iCs/>
          <w:color w:val="000000" w:themeColor="text1"/>
          <w:sz w:val="20"/>
          <w:szCs w:val="20"/>
        </w:rPr>
        <w:t>MAT</w:t>
      </w:r>
      <w:r>
        <w:rPr>
          <w:rFonts w:ascii="Times New Roman" w:hAnsi="Times New Roman" w:cs="Times New Roman"/>
          <w:bCs/>
          <w:color w:val="000000" w:themeColor="text1"/>
          <w:sz w:val="20"/>
          <w:szCs w:val="20"/>
        </w:rPr>
        <w:t xml:space="preserve">a´, generating a basal coverage signal, whereas reads overlapping polymorphic sites mapped specifically to the corresponding chromosome III or V </w:t>
      </w:r>
      <w:r>
        <w:rPr>
          <w:rFonts w:ascii="Times New Roman" w:hAnsi="Times New Roman" w:cs="Times New Roman"/>
          <w:bCs/>
          <w:i/>
          <w:iCs/>
          <w:color w:val="000000" w:themeColor="text1"/>
          <w:sz w:val="20"/>
          <w:szCs w:val="20"/>
        </w:rPr>
        <w:t xml:space="preserve">MAT </w:t>
      </w:r>
      <w:r>
        <w:rPr>
          <w:rFonts w:ascii="Times New Roman" w:hAnsi="Times New Roman" w:cs="Times New Roman"/>
          <w:bCs/>
          <w:color w:val="000000" w:themeColor="text1"/>
          <w:sz w:val="20"/>
          <w:szCs w:val="20"/>
        </w:rPr>
        <w:t xml:space="preserve">region, enabling precise quantification of gene conversion events. </w:t>
      </w:r>
    </w:p>
    <w:p w14:paraId="5D50058F" w14:textId="77777777" w:rsidR="00AB2D62" w:rsidRPr="00E347A4" w:rsidRDefault="00AB2D62" w:rsidP="00AB2D62">
      <w:pPr>
        <w:spacing w:line="48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 xml:space="preserve">Supplementary Fig. 3. Analysis of </w:t>
      </w:r>
      <w:r w:rsidRPr="00E347A4">
        <w:rPr>
          <w:rFonts w:ascii="Times New Roman" w:hAnsi="Times New Roman" w:cs="Times New Roman"/>
          <w:b/>
          <w:bCs/>
          <w:i/>
          <w:iCs/>
          <w:color w:val="000000" w:themeColor="text1"/>
          <w:sz w:val="20"/>
          <w:szCs w:val="20"/>
        </w:rPr>
        <w:t>MAT</w:t>
      </w:r>
      <w:r>
        <w:rPr>
          <w:rFonts w:ascii="Times New Roman" w:hAnsi="Times New Roman" w:cs="Times New Roman"/>
          <w:b/>
          <w:bCs/>
          <w:color w:val="000000" w:themeColor="text1"/>
          <w:sz w:val="20"/>
          <w:szCs w:val="20"/>
        </w:rPr>
        <w:t xml:space="preserve"> gene conversion and associated mutational pattern using coverage and discordance-based approaches.</w:t>
      </w:r>
    </w:p>
    <w:p w14:paraId="61F22779" w14:textId="77777777" w:rsidR="00AB2D62" w:rsidRDefault="00AB2D62" w:rsidP="00AB2D62">
      <w:pPr>
        <w:spacing w:line="480" w:lineRule="auto"/>
        <w:rPr>
          <w:rFonts w:ascii="Times New Roman" w:eastAsia="MS Gothic" w:hAnsi="Times New Roman" w:cs="Times New Roman"/>
          <w:bCs/>
          <w:color w:val="000000" w:themeColor="text1"/>
          <w:sz w:val="20"/>
          <w:szCs w:val="20"/>
        </w:rPr>
      </w:pPr>
      <w:r w:rsidRPr="002E4B51">
        <w:rPr>
          <w:rFonts w:ascii="Times New Roman" w:hAnsi="Times New Roman" w:cs="Times New Roman"/>
          <w:color w:val="000000" w:themeColor="text1"/>
          <w:sz w:val="20"/>
          <w:szCs w:val="20"/>
        </w:rPr>
        <w:t xml:space="preserve">A) </w:t>
      </w:r>
      <w:r>
        <w:rPr>
          <w:rFonts w:ascii="Times New Roman" w:eastAsia="MS Gothic" w:hAnsi="Times New Roman" w:cs="Times New Roman"/>
          <w:bCs/>
          <w:color w:val="000000" w:themeColor="text1"/>
          <w:sz w:val="20"/>
          <w:szCs w:val="20"/>
        </w:rPr>
        <w:t xml:space="preserve">Gene conversion between </w:t>
      </w:r>
      <w:r>
        <w:rPr>
          <w:rFonts w:ascii="Times New Roman" w:eastAsia="MS Gothic" w:hAnsi="Times New Roman" w:cs="Times New Roman"/>
          <w:bCs/>
          <w:i/>
          <w:iCs/>
          <w:color w:val="000000" w:themeColor="text1"/>
          <w:sz w:val="20"/>
          <w:szCs w:val="20"/>
        </w:rPr>
        <w:t>MAT</w:t>
      </w:r>
      <w:r>
        <w:rPr>
          <w:rFonts w:ascii="Times New Roman" w:eastAsia="MS Gothic" w:hAnsi="Times New Roman" w:cs="Times New Roman"/>
          <w:bCs/>
          <w:color w:val="000000" w:themeColor="text1"/>
          <w:sz w:val="20"/>
          <w:szCs w:val="20"/>
        </w:rPr>
        <w:t xml:space="preserve">a and </w:t>
      </w:r>
      <w:r>
        <w:rPr>
          <w:rFonts w:ascii="Times New Roman" w:eastAsia="MS Gothic" w:hAnsi="Times New Roman" w:cs="Times New Roman"/>
          <w:bCs/>
          <w:i/>
          <w:iCs/>
          <w:color w:val="000000" w:themeColor="text1"/>
          <w:sz w:val="20"/>
          <w:szCs w:val="20"/>
        </w:rPr>
        <w:t>MAT</w:t>
      </w:r>
      <w:r>
        <w:rPr>
          <w:rFonts w:ascii="Times New Roman" w:eastAsia="MS Gothic" w:hAnsi="Times New Roman" w:cs="Times New Roman"/>
          <w:bCs/>
          <w:color w:val="000000" w:themeColor="text1"/>
          <w:sz w:val="20"/>
          <w:szCs w:val="20"/>
        </w:rPr>
        <w:t>a´ was assessed as in figure 1D in UD samples using the 18-mer read coverage profiles shown in Supplementary Figure 2B (right column). Coverage analysis revealed no detectable differences between chromosome III and V for any polymorphism, indicating the absence of gene conversion in UD cells.</w:t>
      </w:r>
    </w:p>
    <w:p w14:paraId="21E135B5" w14:textId="77777777" w:rsidR="00AB2D62" w:rsidRDefault="00AB2D62" w:rsidP="00AB2D62">
      <w:pPr>
        <w:spacing w:line="480" w:lineRule="auto"/>
        <w:rPr>
          <w:rFonts w:ascii="Times New Roman" w:eastAsia="MS Gothic" w:hAnsi="Times New Roman" w:cs="Times New Roman"/>
          <w:bCs/>
          <w:color w:val="000000" w:themeColor="text1"/>
          <w:sz w:val="20"/>
          <w:szCs w:val="20"/>
        </w:rPr>
      </w:pPr>
      <w:r w:rsidRPr="00755F7C">
        <w:rPr>
          <w:rFonts w:ascii="Times New Roman" w:eastAsia="MS Gothic" w:hAnsi="Times New Roman" w:cs="Times New Roman"/>
          <w:bCs/>
          <w:color w:val="000000" w:themeColor="text1"/>
          <w:sz w:val="20"/>
          <w:szCs w:val="20"/>
        </w:rPr>
        <w:t xml:space="preserve">B) </w:t>
      </w:r>
      <w:r>
        <w:rPr>
          <w:rFonts w:ascii="Times New Roman" w:eastAsia="MS Gothic" w:hAnsi="Times New Roman" w:cs="Times New Roman"/>
          <w:bCs/>
          <w:color w:val="000000" w:themeColor="text1"/>
          <w:sz w:val="20"/>
          <w:szCs w:val="20"/>
        </w:rPr>
        <w:t>Gene conversion</w:t>
      </w:r>
      <w:r w:rsidRPr="00755F7C">
        <w:rPr>
          <w:rFonts w:ascii="Times New Roman" w:eastAsia="MS Gothic" w:hAnsi="Times New Roman" w:cs="Times New Roman"/>
          <w:bCs/>
          <w:color w:val="000000" w:themeColor="text1"/>
          <w:sz w:val="20"/>
          <w:szCs w:val="20"/>
        </w:rPr>
        <w:t xml:space="preserve"> profile </w:t>
      </w:r>
      <w:r>
        <w:rPr>
          <w:rFonts w:ascii="Times New Roman" w:eastAsia="MS Gothic" w:hAnsi="Times New Roman" w:cs="Times New Roman"/>
          <w:bCs/>
          <w:color w:val="000000" w:themeColor="text1"/>
          <w:sz w:val="20"/>
          <w:szCs w:val="20"/>
        </w:rPr>
        <w:t>based</w:t>
      </w:r>
      <w:r w:rsidRPr="00755F7C">
        <w:rPr>
          <w:rFonts w:ascii="Times New Roman" w:eastAsia="MS Gothic" w:hAnsi="Times New Roman" w:cs="Times New Roman"/>
          <w:bCs/>
          <w:color w:val="000000" w:themeColor="text1"/>
          <w:sz w:val="20"/>
          <w:szCs w:val="20"/>
        </w:rPr>
        <w:t xml:space="preserve"> </w:t>
      </w:r>
      <w:r>
        <w:rPr>
          <w:rFonts w:ascii="Times New Roman" w:eastAsia="MS Gothic" w:hAnsi="Times New Roman" w:cs="Times New Roman"/>
          <w:bCs/>
          <w:color w:val="000000" w:themeColor="text1"/>
          <w:sz w:val="20"/>
          <w:szCs w:val="20"/>
        </w:rPr>
        <w:t xml:space="preserve">on </w:t>
      </w:r>
      <w:r w:rsidRPr="00755F7C">
        <w:rPr>
          <w:rFonts w:ascii="Times New Roman" w:eastAsia="MS Gothic" w:hAnsi="Times New Roman" w:cs="Times New Roman"/>
          <w:bCs/>
          <w:color w:val="000000" w:themeColor="text1"/>
          <w:sz w:val="20"/>
          <w:szCs w:val="20"/>
        </w:rPr>
        <w:t xml:space="preserve">discordant reads in SS cells. </w:t>
      </w:r>
      <w:r>
        <w:rPr>
          <w:rFonts w:ascii="Times New Roman" w:eastAsia="MS Gothic" w:hAnsi="Times New Roman" w:cs="Times New Roman"/>
          <w:bCs/>
          <w:color w:val="000000" w:themeColor="text1"/>
          <w:sz w:val="20"/>
          <w:szCs w:val="20"/>
        </w:rPr>
        <w:t xml:space="preserve">Paired-end </w:t>
      </w:r>
      <w:r w:rsidRPr="00755F7C">
        <w:rPr>
          <w:rFonts w:ascii="Times New Roman" w:eastAsia="MS Gothic" w:hAnsi="Times New Roman" w:cs="Times New Roman"/>
          <w:bCs/>
          <w:color w:val="000000" w:themeColor="text1"/>
          <w:sz w:val="20"/>
          <w:szCs w:val="20"/>
        </w:rPr>
        <w:t xml:space="preserve">150 nt reads were split into 18-mers, </w:t>
      </w:r>
      <w:r>
        <w:rPr>
          <w:rFonts w:ascii="Times New Roman" w:eastAsia="MS Gothic" w:hAnsi="Times New Roman" w:cs="Times New Roman"/>
          <w:bCs/>
          <w:color w:val="000000" w:themeColor="text1"/>
          <w:sz w:val="20"/>
          <w:szCs w:val="20"/>
        </w:rPr>
        <w:t xml:space="preserve">and </w:t>
      </w:r>
      <w:r w:rsidRPr="00755F7C">
        <w:rPr>
          <w:rFonts w:ascii="Times New Roman" w:eastAsia="MS Gothic" w:hAnsi="Times New Roman" w:cs="Times New Roman"/>
          <w:bCs/>
          <w:color w:val="000000" w:themeColor="text1"/>
          <w:sz w:val="20"/>
          <w:szCs w:val="20"/>
        </w:rPr>
        <w:t xml:space="preserve">R1 and R2 </w:t>
      </w:r>
      <w:r>
        <w:rPr>
          <w:rFonts w:ascii="Times New Roman" w:eastAsia="MS Gothic" w:hAnsi="Times New Roman" w:cs="Times New Roman"/>
          <w:bCs/>
          <w:color w:val="000000" w:themeColor="text1"/>
          <w:sz w:val="20"/>
          <w:szCs w:val="20"/>
        </w:rPr>
        <w:t xml:space="preserve">fragments </w:t>
      </w:r>
      <w:r w:rsidRPr="00755F7C">
        <w:rPr>
          <w:rFonts w:ascii="Times New Roman" w:eastAsia="MS Gothic" w:hAnsi="Times New Roman" w:cs="Times New Roman"/>
          <w:bCs/>
          <w:color w:val="000000" w:themeColor="text1"/>
          <w:sz w:val="20"/>
          <w:szCs w:val="20"/>
        </w:rPr>
        <w:t xml:space="preserve">were paired considering a 60 nt </w:t>
      </w:r>
      <w:r>
        <w:rPr>
          <w:rFonts w:ascii="Times New Roman" w:eastAsia="MS Gothic" w:hAnsi="Times New Roman" w:cs="Times New Roman"/>
          <w:bCs/>
          <w:color w:val="000000" w:themeColor="text1"/>
          <w:sz w:val="20"/>
          <w:szCs w:val="20"/>
        </w:rPr>
        <w:t>s</w:t>
      </w:r>
      <w:r w:rsidRPr="00755F7C">
        <w:rPr>
          <w:rFonts w:ascii="Times New Roman" w:eastAsia="MS Gothic" w:hAnsi="Times New Roman" w:cs="Times New Roman"/>
          <w:bCs/>
          <w:color w:val="000000" w:themeColor="text1"/>
          <w:sz w:val="20"/>
          <w:szCs w:val="20"/>
        </w:rPr>
        <w:t>pac</w:t>
      </w:r>
      <w:r>
        <w:rPr>
          <w:rFonts w:ascii="Times New Roman" w:eastAsia="MS Gothic" w:hAnsi="Times New Roman" w:cs="Times New Roman"/>
          <w:bCs/>
          <w:color w:val="000000" w:themeColor="text1"/>
          <w:sz w:val="20"/>
          <w:szCs w:val="20"/>
        </w:rPr>
        <w:t>ing. Reads were</w:t>
      </w:r>
      <w:r w:rsidRPr="00755F7C">
        <w:rPr>
          <w:rFonts w:ascii="Times New Roman" w:eastAsia="MS Gothic" w:hAnsi="Times New Roman" w:cs="Times New Roman"/>
          <w:bCs/>
          <w:color w:val="000000" w:themeColor="text1"/>
          <w:sz w:val="20"/>
          <w:szCs w:val="20"/>
        </w:rPr>
        <w:t xml:space="preserve"> aligned using Bowtie2 (see </w:t>
      </w:r>
      <w:r>
        <w:rPr>
          <w:rFonts w:ascii="Times New Roman" w:eastAsia="MS Gothic" w:hAnsi="Times New Roman" w:cs="Times New Roman"/>
          <w:bCs/>
          <w:color w:val="000000" w:themeColor="text1"/>
          <w:sz w:val="20"/>
          <w:szCs w:val="20"/>
        </w:rPr>
        <w:t>M</w:t>
      </w:r>
      <w:r w:rsidRPr="00755F7C">
        <w:rPr>
          <w:rFonts w:ascii="Times New Roman" w:eastAsia="MS Gothic" w:hAnsi="Times New Roman" w:cs="Times New Roman"/>
          <w:bCs/>
          <w:color w:val="000000" w:themeColor="text1"/>
          <w:sz w:val="20"/>
          <w:szCs w:val="20"/>
        </w:rPr>
        <w:t>ethods for details), and discordan</w:t>
      </w:r>
      <w:r>
        <w:rPr>
          <w:rFonts w:ascii="Times New Roman" w:eastAsia="MS Gothic" w:hAnsi="Times New Roman" w:cs="Times New Roman"/>
          <w:bCs/>
          <w:color w:val="000000" w:themeColor="text1"/>
          <w:sz w:val="20"/>
          <w:szCs w:val="20"/>
        </w:rPr>
        <w:t xml:space="preserve">t coverage levels at each </w:t>
      </w:r>
      <w:r w:rsidRPr="007C0FC4">
        <w:rPr>
          <w:rFonts w:ascii="Times New Roman" w:eastAsia="MS Gothic" w:hAnsi="Times New Roman" w:cs="Times New Roman"/>
          <w:bCs/>
          <w:i/>
          <w:iCs/>
          <w:color w:val="000000" w:themeColor="text1"/>
          <w:sz w:val="20"/>
          <w:szCs w:val="20"/>
        </w:rPr>
        <w:t>MAT</w:t>
      </w:r>
      <w:r>
        <w:rPr>
          <w:rFonts w:ascii="Times New Roman" w:eastAsia="MS Gothic" w:hAnsi="Times New Roman" w:cs="Times New Roman"/>
          <w:bCs/>
          <w:color w:val="000000" w:themeColor="text1"/>
          <w:sz w:val="20"/>
          <w:szCs w:val="20"/>
        </w:rPr>
        <w:t xml:space="preserve"> polymorphism were plotted to assess GC extension and directionality.</w:t>
      </w:r>
    </w:p>
    <w:p w14:paraId="57D6380B" w14:textId="77777777" w:rsidR="00AB2D62" w:rsidRDefault="00AB2D62" w:rsidP="00AB2D62">
      <w:pPr>
        <w:spacing w:line="480" w:lineRule="auto"/>
        <w:rPr>
          <w:rFonts w:ascii="Times New Roman" w:eastAsia="MS Gothic" w:hAnsi="Times New Roman" w:cs="Times New Roman"/>
          <w:bCs/>
          <w:color w:val="000000" w:themeColor="text1"/>
          <w:sz w:val="20"/>
          <w:szCs w:val="20"/>
        </w:rPr>
      </w:pPr>
      <w:r>
        <w:rPr>
          <w:rFonts w:ascii="Times New Roman" w:eastAsia="MS Gothic" w:hAnsi="Times New Roman" w:cs="Times New Roman"/>
          <w:bCs/>
          <w:color w:val="000000" w:themeColor="text1"/>
          <w:sz w:val="20"/>
          <w:szCs w:val="20"/>
        </w:rPr>
        <w:t>C) Representation of filtered reads containing G</w:t>
      </w:r>
      <w:r w:rsidRPr="0030279D">
        <w:rPr>
          <w:rFonts w:ascii="Times New Roman" w:eastAsia="MS Gothic" w:hAnsi="Times New Roman" w:cs="Times New Roman"/>
          <w:bCs/>
          <w:color w:val="000000" w:themeColor="text1"/>
          <w:sz w:val="20"/>
          <w:szCs w:val="20"/>
          <w:vertAlign w:val="superscript"/>
        </w:rPr>
        <w:t>200689</w:t>
      </w:r>
      <w:r>
        <w:rPr>
          <w:rFonts w:ascii="Times New Roman" w:eastAsia="MS Gothic" w:hAnsi="Times New Roman" w:cs="Times New Roman"/>
          <w:bCs/>
          <w:color w:val="000000" w:themeColor="text1"/>
          <w:sz w:val="20"/>
          <w:szCs w:val="20"/>
        </w:rPr>
        <w:t xml:space="preserve"> and A</w:t>
      </w:r>
      <w:r w:rsidRPr="0030279D">
        <w:rPr>
          <w:rFonts w:ascii="Times New Roman" w:eastAsia="MS Gothic" w:hAnsi="Times New Roman" w:cs="Times New Roman"/>
          <w:bCs/>
          <w:color w:val="000000" w:themeColor="text1"/>
          <w:sz w:val="20"/>
          <w:szCs w:val="20"/>
          <w:vertAlign w:val="superscript"/>
        </w:rPr>
        <w:t>200689</w:t>
      </w:r>
      <w:r>
        <w:rPr>
          <w:rFonts w:ascii="Times New Roman" w:eastAsia="MS Gothic" w:hAnsi="Times New Roman" w:cs="Times New Roman"/>
          <w:bCs/>
          <w:color w:val="000000" w:themeColor="text1"/>
          <w:sz w:val="20"/>
          <w:szCs w:val="20"/>
        </w:rPr>
        <w:t xml:space="preserve"> at T0 across all strains revealed no associated mutations, indicating intact HO and HO-</w:t>
      </w:r>
      <w:r>
        <w:rPr>
          <w:rFonts w:ascii="Times New Roman" w:eastAsia="MS Gothic" w:hAnsi="Times New Roman" w:cs="Times New Roman"/>
          <w:bCs/>
          <w:i/>
          <w:iCs/>
          <w:color w:val="000000" w:themeColor="text1"/>
          <w:sz w:val="20"/>
          <w:szCs w:val="20"/>
        </w:rPr>
        <w:t xml:space="preserve">inc </w:t>
      </w:r>
      <w:r>
        <w:rPr>
          <w:rFonts w:ascii="Times New Roman" w:eastAsia="MS Gothic" w:hAnsi="Times New Roman" w:cs="Times New Roman"/>
          <w:bCs/>
          <w:color w:val="000000" w:themeColor="text1"/>
          <w:sz w:val="20"/>
          <w:szCs w:val="20"/>
        </w:rPr>
        <w:t>sequences prior to HO induction. Consistently, the proportion of these reads containing C</w:t>
      </w:r>
      <w:r w:rsidRPr="0030279D">
        <w:rPr>
          <w:rFonts w:ascii="Times New Roman" w:eastAsia="MS Gothic" w:hAnsi="Times New Roman" w:cs="Times New Roman"/>
          <w:bCs/>
          <w:color w:val="000000" w:themeColor="text1"/>
          <w:sz w:val="20"/>
          <w:szCs w:val="20"/>
          <w:vertAlign w:val="superscript"/>
        </w:rPr>
        <w:t>200753</w:t>
      </w:r>
      <w:r>
        <w:rPr>
          <w:rFonts w:ascii="Times New Roman" w:eastAsia="MS Gothic" w:hAnsi="Times New Roman" w:cs="Times New Roman"/>
          <w:bCs/>
          <w:color w:val="000000" w:themeColor="text1"/>
          <w:sz w:val="20"/>
          <w:szCs w:val="20"/>
        </w:rPr>
        <w:t xml:space="preserve"> and T</w:t>
      </w:r>
      <w:r w:rsidRPr="0030279D">
        <w:rPr>
          <w:rFonts w:ascii="Times New Roman" w:eastAsia="MS Gothic" w:hAnsi="Times New Roman" w:cs="Times New Roman"/>
          <w:bCs/>
          <w:color w:val="000000" w:themeColor="text1"/>
          <w:sz w:val="20"/>
          <w:szCs w:val="20"/>
          <w:vertAlign w:val="superscript"/>
        </w:rPr>
        <w:t>200753</w:t>
      </w:r>
      <w:r>
        <w:rPr>
          <w:rFonts w:ascii="Times New Roman" w:eastAsia="MS Gothic" w:hAnsi="Times New Roman" w:cs="Times New Roman"/>
          <w:bCs/>
          <w:color w:val="000000" w:themeColor="text1"/>
          <w:sz w:val="20"/>
          <w:szCs w:val="20"/>
        </w:rPr>
        <w:t xml:space="preserve"> for all strain assessed was approximately 50%, accurately reflecting the equal contribution of reads mapping to the </w:t>
      </w:r>
      <w:r>
        <w:rPr>
          <w:rFonts w:ascii="Times New Roman" w:eastAsia="MS Gothic" w:hAnsi="Times New Roman" w:cs="Times New Roman"/>
          <w:bCs/>
          <w:i/>
          <w:iCs/>
          <w:color w:val="000000" w:themeColor="text1"/>
          <w:sz w:val="20"/>
          <w:szCs w:val="20"/>
        </w:rPr>
        <w:t>MAT</w:t>
      </w:r>
      <w:r>
        <w:rPr>
          <w:rFonts w:ascii="Times New Roman" w:eastAsia="MS Gothic" w:hAnsi="Times New Roman" w:cs="Times New Roman"/>
          <w:bCs/>
          <w:color w:val="000000" w:themeColor="text1"/>
          <w:sz w:val="20"/>
          <w:szCs w:val="20"/>
        </w:rPr>
        <w:t xml:space="preserve">a and </w:t>
      </w:r>
      <w:r>
        <w:rPr>
          <w:rFonts w:ascii="Times New Roman" w:eastAsia="MS Gothic" w:hAnsi="Times New Roman" w:cs="Times New Roman"/>
          <w:bCs/>
          <w:i/>
          <w:iCs/>
          <w:color w:val="000000" w:themeColor="text1"/>
          <w:sz w:val="20"/>
          <w:szCs w:val="20"/>
        </w:rPr>
        <w:t>MAT</w:t>
      </w:r>
      <w:r>
        <w:rPr>
          <w:rFonts w:ascii="Times New Roman" w:eastAsia="MS Gothic" w:hAnsi="Times New Roman" w:cs="Times New Roman"/>
          <w:bCs/>
          <w:color w:val="000000" w:themeColor="text1"/>
          <w:sz w:val="20"/>
          <w:szCs w:val="20"/>
        </w:rPr>
        <w:t xml:space="preserve">a´ </w:t>
      </w:r>
      <w:r w:rsidRPr="00625B51">
        <w:rPr>
          <w:rFonts w:ascii="Times New Roman" w:eastAsia="MS Gothic" w:hAnsi="Times New Roman" w:cs="Times New Roman"/>
          <w:bCs/>
          <w:i/>
          <w:iCs/>
          <w:color w:val="000000" w:themeColor="text1"/>
          <w:sz w:val="20"/>
          <w:szCs w:val="20"/>
        </w:rPr>
        <w:t>loci</w:t>
      </w:r>
      <w:r>
        <w:rPr>
          <w:rFonts w:ascii="Times New Roman" w:eastAsia="MS Gothic" w:hAnsi="Times New Roman" w:cs="Times New Roman"/>
          <w:bCs/>
          <w:color w:val="000000" w:themeColor="text1"/>
          <w:sz w:val="20"/>
          <w:szCs w:val="20"/>
        </w:rPr>
        <w:t>, respectively.</w:t>
      </w:r>
    </w:p>
    <w:p w14:paraId="5030EF49" w14:textId="77777777" w:rsidR="00AB2D62" w:rsidRPr="0030279D" w:rsidRDefault="00AB2D62" w:rsidP="00AB2D62">
      <w:pPr>
        <w:spacing w:line="480" w:lineRule="auto"/>
        <w:rPr>
          <w:rFonts w:ascii="Times New Roman" w:eastAsia="MS Gothic" w:hAnsi="Times New Roman" w:cs="Times New Roman"/>
          <w:bCs/>
          <w:color w:val="000000" w:themeColor="text1"/>
          <w:sz w:val="20"/>
          <w:szCs w:val="20"/>
        </w:rPr>
      </w:pPr>
      <w:r>
        <w:rPr>
          <w:rFonts w:ascii="Times New Roman" w:eastAsia="MS Gothic" w:hAnsi="Times New Roman" w:cs="Times New Roman"/>
          <w:bCs/>
          <w:color w:val="000000" w:themeColor="text1"/>
          <w:sz w:val="20"/>
          <w:szCs w:val="20"/>
        </w:rPr>
        <w:t>D) G</w:t>
      </w:r>
      <w:r>
        <w:rPr>
          <w:rFonts w:ascii="Times New Roman" w:hAnsi="Times New Roman" w:cs="Times New Roman"/>
          <w:bCs/>
          <w:color w:val="000000" w:themeColor="text1"/>
          <w:sz w:val="20"/>
          <w:szCs w:val="20"/>
        </w:rPr>
        <w:t xml:space="preserve">enomic elements are grouped into </w:t>
      </w:r>
      <w:r w:rsidRPr="00EC0AD5">
        <w:rPr>
          <w:rFonts w:ascii="Times New Roman" w:hAnsi="Times New Roman" w:cs="Times New Roman"/>
          <w:bCs/>
          <w:color w:val="000000" w:themeColor="text1"/>
          <w:sz w:val="20"/>
          <w:szCs w:val="20"/>
        </w:rPr>
        <w:t>1</w:t>
      </w:r>
      <w:r>
        <w:rPr>
          <w:rFonts w:ascii="Times New Roman" w:hAnsi="Times New Roman" w:cs="Times New Roman"/>
          <w:bCs/>
          <w:color w:val="000000" w:themeColor="text1"/>
          <w:sz w:val="20"/>
          <w:szCs w:val="20"/>
        </w:rPr>
        <w:t>3</w:t>
      </w:r>
      <w:r w:rsidRPr="00EC0AD5">
        <w:rPr>
          <w:rFonts w:ascii="Times New Roman" w:hAnsi="Times New Roman" w:cs="Times New Roman"/>
          <w:bCs/>
          <w:color w:val="000000" w:themeColor="text1"/>
          <w:sz w:val="20"/>
          <w:szCs w:val="20"/>
        </w:rPr>
        <w:t xml:space="preserve"> genomic categories</w:t>
      </w:r>
      <w:r>
        <w:rPr>
          <w:rFonts w:ascii="Times New Roman" w:hAnsi="Times New Roman" w:cs="Times New Roman"/>
          <w:bCs/>
          <w:color w:val="000000" w:themeColor="text1"/>
          <w:sz w:val="20"/>
          <w:szCs w:val="20"/>
        </w:rPr>
        <w:t xml:space="preserve"> comprising ORF, intergenic region, LTR, TEG, Ty, tRNA, rRNA, ncRNA, snRNA, snoRNA, ARS, centromere and subtelomeric region. The number of genomic elements within each genomic category is shown.</w:t>
      </w:r>
    </w:p>
    <w:p w14:paraId="0058B5F0" w14:textId="77777777" w:rsidR="00AB2D62" w:rsidRDefault="00AB2D62" w:rsidP="00AB2D62">
      <w:pPr>
        <w:spacing w:line="48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Supplementary</w:t>
      </w:r>
      <w:r w:rsidRPr="002F5C6A">
        <w:rPr>
          <w:rFonts w:ascii="Times New Roman" w:hAnsi="Times New Roman" w:cs="Times New Roman"/>
          <w:b/>
          <w:bCs/>
          <w:color w:val="000000" w:themeColor="text1"/>
          <w:sz w:val="20"/>
          <w:szCs w:val="20"/>
        </w:rPr>
        <w:t xml:space="preserve"> Fig. 4. </w:t>
      </w:r>
      <w:r>
        <w:rPr>
          <w:rFonts w:ascii="Times New Roman" w:hAnsi="Times New Roman" w:cs="Times New Roman"/>
          <w:b/>
          <w:bCs/>
          <w:color w:val="000000" w:themeColor="text1"/>
          <w:sz w:val="20"/>
          <w:szCs w:val="20"/>
        </w:rPr>
        <w:t>Genome-wide coverage changes across genomic features under NSS, SS and UD conditions.</w:t>
      </w:r>
    </w:p>
    <w:p w14:paraId="664879AC" w14:textId="77777777" w:rsidR="00AB2D62" w:rsidRDefault="00AB2D62" w:rsidP="00AB2D62">
      <w:pPr>
        <w:spacing w:line="48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Genome-wide coverage of genomic elements grouped into ORF, intergenic region, LTR, TEG, Ty, tRNA, rRNA, ncRNA, snoRNA, ARS, centromere and subtelomeric region in the indicated mutants. Mean coverage values for each genomic element were normalized to their respective uninduced T0 sample and plotted. Values </w:t>
      </w:r>
      <w:r>
        <w:rPr>
          <w:rFonts w:ascii="Times New Roman" w:hAnsi="Times New Roman" w:cs="Times New Roman"/>
          <w:color w:val="000000" w:themeColor="text1"/>
          <w:sz w:val="20"/>
          <w:szCs w:val="20"/>
        </w:rPr>
        <w:lastRenderedPageBreak/>
        <w:t>above 1 indicate coverage gains, whereas values below 1 indicate coverage losses relative to the uncut state. A) NSS cells; B) SS cells; C) UD cells. While most genomic features remain stable across conditions, LTRs, TEGs and Ty elements show a pronounced enrichment in NSS cells, which is largely counter-selected in SS cells and absent under UD conditions, indicating a DNA damage-dependent accumulation of mobile elements.</w:t>
      </w:r>
    </w:p>
    <w:p w14:paraId="0570B240" w14:textId="77777777" w:rsidR="00AB2D62" w:rsidRPr="004D31A5" w:rsidRDefault="00AB2D62" w:rsidP="00AB2D62">
      <w:pPr>
        <w:spacing w:line="48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Supplementary</w:t>
      </w:r>
      <w:r w:rsidRPr="004D31A5">
        <w:rPr>
          <w:rFonts w:ascii="Times New Roman" w:hAnsi="Times New Roman" w:cs="Times New Roman"/>
          <w:b/>
          <w:bCs/>
          <w:color w:val="000000" w:themeColor="text1"/>
          <w:sz w:val="20"/>
          <w:szCs w:val="20"/>
        </w:rPr>
        <w:t xml:space="preserve"> Fig. 5.</w:t>
      </w:r>
      <w:r>
        <w:rPr>
          <w:rFonts w:ascii="Times New Roman" w:hAnsi="Times New Roman" w:cs="Times New Roman"/>
          <w:b/>
          <w:bCs/>
          <w:color w:val="000000" w:themeColor="text1"/>
          <w:sz w:val="20"/>
          <w:szCs w:val="20"/>
        </w:rPr>
        <w:t xml:space="preserve"> Genome-wide coverage alterations in wild-type and DNA repair mutants under NSS, SS and UD conditions.</w:t>
      </w:r>
    </w:p>
    <w:p w14:paraId="4F72FF4A"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color w:val="000000" w:themeColor="text1"/>
          <w:sz w:val="20"/>
          <w:szCs w:val="20"/>
        </w:rPr>
        <w:t xml:space="preserve">A) Graphs quantifying genome-wide coverage alterations of </w:t>
      </w:r>
      <w:r>
        <w:rPr>
          <w:rFonts w:ascii="Times New Roman" w:hAnsi="Times New Roman" w:cs="Times New Roman"/>
          <w:bCs/>
          <w:color w:val="000000" w:themeColor="text1"/>
          <w:sz w:val="20"/>
          <w:szCs w:val="20"/>
        </w:rPr>
        <w:t xml:space="preserve">wild-type,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under NSS (top panels) and SS (bottom panels). T0-normalized coverage values from NSS and SS samples were plotted against their corresponding T0-normalized UD sample. Lines at 1.2 and 0.8 on each axis indicate thresholds for coverage gains and losses, respectively. The regions between 0.8 and 1.2 along the y-axis (highlighted in blue and red) represent variations occurring specifically in NSS or SS conditions relative to the undamaged UD control.</w:t>
      </w:r>
    </w:p>
    <w:p w14:paraId="09B8A303"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B) Violin plots representing the distribution and quantification of coverage-based alterations across genomic categories in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Mean coverage values for each individual genomic feature were grouped according to their corresponding genomic category, and the distribution of these values was visualized as violin plots. For each category, the mean coverage value (normalized to T0) is calculated, enabling direct comparison of coverage alterations across categories in NSS (top panels), SS (middle panels) and UD (bottom panels) conditions.</w:t>
      </w:r>
    </w:p>
    <w:p w14:paraId="0B525780" w14:textId="77777777" w:rsidR="00AB2D62" w:rsidRPr="00E40ED6" w:rsidRDefault="00AB2D62" w:rsidP="00AB2D62">
      <w:pPr>
        <w:spacing w:line="48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Supplementary</w:t>
      </w:r>
      <w:r w:rsidRPr="00E40ED6">
        <w:rPr>
          <w:rFonts w:ascii="Times New Roman" w:hAnsi="Times New Roman" w:cs="Times New Roman"/>
          <w:b/>
          <w:bCs/>
          <w:color w:val="000000" w:themeColor="text1"/>
          <w:sz w:val="20"/>
          <w:szCs w:val="20"/>
        </w:rPr>
        <w:t xml:space="preserve"> Fig. 6.</w:t>
      </w:r>
      <w:r>
        <w:rPr>
          <w:rFonts w:ascii="Times New Roman" w:hAnsi="Times New Roman" w:cs="Times New Roman"/>
          <w:b/>
          <w:bCs/>
          <w:color w:val="000000" w:themeColor="text1"/>
          <w:sz w:val="20"/>
          <w:szCs w:val="20"/>
        </w:rPr>
        <w:t xml:space="preserve"> Genome-wide analysis and normalization of inter-chromosomal discordant reads in DNA repair mutants.</w:t>
      </w:r>
    </w:p>
    <w:p w14:paraId="70F37FD2" w14:textId="77777777" w:rsidR="00AB2D62" w:rsidRDefault="00AB2D62" w:rsidP="00AB2D62">
      <w:pPr>
        <w:spacing w:line="48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A) Schematic representation of the custom reference genome used for discordant read normalization. The reference genome includes an intact </w:t>
      </w:r>
      <w:r w:rsidRPr="003B21D8">
        <w:rPr>
          <w:rFonts w:ascii="Times New Roman" w:hAnsi="Times New Roman" w:cs="Times New Roman"/>
          <w:i/>
          <w:iCs/>
          <w:color w:val="000000" w:themeColor="text1"/>
          <w:sz w:val="20"/>
          <w:szCs w:val="20"/>
        </w:rPr>
        <w:t>ADE3</w:t>
      </w:r>
      <w:r>
        <w:rPr>
          <w:rFonts w:ascii="Times New Roman" w:hAnsi="Times New Roman" w:cs="Times New Roman"/>
          <w:color w:val="000000" w:themeColor="text1"/>
          <w:sz w:val="20"/>
          <w:szCs w:val="20"/>
        </w:rPr>
        <w:t xml:space="preserve"> gene on chromosome VII and an artificial chromosome carrying the </w:t>
      </w:r>
      <w:r w:rsidRPr="005A1F9E">
        <w:rPr>
          <w:rFonts w:ascii="Times New Roman" w:hAnsi="Times New Roman" w:cs="Times New Roman"/>
          <w:i/>
          <w:iCs/>
          <w:color w:val="000000" w:themeColor="text1"/>
          <w:sz w:val="20"/>
          <w:szCs w:val="20"/>
        </w:rPr>
        <w:t>pGAL1-10-HO-SSB1</w:t>
      </w:r>
      <w:r>
        <w:rPr>
          <w:rFonts w:ascii="Times New Roman" w:hAnsi="Times New Roman" w:cs="Times New Roman"/>
          <w:color w:val="000000" w:themeColor="text1"/>
          <w:sz w:val="20"/>
          <w:szCs w:val="20"/>
        </w:rPr>
        <w:t xml:space="preserve"> (chromosome Disc), identical to the construct integrated at the </w:t>
      </w:r>
      <w:r>
        <w:rPr>
          <w:rFonts w:ascii="Times New Roman" w:hAnsi="Times New Roman" w:cs="Times New Roman"/>
          <w:i/>
          <w:iCs/>
          <w:color w:val="000000" w:themeColor="text1"/>
          <w:sz w:val="20"/>
          <w:szCs w:val="20"/>
        </w:rPr>
        <w:t xml:space="preserve">ADE3 </w:t>
      </w:r>
      <w:r>
        <w:rPr>
          <w:rFonts w:ascii="Times New Roman" w:hAnsi="Times New Roman" w:cs="Times New Roman"/>
          <w:color w:val="000000" w:themeColor="text1"/>
          <w:sz w:val="20"/>
          <w:szCs w:val="20"/>
        </w:rPr>
        <w:t xml:space="preserve">in the PMV background. Endogenous </w:t>
      </w:r>
      <w:r w:rsidRPr="005A1F9E">
        <w:rPr>
          <w:rFonts w:ascii="Times New Roman" w:hAnsi="Times New Roman" w:cs="Times New Roman"/>
          <w:i/>
          <w:iCs/>
          <w:color w:val="000000" w:themeColor="text1"/>
          <w:sz w:val="20"/>
          <w:szCs w:val="20"/>
        </w:rPr>
        <w:t>pGAL1-10</w:t>
      </w:r>
      <w:r>
        <w:rPr>
          <w:rFonts w:ascii="Times New Roman" w:hAnsi="Times New Roman" w:cs="Times New Roman"/>
          <w:color w:val="000000" w:themeColor="text1"/>
          <w:sz w:val="20"/>
          <w:szCs w:val="20"/>
        </w:rPr>
        <w:t xml:space="preserve"> and </w:t>
      </w:r>
      <w:r w:rsidRPr="005A1F9E">
        <w:rPr>
          <w:rFonts w:ascii="Times New Roman" w:hAnsi="Times New Roman" w:cs="Times New Roman"/>
          <w:i/>
          <w:iCs/>
          <w:color w:val="000000" w:themeColor="text1"/>
          <w:sz w:val="20"/>
          <w:szCs w:val="20"/>
        </w:rPr>
        <w:t>HO-SSB1</w:t>
      </w:r>
      <w:r>
        <w:rPr>
          <w:rFonts w:ascii="Times New Roman" w:hAnsi="Times New Roman" w:cs="Times New Roman"/>
          <w:color w:val="000000" w:themeColor="text1"/>
          <w:sz w:val="20"/>
          <w:szCs w:val="20"/>
        </w:rPr>
        <w:t xml:space="preserve">-Vector sequences in the reference genome were replaced with Ns to prevent the loss of duplicated reads mapping to both </w:t>
      </w:r>
      <w:r w:rsidRPr="00625B51">
        <w:rPr>
          <w:rFonts w:ascii="Times New Roman" w:hAnsi="Times New Roman" w:cs="Times New Roman"/>
          <w:i/>
          <w:iCs/>
          <w:color w:val="000000" w:themeColor="text1"/>
          <w:sz w:val="20"/>
          <w:szCs w:val="20"/>
        </w:rPr>
        <w:t>loci</w:t>
      </w:r>
      <w:r>
        <w:rPr>
          <w:rFonts w:ascii="Times New Roman" w:hAnsi="Times New Roman" w:cs="Times New Roman"/>
          <w:color w:val="000000" w:themeColor="text1"/>
          <w:sz w:val="20"/>
          <w:szCs w:val="20"/>
        </w:rPr>
        <w:t xml:space="preserve">. Under this setup, concordant reads spanning the </w:t>
      </w:r>
      <w:r>
        <w:rPr>
          <w:rFonts w:ascii="Times New Roman" w:hAnsi="Times New Roman" w:cs="Times New Roman"/>
          <w:i/>
          <w:iCs/>
          <w:color w:val="000000" w:themeColor="text1"/>
          <w:sz w:val="20"/>
          <w:szCs w:val="20"/>
        </w:rPr>
        <w:t>ADE3</w:t>
      </w:r>
      <w:r>
        <w:rPr>
          <w:rFonts w:ascii="Times New Roman" w:hAnsi="Times New Roman" w:cs="Times New Roman"/>
          <w:color w:val="000000" w:themeColor="text1"/>
          <w:sz w:val="20"/>
          <w:szCs w:val="20"/>
        </w:rPr>
        <w:t xml:space="preserve">-Vector and </w:t>
      </w:r>
      <w:r>
        <w:rPr>
          <w:rFonts w:ascii="Times New Roman" w:hAnsi="Times New Roman" w:cs="Times New Roman"/>
          <w:i/>
          <w:iCs/>
          <w:color w:val="000000" w:themeColor="text1"/>
          <w:sz w:val="20"/>
          <w:szCs w:val="20"/>
        </w:rPr>
        <w:t xml:space="preserve">pGAL1-10-ADE3 </w:t>
      </w:r>
      <w:r>
        <w:rPr>
          <w:rFonts w:ascii="Times New Roman" w:hAnsi="Times New Roman" w:cs="Times New Roman"/>
          <w:color w:val="000000" w:themeColor="text1"/>
          <w:sz w:val="20"/>
          <w:szCs w:val="20"/>
        </w:rPr>
        <w:t>junctions are detected as discordant reads between chromosome VII and the chromosome Disc, enabling quantitative normalization of genome-wide discordances (Disc-normalization).</w:t>
      </w:r>
    </w:p>
    <w:p w14:paraId="487B8F94"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color w:val="000000" w:themeColor="text1"/>
          <w:sz w:val="20"/>
          <w:szCs w:val="20"/>
        </w:rPr>
        <w:lastRenderedPageBreak/>
        <w:t xml:space="preserve">B) Dot plot showing the distribution of inter-chromosomal discordant reads in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under NSS (left-bottom triangle) and SS (right-top triangle) conditions following an HO break induction. Each point represents a pairwise association between genomic features involved in a rearrangement, with signal intensity proportional to the frequency of the event. Disc-normalization was applied to calculate discordant frequencies. The bottom inset provides an enlarged view highlighting discordant events at LTR, TEG, Ty, tRNA, rRNA, ncRNA, snRNA, snoRNA, ARS, centromere and subtelomeric regions.</w:t>
      </w:r>
    </w:p>
    <w:p w14:paraId="473FF702"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C) Genomic maps showing the frequency of NA discordant events for every genomic feature across three biological replicates in SS cells of wild-type,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Disc-normalization was applied to calculate discordant frequencies. The intensity of the colors represents the frequency of discordances.</w:t>
      </w:r>
    </w:p>
    <w:p w14:paraId="7BF3E42F"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D) Genomic maps depicting the frequency of NA discordant events for every genomic feature in three biological replicates of UD cells from wild-type,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Disc-normalization was applied to calculate discordant frequencies. The intensity of the colors represents the frequency of discordances.</w:t>
      </w:r>
    </w:p>
    <w:p w14:paraId="5685E4D2" w14:textId="77777777" w:rsidR="00AB2D62" w:rsidRDefault="00AB2D62" w:rsidP="00AB2D62">
      <w:pPr>
        <w:spacing w:line="480" w:lineRule="auto"/>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Supplementary Fig. 7. Genomic distribution of discordant events under varying confidence thresholds.</w:t>
      </w:r>
    </w:p>
    <w:p w14:paraId="69A82EF8"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Radar plots illustrating the distribution of inter-chromosomal discordant events across genomic categories in A) wild-type, B) </w:t>
      </w:r>
      <w:r w:rsidRPr="00C31969">
        <w:rPr>
          <w:rFonts w:ascii="Times New Roman" w:hAnsi="Times New Roman" w:cs="Times New Roman"/>
          <w:bCs/>
          <w:i/>
          <w:iCs/>
          <w:color w:val="000000" w:themeColor="text1"/>
          <w:sz w:val="20"/>
          <w:szCs w:val="20"/>
        </w:rPr>
        <w:t>exo1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w:t>
      </w:r>
      <w:r>
        <w:rPr>
          <w:rFonts w:ascii="Times New Roman" w:hAnsi="Times New Roman" w:cs="Times New Roman"/>
          <w:bCs/>
          <w:color w:val="000000" w:themeColor="text1"/>
          <w:sz w:val="20"/>
          <w:szCs w:val="20"/>
        </w:rPr>
        <w:t xml:space="preserve"> C) </w:t>
      </w:r>
      <w:r w:rsidRPr="00C31969">
        <w:rPr>
          <w:rFonts w:ascii="Times New Roman" w:hAnsi="Times New Roman" w:cs="Times New Roman"/>
          <w:bCs/>
          <w:i/>
          <w:iCs/>
          <w:color w:val="000000" w:themeColor="text1"/>
          <w:sz w:val="20"/>
          <w:szCs w:val="20"/>
        </w:rPr>
        <w:t>sgs1</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w:t>
      </w:r>
      <w:r>
        <w:rPr>
          <w:rFonts w:ascii="Times New Roman" w:hAnsi="Times New Roman" w:cs="Times New Roman"/>
          <w:bCs/>
          <w:color w:val="000000" w:themeColor="text1"/>
          <w:sz w:val="20"/>
          <w:szCs w:val="20"/>
        </w:rPr>
        <w:t xml:space="preserve"> D)</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srs2</w:t>
      </w:r>
      <w:r w:rsidRPr="00C31969">
        <w:rPr>
          <w:rFonts w:ascii="Symbol" w:hAnsi="Symbol" w:cs="Times New Roman"/>
          <w:bCs/>
          <w:i/>
          <w:iCs/>
          <w:color w:val="000000" w:themeColor="text1"/>
          <w:sz w:val="20"/>
          <w:szCs w:val="20"/>
        </w:rPr>
        <w:t>D</w:t>
      </w:r>
      <w:r w:rsidRPr="00C31969">
        <w:rPr>
          <w:rFonts w:ascii="Times New Roman" w:hAnsi="Times New Roman" w:cs="Times New Roman"/>
          <w:bCs/>
          <w:color w:val="000000" w:themeColor="text1"/>
          <w:sz w:val="20"/>
          <w:szCs w:val="20"/>
        </w:rPr>
        <w:t xml:space="preserve"> and</w:t>
      </w:r>
      <w:r>
        <w:rPr>
          <w:rFonts w:ascii="Times New Roman" w:hAnsi="Times New Roman" w:cs="Times New Roman"/>
          <w:bCs/>
          <w:color w:val="000000" w:themeColor="text1"/>
          <w:sz w:val="20"/>
          <w:szCs w:val="20"/>
        </w:rPr>
        <w:t xml:space="preserve"> E)</w:t>
      </w:r>
      <w:r w:rsidRPr="00C31969">
        <w:rPr>
          <w:rFonts w:ascii="Times New Roman" w:hAnsi="Times New Roman" w:cs="Times New Roman"/>
          <w:bCs/>
          <w:color w:val="000000" w:themeColor="text1"/>
          <w:sz w:val="20"/>
          <w:szCs w:val="20"/>
        </w:rPr>
        <w:t xml:space="preserve"> </w:t>
      </w:r>
      <w:r w:rsidRPr="00C31969">
        <w:rPr>
          <w:rFonts w:ascii="Times New Roman" w:hAnsi="Times New Roman" w:cs="Times New Roman"/>
          <w:bCs/>
          <w:i/>
          <w:iCs/>
          <w:color w:val="000000" w:themeColor="text1"/>
          <w:sz w:val="20"/>
          <w:szCs w:val="20"/>
        </w:rPr>
        <w:t>rad51</w:t>
      </w:r>
      <w:r w:rsidRPr="00C31969">
        <w:rPr>
          <w:rFonts w:ascii="Symbol" w:hAnsi="Symbol" w:cs="Times New Roman"/>
          <w:bCs/>
          <w:i/>
          <w:iCs/>
          <w:color w:val="000000" w:themeColor="text1"/>
          <w:sz w:val="20"/>
          <w:szCs w:val="20"/>
        </w:rPr>
        <w:t>D</w:t>
      </w:r>
      <w:r>
        <w:rPr>
          <w:rFonts w:ascii="Times New Roman" w:hAnsi="Times New Roman" w:cs="Times New Roman"/>
          <w:bCs/>
          <w:color w:val="000000" w:themeColor="text1"/>
          <w:sz w:val="20"/>
          <w:szCs w:val="20"/>
        </w:rPr>
        <w:t xml:space="preserve"> cells. Plots show NSS (left panel), SS (middle panel) and UD (right panel) conditions, with discordant events grouped by genomic categories (ORFs, intergenic regions, LTRs, TEGs, Ty elements, tRNA, rRNA, ncRNA, snRNA, snoRNA, ARS, centromeres and subtelomeric regions). Successive relaxation of the discordance confidence score is represented (NA, no concordant alignment; 1, 2 or </w:t>
      </w:r>
      <w:r>
        <w:rPr>
          <w:rFonts w:ascii="Times New Roman" w:hAnsi="Times New Roman" w:cs="Times New Roman"/>
          <w:bCs/>
          <w:color w:val="000000" w:themeColor="text1"/>
          <w:sz w:val="20"/>
          <w:szCs w:val="20"/>
        </w:rPr>
        <w:sym w:font="Symbol" w:char="F0B3"/>
      </w:r>
      <w:r>
        <w:rPr>
          <w:rFonts w:ascii="Times New Roman" w:hAnsi="Times New Roman" w:cs="Times New Roman"/>
          <w:bCs/>
          <w:color w:val="000000" w:themeColor="text1"/>
          <w:sz w:val="20"/>
          <w:szCs w:val="20"/>
        </w:rPr>
        <w:t>3 nucleotide variants, reads becoming concordant after allowing a specific number of mismatches; UF, unfiltered reads), revealing how the frequency and genomic distribution of discordant events change under more permissive thresholds, highlighting DNA damage-dependent rearrangements in NSS and SS cells compared to UD controls. Disc-normalization was applied to calculate discordant reads distribution.</w:t>
      </w:r>
    </w:p>
    <w:p w14:paraId="741EC266" w14:textId="77777777" w:rsidR="00AB2D62"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
          <w:color w:val="000000" w:themeColor="text1"/>
          <w:sz w:val="20"/>
          <w:szCs w:val="20"/>
        </w:rPr>
        <w:t>Supplementary Fig. 8. Strain-specific genome reorganization in SS and UD cells.</w:t>
      </w:r>
    </w:p>
    <w:p w14:paraId="5B14A8E2" w14:textId="77777777" w:rsidR="00AB2D62" w:rsidRPr="009F56FA" w:rsidRDefault="00AB2D62" w:rsidP="00AB2D62">
      <w:pPr>
        <w:spacing w:line="480" w:lineRule="auto"/>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 xml:space="preserve">Network representation of highly discordant genomic </w:t>
      </w:r>
      <w:r w:rsidRPr="00625B51">
        <w:rPr>
          <w:rFonts w:ascii="Times New Roman" w:hAnsi="Times New Roman" w:cs="Times New Roman"/>
          <w:bCs/>
          <w:i/>
          <w:iCs/>
          <w:color w:val="000000" w:themeColor="text1"/>
          <w:sz w:val="20"/>
          <w:szCs w:val="20"/>
        </w:rPr>
        <w:t>loci</w:t>
      </w:r>
      <w:r>
        <w:rPr>
          <w:rFonts w:ascii="Times New Roman" w:hAnsi="Times New Roman" w:cs="Times New Roman"/>
          <w:bCs/>
          <w:color w:val="000000" w:themeColor="text1"/>
          <w:sz w:val="20"/>
          <w:szCs w:val="20"/>
        </w:rPr>
        <w:t xml:space="preserve"> (</w:t>
      </w:r>
      <w:r>
        <w:rPr>
          <w:rFonts w:ascii="Times New Roman" w:hAnsi="Times New Roman" w:cs="Times New Roman"/>
          <w:bCs/>
          <w:color w:val="000000" w:themeColor="text1"/>
          <w:sz w:val="20"/>
          <w:szCs w:val="20"/>
        </w:rPr>
        <w:sym w:font="Symbol" w:char="F0B3"/>
      </w:r>
      <w:r>
        <w:rPr>
          <w:rFonts w:ascii="Times New Roman" w:hAnsi="Times New Roman" w:cs="Times New Roman"/>
          <w:bCs/>
          <w:color w:val="000000" w:themeColor="text1"/>
          <w:sz w:val="20"/>
          <w:szCs w:val="20"/>
        </w:rPr>
        <w:t xml:space="preserve">6% discordance frequency) in A) SS and B) UD conditions. Nodes are colored according to the strains, with shaded backgrounds indicating their corresponding </w:t>
      </w:r>
      <w:r>
        <w:rPr>
          <w:rFonts w:ascii="Times New Roman" w:hAnsi="Times New Roman" w:cs="Times New Roman"/>
          <w:bCs/>
          <w:color w:val="000000" w:themeColor="text1"/>
          <w:sz w:val="20"/>
          <w:szCs w:val="20"/>
        </w:rPr>
        <w:lastRenderedPageBreak/>
        <w:t>genomic category, and edges representing recombination events, highlighting strain-specific genome reorganization under SS and UD conditions.</w:t>
      </w:r>
    </w:p>
    <w:p w14:paraId="170F3A05"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D62"/>
    <w:rsid w:val="000C4033"/>
    <w:rsid w:val="004B42CB"/>
    <w:rsid w:val="005E1BF1"/>
    <w:rsid w:val="005F2B46"/>
    <w:rsid w:val="006E1731"/>
    <w:rsid w:val="00AB2D62"/>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72D42"/>
  <w15:chartTrackingRefBased/>
  <w15:docId w15:val="{6CE93225-6BE8-4BDC-B5D9-617A1897F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D62"/>
    <w:pPr>
      <w:spacing w:after="200" w:line="240" w:lineRule="auto"/>
    </w:pPr>
    <w:rPr>
      <w:rFonts w:eastAsiaTheme="minorEastAsia"/>
      <w:kern w:val="0"/>
      <w:lang w:val="en-US" w:eastAsia="ja-JP"/>
      <w14:ligatures w14:val="none"/>
    </w:rPr>
  </w:style>
  <w:style w:type="paragraph" w:styleId="Heading1">
    <w:name w:val="heading 1"/>
    <w:basedOn w:val="Normal"/>
    <w:next w:val="Normal"/>
    <w:link w:val="Heading1Char"/>
    <w:uiPriority w:val="9"/>
    <w:qFormat/>
    <w:rsid w:val="00AB2D6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AB2D6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AB2D62"/>
    <w:pPr>
      <w:keepNext/>
      <w:keepLines/>
      <w:spacing w:before="160" w:after="80" w:line="278" w:lineRule="auto"/>
      <w:outlineLvl w:val="2"/>
    </w:pPr>
    <w:rPr>
      <w:rFonts w:eastAsiaTheme="majorEastAsia"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AB2D62"/>
    <w:pPr>
      <w:keepNext/>
      <w:keepLines/>
      <w:spacing w:before="80" w:after="40" w:line="278" w:lineRule="auto"/>
      <w:outlineLvl w:val="3"/>
    </w:pPr>
    <w:rPr>
      <w:rFonts w:eastAsiaTheme="majorEastAsia"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AB2D62"/>
    <w:pPr>
      <w:keepNext/>
      <w:keepLines/>
      <w:spacing w:before="80" w:after="40" w:line="278" w:lineRule="auto"/>
      <w:outlineLvl w:val="4"/>
    </w:pPr>
    <w:rPr>
      <w:rFonts w:eastAsiaTheme="majorEastAsia"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AB2D62"/>
    <w:pPr>
      <w:keepNext/>
      <w:keepLines/>
      <w:spacing w:before="40" w:after="0" w:line="278" w:lineRule="auto"/>
      <w:outlineLvl w:val="5"/>
    </w:pPr>
    <w:rPr>
      <w:rFonts w:eastAsiaTheme="majorEastAsia"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AB2D62"/>
    <w:pPr>
      <w:keepNext/>
      <w:keepLines/>
      <w:spacing w:before="40" w:after="0" w:line="278" w:lineRule="auto"/>
      <w:outlineLvl w:val="6"/>
    </w:pPr>
    <w:rPr>
      <w:rFonts w:eastAsiaTheme="majorEastAsia"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AB2D62"/>
    <w:pPr>
      <w:keepNext/>
      <w:keepLines/>
      <w:spacing w:after="0" w:line="278" w:lineRule="auto"/>
      <w:outlineLvl w:val="7"/>
    </w:pPr>
    <w:rPr>
      <w:rFonts w:eastAsiaTheme="majorEastAsia"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AB2D62"/>
    <w:pPr>
      <w:keepNext/>
      <w:keepLines/>
      <w:spacing w:after="0" w:line="278" w:lineRule="auto"/>
      <w:outlineLvl w:val="8"/>
    </w:pPr>
    <w:rPr>
      <w:rFonts w:eastAsiaTheme="majorEastAsia"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D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2D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2D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2D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2D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2D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2D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2D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2D62"/>
    <w:rPr>
      <w:rFonts w:eastAsiaTheme="majorEastAsia" w:cstheme="majorBidi"/>
      <w:color w:val="272727" w:themeColor="text1" w:themeTint="D8"/>
    </w:rPr>
  </w:style>
  <w:style w:type="paragraph" w:styleId="Title">
    <w:name w:val="Title"/>
    <w:basedOn w:val="Normal"/>
    <w:next w:val="Normal"/>
    <w:link w:val="TitleChar"/>
    <w:uiPriority w:val="10"/>
    <w:qFormat/>
    <w:rsid w:val="00AB2D62"/>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AB2D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2D62"/>
    <w:pPr>
      <w:numPr>
        <w:ilvl w:val="1"/>
      </w:numPr>
      <w:spacing w:after="160" w:line="278" w:lineRule="auto"/>
    </w:pPr>
    <w:rPr>
      <w:rFonts w:eastAsiaTheme="majorEastAsia"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AB2D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2D62"/>
    <w:pPr>
      <w:spacing w:before="160" w:after="160" w:line="278" w:lineRule="auto"/>
      <w:jc w:val="center"/>
    </w:pPr>
    <w:rPr>
      <w:rFonts w:eastAsiaTheme="minorHAns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AB2D62"/>
    <w:rPr>
      <w:i/>
      <w:iCs/>
      <w:color w:val="404040" w:themeColor="text1" w:themeTint="BF"/>
    </w:rPr>
  </w:style>
  <w:style w:type="paragraph" w:styleId="ListParagraph">
    <w:name w:val="List Paragraph"/>
    <w:basedOn w:val="Normal"/>
    <w:uiPriority w:val="34"/>
    <w:qFormat/>
    <w:rsid w:val="00AB2D62"/>
    <w:pPr>
      <w:spacing w:after="160" w:line="278" w:lineRule="auto"/>
      <w:ind w:left="720"/>
      <w:contextualSpacing/>
    </w:pPr>
    <w:rPr>
      <w:rFonts w:eastAsiaTheme="minorHAnsi"/>
      <w:kern w:val="2"/>
      <w:lang w:val="en-IN" w:eastAsia="en-US"/>
      <w14:ligatures w14:val="standardContextual"/>
    </w:rPr>
  </w:style>
  <w:style w:type="character" w:styleId="IntenseEmphasis">
    <w:name w:val="Intense Emphasis"/>
    <w:basedOn w:val="DefaultParagraphFont"/>
    <w:uiPriority w:val="21"/>
    <w:qFormat/>
    <w:rsid w:val="00AB2D62"/>
    <w:rPr>
      <w:i/>
      <w:iCs/>
      <w:color w:val="0F4761" w:themeColor="accent1" w:themeShade="BF"/>
    </w:rPr>
  </w:style>
  <w:style w:type="paragraph" w:styleId="IntenseQuote">
    <w:name w:val="Intense Quote"/>
    <w:basedOn w:val="Normal"/>
    <w:next w:val="Normal"/>
    <w:link w:val="IntenseQuoteChar"/>
    <w:uiPriority w:val="30"/>
    <w:qFormat/>
    <w:rsid w:val="00AB2D6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AB2D62"/>
    <w:rPr>
      <w:i/>
      <w:iCs/>
      <w:color w:val="0F4761" w:themeColor="accent1" w:themeShade="BF"/>
    </w:rPr>
  </w:style>
  <w:style w:type="character" w:styleId="IntenseReference">
    <w:name w:val="Intense Reference"/>
    <w:basedOn w:val="DefaultParagraphFont"/>
    <w:uiPriority w:val="32"/>
    <w:qFormat/>
    <w:rsid w:val="00AB2D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1418</Words>
  <Characters>8524</Characters>
  <Application>Microsoft Office Word</Application>
  <DocSecurity>0</DocSecurity>
  <Lines>110</Lines>
  <Paragraphs>29</Paragraphs>
  <ScaleCrop>false</ScaleCrop>
  <Company/>
  <LinksUpToDate>false</LinksUpToDate>
  <CharactersWithSpaces>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2026-03-25T07:10:00Z</dcterms:created>
  <dcterms:modified xsi:type="dcterms:W3CDTF">2026-03-25T07:10:00Z</dcterms:modified>
</cp:coreProperties>
</file>