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2C1BF" w14:textId="1C2FA3B4" w:rsidR="002F6135" w:rsidRPr="00936562" w:rsidRDefault="007E09C1" w:rsidP="002F6135">
      <w:pPr>
        <w:pBdr>
          <w:bottom w:val="single" w:sz="12" w:space="1" w:color="0070C0"/>
        </w:pBdr>
        <w:rPr>
          <w:b/>
          <w:bCs/>
          <w:color w:val="0070C0"/>
          <w:sz w:val="28"/>
          <w:szCs w:val="28"/>
          <w:lang w:val="en-US"/>
        </w:rPr>
      </w:pPr>
      <w:r w:rsidRPr="007716F7">
        <w:rPr>
          <w:b/>
          <w:bCs/>
          <w:color w:val="000000" w:themeColor="text1"/>
          <w:lang w:val="en-US"/>
        </w:rPr>
        <w:t xml:space="preserve">Supplementary material </w:t>
      </w:r>
      <w:r w:rsidR="007716F7" w:rsidRPr="007716F7">
        <w:rPr>
          <w:b/>
          <w:bCs/>
          <w:color w:val="000000" w:themeColor="text1"/>
          <w:lang w:val="en-US"/>
        </w:rPr>
        <w:t>2:</w:t>
      </w:r>
      <w:r w:rsidR="002F6135" w:rsidRPr="007716F7">
        <w:rPr>
          <w:b/>
          <w:bCs/>
          <w:color w:val="000000" w:themeColor="text1"/>
          <w:sz w:val="28"/>
          <w:szCs w:val="28"/>
          <w:lang w:val="en-US"/>
        </w:rPr>
        <w:t xml:space="preserve"> </w:t>
      </w:r>
      <w:r w:rsidR="00871193">
        <w:rPr>
          <w:rStyle w:val="rynqvb"/>
          <w:rFonts w:eastAsiaTheme="majorEastAsia"/>
          <w:lang w:val="en"/>
        </w:rPr>
        <w:t>Examples of best practices from the results</w:t>
      </w:r>
    </w:p>
    <w:p w14:paraId="37DF96AD" w14:textId="39C2ECC2" w:rsidR="002F6135" w:rsidRPr="00871193" w:rsidRDefault="00871193" w:rsidP="002F6135">
      <w:pPr>
        <w:spacing w:line="360" w:lineRule="auto"/>
        <w:jc w:val="both"/>
        <w:rPr>
          <w:color w:val="000000" w:themeColor="text1"/>
          <w:lang w:val="en-US"/>
        </w:rPr>
      </w:pPr>
      <w:r>
        <w:rPr>
          <w:rStyle w:val="rynqvb"/>
          <w:rFonts w:eastAsiaTheme="majorEastAsia"/>
          <w:lang w:val="en"/>
        </w:rPr>
        <w:t>Examples of best practices to be promoted were identified, documented from these results and resulted from indicators with a “medium” or “high” level of implementation (Table below).</w:t>
      </w:r>
      <w:r>
        <w:rPr>
          <w:rStyle w:val="hwtze"/>
          <w:rFonts w:eastAsiaTheme="majorEastAsia"/>
          <w:lang w:val="en"/>
        </w:rPr>
        <w:t xml:space="preserve"> </w:t>
      </w:r>
      <w:r>
        <w:rPr>
          <w:rStyle w:val="rynqvb"/>
          <w:rFonts w:eastAsiaTheme="majorEastAsia"/>
          <w:lang w:val="en"/>
        </w:rPr>
        <w:t>The table below presents some examples of good practices of 13 indicators in healthy food environment policies and the full good practice document was reported in the overall project report</w:t>
      </w:r>
      <w:r w:rsidR="002F6135" w:rsidRPr="00871193">
        <w:rPr>
          <w:color w:val="000000" w:themeColor="text1"/>
          <w:lang w:val="en-US"/>
        </w:rPr>
        <w:t>.</w:t>
      </w:r>
      <w:r w:rsidR="002F6135" w:rsidRPr="00871193">
        <w:rPr>
          <w:b/>
          <w:bCs/>
          <w:color w:val="000000" w:themeColor="text1"/>
          <w:lang w:val="en-US"/>
        </w:rPr>
        <w:t xml:space="preserve"> </w:t>
      </w:r>
    </w:p>
    <w:p w14:paraId="17A43FF8" w14:textId="048DAEAC" w:rsidR="002F6135" w:rsidRDefault="007E09C1" w:rsidP="002F6135">
      <w:pPr>
        <w:spacing w:line="276" w:lineRule="auto"/>
        <w:jc w:val="both"/>
        <w:rPr>
          <w:rStyle w:val="rynqvb"/>
          <w:rFonts w:eastAsiaTheme="majorEastAsia"/>
          <w:lang w:val="en-US"/>
        </w:rPr>
      </w:pPr>
      <w:r w:rsidRPr="00871193">
        <w:rPr>
          <w:b/>
          <w:bCs/>
          <w:color w:val="000000" w:themeColor="text1"/>
          <w:lang w:val="en-US"/>
        </w:rPr>
        <w:t xml:space="preserve">Supplementary material </w:t>
      </w:r>
      <w:r w:rsidR="00871193" w:rsidRPr="00871193">
        <w:rPr>
          <w:b/>
          <w:bCs/>
          <w:color w:val="000000" w:themeColor="text1"/>
          <w:lang w:val="en-US"/>
        </w:rPr>
        <w:t>2:</w:t>
      </w:r>
      <w:r w:rsidR="002F6135" w:rsidRPr="00871193">
        <w:rPr>
          <w:color w:val="000000" w:themeColor="text1"/>
          <w:lang w:val="en-US"/>
        </w:rPr>
        <w:t xml:space="preserve"> </w:t>
      </w:r>
      <w:r w:rsidR="00871193" w:rsidRPr="00871193">
        <w:rPr>
          <w:rStyle w:val="rynqvb"/>
          <w:rFonts w:eastAsiaTheme="majorEastAsia"/>
          <w:lang w:val="en-US"/>
        </w:rPr>
        <w:t xml:space="preserve">Some examples of </w:t>
      </w:r>
      <w:r w:rsidR="00871193">
        <w:rPr>
          <w:rStyle w:val="rynqvb"/>
          <w:rFonts w:eastAsiaTheme="majorEastAsia"/>
          <w:lang w:val="en-US"/>
        </w:rPr>
        <w:t>best</w:t>
      </w:r>
      <w:r w:rsidR="00871193" w:rsidRPr="00871193">
        <w:rPr>
          <w:rStyle w:val="rynqvb"/>
          <w:rFonts w:eastAsiaTheme="majorEastAsia"/>
          <w:lang w:val="en-US"/>
        </w:rPr>
        <w:t xml:space="preserve"> practices of policy and infrastructure support indicators with a “medium” or “high” level of implementation.</w:t>
      </w:r>
      <w:r w:rsidR="00871193">
        <w:rPr>
          <w:rStyle w:val="rynqvb"/>
          <w:rFonts w:eastAsiaTheme="majorEastAsia"/>
          <w:lang w:val="en-US"/>
        </w:rPr>
        <w:t xml:space="preserve"> </w:t>
      </w:r>
    </w:p>
    <w:p w14:paraId="42CC7127" w14:textId="77777777" w:rsidR="00871193" w:rsidRPr="00871193" w:rsidRDefault="00871193" w:rsidP="002F6135">
      <w:pPr>
        <w:spacing w:line="276" w:lineRule="auto"/>
        <w:jc w:val="both"/>
        <w:rPr>
          <w:rFonts w:eastAsiaTheme="majorEastAsia"/>
          <w:lang w:val="en-US"/>
        </w:rPr>
      </w:pPr>
    </w:p>
    <w:tbl>
      <w:tblPr>
        <w:tblStyle w:val="Grilledutableau"/>
        <w:tblW w:w="10632" w:type="dxa"/>
        <w:tblInd w:w="-856" w:type="dxa"/>
        <w:tblLayout w:type="fixed"/>
        <w:tblLook w:val="04A0" w:firstRow="1" w:lastRow="0" w:firstColumn="1" w:lastColumn="0" w:noHBand="0" w:noVBand="1"/>
      </w:tblPr>
      <w:tblGrid>
        <w:gridCol w:w="1418"/>
        <w:gridCol w:w="9214"/>
      </w:tblGrid>
      <w:tr w:rsidR="002F6135" w:rsidRPr="00892619" w14:paraId="2F545644" w14:textId="77777777" w:rsidTr="00BA68A4">
        <w:tc>
          <w:tcPr>
            <w:tcW w:w="1418" w:type="dxa"/>
            <w:shd w:val="clear" w:color="auto" w:fill="DEEAF6" w:themeFill="accent5" w:themeFillTint="33"/>
          </w:tcPr>
          <w:p w14:paraId="1336CDC3" w14:textId="0EC2B537" w:rsidR="002F6135" w:rsidRPr="009B7789" w:rsidRDefault="002F6135" w:rsidP="00BA68A4">
            <w:pPr>
              <w:spacing w:line="360" w:lineRule="auto"/>
              <w:jc w:val="both"/>
              <w:rPr>
                <w:b/>
                <w:bCs/>
                <w:color w:val="000000" w:themeColor="text1"/>
              </w:rPr>
            </w:pPr>
            <w:r w:rsidRPr="009B7789">
              <w:rPr>
                <w:b/>
                <w:bCs/>
                <w:color w:val="000000" w:themeColor="text1"/>
              </w:rPr>
              <w:t>Indicat</w:t>
            </w:r>
            <w:r w:rsidR="00871193">
              <w:rPr>
                <w:b/>
                <w:bCs/>
                <w:color w:val="000000" w:themeColor="text1"/>
              </w:rPr>
              <w:t>ors</w:t>
            </w:r>
          </w:p>
        </w:tc>
        <w:tc>
          <w:tcPr>
            <w:tcW w:w="9214" w:type="dxa"/>
            <w:shd w:val="clear" w:color="auto" w:fill="DEEAF6" w:themeFill="accent5" w:themeFillTint="33"/>
          </w:tcPr>
          <w:p w14:paraId="38805BF3" w14:textId="5D8C7918" w:rsidR="002F6135" w:rsidRPr="00871193" w:rsidRDefault="002F6135" w:rsidP="00BA68A4">
            <w:pPr>
              <w:spacing w:line="360" w:lineRule="auto"/>
              <w:jc w:val="both"/>
              <w:rPr>
                <w:b/>
                <w:bCs/>
                <w:color w:val="000000" w:themeColor="text1"/>
                <w:lang w:val="en-US"/>
              </w:rPr>
            </w:pPr>
            <w:r w:rsidRPr="00871193">
              <w:rPr>
                <w:b/>
                <w:bCs/>
                <w:color w:val="000000" w:themeColor="text1"/>
                <w:lang w:val="en-US"/>
              </w:rPr>
              <w:t>Ex</w:t>
            </w:r>
            <w:r w:rsidR="00871193" w:rsidRPr="00871193">
              <w:rPr>
                <w:b/>
                <w:bCs/>
                <w:color w:val="000000" w:themeColor="text1"/>
                <w:lang w:val="en-US"/>
              </w:rPr>
              <w:t>a</w:t>
            </w:r>
            <w:r w:rsidRPr="00871193">
              <w:rPr>
                <w:b/>
                <w:bCs/>
                <w:color w:val="000000" w:themeColor="text1"/>
                <w:lang w:val="en-US"/>
              </w:rPr>
              <w:t xml:space="preserve">mples </w:t>
            </w:r>
            <w:r w:rsidR="00871193" w:rsidRPr="00871193">
              <w:rPr>
                <w:b/>
                <w:bCs/>
                <w:color w:val="000000" w:themeColor="text1"/>
                <w:lang w:val="en-US"/>
              </w:rPr>
              <w:t>of best indicators pratices</w:t>
            </w:r>
          </w:p>
        </w:tc>
      </w:tr>
      <w:tr w:rsidR="002F6135" w:rsidRPr="00892619" w14:paraId="16950CAA" w14:textId="77777777" w:rsidTr="00A90244">
        <w:trPr>
          <w:trHeight w:val="1844"/>
        </w:trPr>
        <w:tc>
          <w:tcPr>
            <w:tcW w:w="1418" w:type="dxa"/>
            <w:vAlign w:val="center"/>
          </w:tcPr>
          <w:p w14:paraId="517E3223" w14:textId="77777777" w:rsidR="002F6135" w:rsidRPr="00A90244" w:rsidRDefault="002F6135" w:rsidP="00BA68A4">
            <w:pPr>
              <w:spacing w:line="360" w:lineRule="auto"/>
              <w:jc w:val="center"/>
              <w:rPr>
                <w:b/>
                <w:bCs/>
                <w:color w:val="000000" w:themeColor="text1"/>
                <w:sz w:val="22"/>
                <w:szCs w:val="22"/>
                <w:lang w:val="en-US"/>
              </w:rPr>
            </w:pPr>
          </w:p>
          <w:p w14:paraId="715654D5" w14:textId="77777777" w:rsidR="002F6135" w:rsidRPr="00A90244" w:rsidRDefault="002F6135" w:rsidP="00BA68A4">
            <w:pPr>
              <w:spacing w:line="360" w:lineRule="auto"/>
              <w:jc w:val="center"/>
              <w:rPr>
                <w:color w:val="000000" w:themeColor="text1"/>
                <w:sz w:val="22"/>
                <w:szCs w:val="22"/>
              </w:rPr>
            </w:pPr>
            <w:r w:rsidRPr="00A90244">
              <w:rPr>
                <w:b/>
                <w:bCs/>
                <w:color w:val="000000" w:themeColor="text1"/>
                <w:sz w:val="22"/>
                <w:szCs w:val="22"/>
              </w:rPr>
              <w:t>COMP3</w:t>
            </w:r>
          </w:p>
          <w:p w14:paraId="180173B4" w14:textId="77777777" w:rsidR="002F6135" w:rsidRPr="00A90244" w:rsidRDefault="002F6135" w:rsidP="00BA68A4">
            <w:pPr>
              <w:spacing w:line="360" w:lineRule="auto"/>
              <w:jc w:val="center"/>
              <w:rPr>
                <w:b/>
                <w:bCs/>
                <w:color w:val="000000" w:themeColor="text1"/>
                <w:sz w:val="22"/>
                <w:szCs w:val="22"/>
              </w:rPr>
            </w:pPr>
          </w:p>
          <w:p w14:paraId="0AC091B1" w14:textId="77777777" w:rsidR="002F6135" w:rsidRPr="00A90244" w:rsidRDefault="002F6135" w:rsidP="00BA68A4">
            <w:pPr>
              <w:spacing w:line="360" w:lineRule="auto"/>
              <w:rPr>
                <w:b/>
                <w:bCs/>
                <w:color w:val="000000" w:themeColor="text1"/>
                <w:sz w:val="22"/>
                <w:szCs w:val="22"/>
              </w:rPr>
            </w:pPr>
          </w:p>
        </w:tc>
        <w:tc>
          <w:tcPr>
            <w:tcW w:w="9214" w:type="dxa"/>
          </w:tcPr>
          <w:p w14:paraId="18A1E9DA" w14:textId="0A639E9C" w:rsidR="00A90244" w:rsidRPr="00936562" w:rsidRDefault="00A90244" w:rsidP="00A90244">
            <w:pPr>
              <w:pStyle w:val="Paragraphedeliste"/>
              <w:numPr>
                <w:ilvl w:val="0"/>
                <w:numId w:val="4"/>
              </w:numPr>
              <w:spacing w:line="276" w:lineRule="auto"/>
              <w:jc w:val="both"/>
              <w:rPr>
                <w:b/>
                <w:bCs/>
                <w:color w:val="000000" w:themeColor="text1"/>
                <w:sz w:val="22"/>
                <w:szCs w:val="22"/>
                <w:lang w:val="en-US"/>
              </w:rPr>
            </w:pPr>
            <w:r w:rsidRPr="00A90244">
              <w:rPr>
                <w:rStyle w:val="rynqvb"/>
                <w:rFonts w:eastAsiaTheme="majorEastAsia"/>
                <w:sz w:val="22"/>
                <w:szCs w:val="22"/>
                <w:lang w:val="en"/>
              </w:rPr>
              <w:t xml:space="preserve">To combat micronutrient deficiencies, </w:t>
            </w:r>
            <w:r w:rsidRPr="00950D11">
              <w:rPr>
                <w:rStyle w:val="rynqvb"/>
                <w:rFonts w:eastAsiaTheme="majorEastAsia"/>
                <w:b/>
                <w:bCs/>
                <w:sz w:val="22"/>
                <w:szCs w:val="22"/>
                <w:lang w:val="en"/>
              </w:rPr>
              <w:t>all five countries</w:t>
            </w:r>
            <w:r w:rsidRPr="00A90244">
              <w:rPr>
                <w:rStyle w:val="rynqvb"/>
                <w:rFonts w:eastAsiaTheme="majorEastAsia"/>
                <w:sz w:val="22"/>
                <w:szCs w:val="22"/>
                <w:lang w:val="en"/>
              </w:rPr>
              <w:t xml:space="preserve"> developed during the 2006-2013 period policies and/or strategies for fortifying edible oils with vitamin A and common wheat with iron-folic acid and zinc.</w:t>
            </w:r>
            <w:r w:rsidRPr="00A90244">
              <w:rPr>
                <w:rStyle w:val="hwtze"/>
                <w:rFonts w:eastAsiaTheme="majorEastAsia"/>
                <w:sz w:val="22"/>
                <w:szCs w:val="22"/>
                <w:lang w:val="en"/>
              </w:rPr>
              <w:t xml:space="preserve"> </w:t>
            </w:r>
            <w:r w:rsidRPr="00A90244">
              <w:rPr>
                <w:rStyle w:val="rynqvb"/>
                <w:rFonts w:eastAsiaTheme="majorEastAsia"/>
                <w:sz w:val="22"/>
                <w:szCs w:val="22"/>
                <w:lang w:val="en"/>
              </w:rPr>
              <w:t>In addition, countries have regulatory provisions requiring all salt intended for human consumption within the national territory to be iodized.</w:t>
            </w:r>
            <w:r w:rsidRPr="00A90244">
              <w:rPr>
                <w:rStyle w:val="hwtze"/>
                <w:rFonts w:eastAsiaTheme="majorEastAsia"/>
                <w:sz w:val="22"/>
                <w:szCs w:val="22"/>
                <w:lang w:val="en"/>
              </w:rPr>
              <w:t xml:space="preserve"> </w:t>
            </w:r>
            <w:r w:rsidRPr="00A90244">
              <w:rPr>
                <w:rStyle w:val="rynqvb"/>
                <w:rFonts w:eastAsiaTheme="majorEastAsia"/>
                <w:sz w:val="22"/>
                <w:szCs w:val="22"/>
                <w:lang w:val="en"/>
              </w:rPr>
              <w:t>Finally, some countries have put in place coordinating bodies such as the alliance for food fortification in Ivory Coast and the Senegalese Committee for the Fortification of Foods with Micronutrients.</w:t>
            </w:r>
          </w:p>
        </w:tc>
      </w:tr>
      <w:tr w:rsidR="002F6135" w:rsidRPr="00892619" w14:paraId="484574A8" w14:textId="77777777" w:rsidTr="00BA68A4">
        <w:trPr>
          <w:trHeight w:val="416"/>
        </w:trPr>
        <w:tc>
          <w:tcPr>
            <w:tcW w:w="1418" w:type="dxa"/>
            <w:vAlign w:val="center"/>
          </w:tcPr>
          <w:p w14:paraId="6F139FA2" w14:textId="77777777" w:rsidR="002F6135" w:rsidRPr="00A90244" w:rsidRDefault="002F6135" w:rsidP="00BA68A4">
            <w:pPr>
              <w:spacing w:line="360" w:lineRule="auto"/>
              <w:jc w:val="center"/>
              <w:rPr>
                <w:b/>
                <w:bCs/>
                <w:color w:val="000000" w:themeColor="text1"/>
                <w:sz w:val="22"/>
                <w:szCs w:val="22"/>
                <w:lang w:val="en-US"/>
              </w:rPr>
            </w:pPr>
          </w:p>
          <w:p w14:paraId="5EE00DCC" w14:textId="77777777" w:rsidR="002F6135" w:rsidRPr="00A90244" w:rsidRDefault="002F6135" w:rsidP="00BA68A4">
            <w:pPr>
              <w:spacing w:line="360" w:lineRule="auto"/>
              <w:jc w:val="center"/>
              <w:rPr>
                <w:b/>
                <w:bCs/>
                <w:color w:val="000000" w:themeColor="text1"/>
                <w:sz w:val="22"/>
                <w:szCs w:val="22"/>
                <w:lang w:val="en-US"/>
              </w:rPr>
            </w:pPr>
          </w:p>
          <w:p w14:paraId="547E465E" w14:textId="77777777" w:rsidR="002F6135" w:rsidRPr="00A90244" w:rsidRDefault="002F6135" w:rsidP="00BA68A4">
            <w:pPr>
              <w:spacing w:line="360" w:lineRule="auto"/>
              <w:jc w:val="center"/>
              <w:rPr>
                <w:color w:val="000000" w:themeColor="text1"/>
                <w:sz w:val="22"/>
                <w:szCs w:val="22"/>
              </w:rPr>
            </w:pPr>
            <w:r w:rsidRPr="00A90244">
              <w:rPr>
                <w:b/>
                <w:bCs/>
                <w:color w:val="000000" w:themeColor="text1"/>
                <w:sz w:val="22"/>
                <w:szCs w:val="22"/>
              </w:rPr>
              <w:t>PROMO4 </w:t>
            </w:r>
          </w:p>
          <w:p w14:paraId="0B5E5646" w14:textId="77777777" w:rsidR="002F6135" w:rsidRPr="00A90244" w:rsidRDefault="002F6135" w:rsidP="00BA68A4">
            <w:pPr>
              <w:spacing w:line="360" w:lineRule="auto"/>
              <w:jc w:val="center"/>
              <w:rPr>
                <w:color w:val="000000" w:themeColor="text1"/>
                <w:sz w:val="22"/>
                <w:szCs w:val="22"/>
              </w:rPr>
            </w:pPr>
          </w:p>
          <w:p w14:paraId="3D2071E7" w14:textId="77777777" w:rsidR="002F6135" w:rsidRPr="00A90244" w:rsidRDefault="002F6135" w:rsidP="00BA68A4">
            <w:pPr>
              <w:spacing w:line="360" w:lineRule="auto"/>
              <w:rPr>
                <w:color w:val="000000" w:themeColor="text1"/>
                <w:sz w:val="22"/>
                <w:szCs w:val="22"/>
              </w:rPr>
            </w:pPr>
          </w:p>
        </w:tc>
        <w:tc>
          <w:tcPr>
            <w:tcW w:w="9214" w:type="dxa"/>
          </w:tcPr>
          <w:p w14:paraId="20BE86C8" w14:textId="37E106D5" w:rsidR="00A90244" w:rsidRPr="00A90244" w:rsidRDefault="00A90244" w:rsidP="002F6135">
            <w:pPr>
              <w:pStyle w:val="Paragraphedeliste"/>
              <w:numPr>
                <w:ilvl w:val="0"/>
                <w:numId w:val="2"/>
              </w:numPr>
              <w:spacing w:line="276" w:lineRule="auto"/>
              <w:jc w:val="both"/>
              <w:rPr>
                <w:sz w:val="22"/>
                <w:szCs w:val="22"/>
                <w:lang w:val="en-US"/>
              </w:rPr>
            </w:pPr>
            <w:r w:rsidRPr="00A90244">
              <w:rPr>
                <w:rStyle w:val="rynqvb"/>
                <w:rFonts w:eastAsiaTheme="majorEastAsia"/>
                <w:sz w:val="22"/>
                <w:szCs w:val="22"/>
                <w:lang w:val="en"/>
              </w:rPr>
              <w:t xml:space="preserve">To protect and encourage breastfeeding, the </w:t>
            </w:r>
            <w:r w:rsidRPr="00950D11">
              <w:rPr>
                <w:rStyle w:val="rynqvb"/>
                <w:rFonts w:eastAsiaTheme="majorEastAsia"/>
                <w:b/>
                <w:bCs/>
                <w:sz w:val="22"/>
                <w:szCs w:val="22"/>
                <w:lang w:val="en"/>
              </w:rPr>
              <w:t>Ivorian and Burkinabe</w:t>
            </w:r>
            <w:r w:rsidRPr="00A90244">
              <w:rPr>
                <w:rStyle w:val="rynqvb"/>
                <w:rFonts w:eastAsiaTheme="majorEastAsia"/>
                <w:sz w:val="22"/>
                <w:szCs w:val="22"/>
                <w:lang w:val="en"/>
              </w:rPr>
              <w:t xml:space="preserve"> governments have respectively opted for decree No. 2013-416 </w:t>
            </w:r>
            <w:r w:rsidR="00A66088">
              <w:rPr>
                <w:rStyle w:val="rynqvb"/>
                <w:rFonts w:eastAsiaTheme="majorEastAsia"/>
                <w:sz w:val="22"/>
                <w:szCs w:val="22"/>
                <w:lang w:val="en"/>
              </w:rPr>
              <w:t>of June 6, 2013</w:t>
            </w:r>
            <w:r w:rsidR="00D22FDC">
              <w:rPr>
                <w:rStyle w:val="rynqvb"/>
                <w:rFonts w:eastAsiaTheme="majorEastAsia"/>
                <w:sz w:val="22"/>
                <w:szCs w:val="22"/>
                <w:lang w:val="en"/>
              </w:rPr>
              <w:t xml:space="preserve"> </w:t>
            </w:r>
            <w:r w:rsidR="00390FC3">
              <w:rPr>
                <w:rStyle w:val="rynqvb"/>
                <w:rFonts w:eastAsiaTheme="majorEastAsia"/>
                <w:b/>
                <w:bCs/>
                <w:color w:val="000000" w:themeColor="text1"/>
                <w:lang w:val="en-US"/>
              </w:rPr>
              <w:t>(</w:t>
            </w:r>
            <w:r w:rsidR="00D22FDC" w:rsidRPr="00D22FDC">
              <w:rPr>
                <w:rStyle w:val="rynqvb"/>
                <w:rFonts w:eastAsiaTheme="majorEastAsia"/>
                <w:b/>
                <w:bCs/>
                <w:color w:val="000000" w:themeColor="text1"/>
                <w:lang w:val="en-US"/>
              </w:rPr>
              <w:t>1</w:t>
            </w:r>
            <w:r w:rsidR="00390FC3">
              <w:rPr>
                <w:rStyle w:val="rynqvb"/>
                <w:rFonts w:eastAsiaTheme="majorEastAsia"/>
                <w:b/>
                <w:bCs/>
                <w:color w:val="000000" w:themeColor="text1"/>
                <w:lang w:val="en-US"/>
              </w:rPr>
              <w:t>)</w:t>
            </w:r>
            <w:r w:rsidR="00D22FDC">
              <w:rPr>
                <w:rStyle w:val="rynqvb"/>
                <w:rFonts w:eastAsiaTheme="majorEastAsia"/>
                <w:color w:val="000000" w:themeColor="text1"/>
                <w:sz w:val="22"/>
                <w:szCs w:val="22"/>
                <w:lang w:val="en"/>
              </w:rPr>
              <w:t xml:space="preserve"> </w:t>
            </w:r>
            <w:r w:rsidRPr="00A90244">
              <w:rPr>
                <w:rStyle w:val="rynqvb"/>
                <w:rFonts w:eastAsiaTheme="majorEastAsia"/>
                <w:sz w:val="22"/>
                <w:szCs w:val="22"/>
                <w:lang w:val="en"/>
              </w:rPr>
              <w:t>and decree No. 2021 of March 17, 2021</w:t>
            </w:r>
            <w:r w:rsidR="00390FC3">
              <w:rPr>
                <w:rStyle w:val="rynqvb"/>
                <w:rFonts w:eastAsiaTheme="majorEastAsia"/>
                <w:b/>
                <w:bCs/>
                <w:color w:val="000000" w:themeColor="text1"/>
                <w:lang w:val="en-US"/>
              </w:rPr>
              <w:t>(</w:t>
            </w:r>
            <w:r w:rsidR="00D22FDC">
              <w:rPr>
                <w:rStyle w:val="rynqvb"/>
                <w:rFonts w:eastAsiaTheme="majorEastAsia"/>
                <w:b/>
                <w:bCs/>
                <w:color w:val="000000" w:themeColor="text1"/>
                <w:lang w:val="en-US"/>
              </w:rPr>
              <w:t>2</w:t>
            </w:r>
            <w:r w:rsidR="00390FC3">
              <w:rPr>
                <w:rStyle w:val="rynqvb"/>
                <w:rFonts w:eastAsiaTheme="majorEastAsia"/>
                <w:b/>
                <w:bCs/>
                <w:color w:val="000000" w:themeColor="text1"/>
                <w:lang w:val="en-US"/>
              </w:rPr>
              <w:t>)</w:t>
            </w:r>
            <w:r w:rsidRPr="00A90244">
              <w:rPr>
                <w:rStyle w:val="rynqvb"/>
                <w:rFonts w:eastAsiaTheme="majorEastAsia"/>
                <w:sz w:val="22"/>
                <w:szCs w:val="22"/>
                <w:lang w:val="en"/>
              </w:rPr>
              <w:t>, regulating the marketing (promotion, packaging and labeling) of breast milk substitutes</w:t>
            </w:r>
            <w:r w:rsidRPr="00A90244">
              <w:rPr>
                <w:rStyle w:val="hwtze"/>
                <w:rFonts w:eastAsiaTheme="majorEastAsia"/>
                <w:sz w:val="22"/>
                <w:szCs w:val="22"/>
                <w:lang w:val="en"/>
              </w:rPr>
              <w:t xml:space="preserve"> </w:t>
            </w:r>
            <w:r w:rsidRPr="00A90244">
              <w:rPr>
                <w:rStyle w:val="rynqvb"/>
                <w:rFonts w:eastAsiaTheme="majorEastAsia"/>
                <w:sz w:val="22"/>
                <w:szCs w:val="22"/>
                <w:lang w:val="en"/>
              </w:rPr>
              <w:t>(SLM) including formulas for infants and young children, other milk products, foods and drinks and complementary foods.</w:t>
            </w:r>
            <w:r w:rsidRPr="00A90244">
              <w:rPr>
                <w:rStyle w:val="hwtze"/>
                <w:rFonts w:eastAsiaTheme="majorEastAsia"/>
                <w:sz w:val="22"/>
                <w:szCs w:val="22"/>
                <w:lang w:val="en"/>
              </w:rPr>
              <w:t xml:space="preserve"> </w:t>
            </w:r>
            <w:r w:rsidRPr="00A90244">
              <w:rPr>
                <w:rStyle w:val="rynqvb"/>
                <w:rFonts w:eastAsiaTheme="majorEastAsia"/>
                <w:sz w:val="22"/>
                <w:szCs w:val="22"/>
                <w:lang w:val="en"/>
              </w:rPr>
              <w:t>These decrees include explicit provisions prohibiting free distribution to manufacturers and distributors, promotional sales and advertising of SLMs.</w:t>
            </w:r>
            <w:r w:rsidRPr="00A90244">
              <w:rPr>
                <w:rStyle w:val="hwtze"/>
                <w:rFonts w:eastAsiaTheme="majorEastAsia"/>
                <w:sz w:val="22"/>
                <w:szCs w:val="22"/>
                <w:lang w:val="en"/>
              </w:rPr>
              <w:t xml:space="preserve"> </w:t>
            </w:r>
            <w:r w:rsidRPr="00A90244">
              <w:rPr>
                <w:rStyle w:val="rynqvb"/>
                <w:rFonts w:eastAsiaTheme="majorEastAsia"/>
                <w:sz w:val="22"/>
                <w:szCs w:val="22"/>
                <w:lang w:val="en"/>
              </w:rPr>
              <w:t>Administrative sanctions and penal provisions are also provided for by these decrees</w:t>
            </w:r>
            <w:r w:rsidR="00D22FDC">
              <w:rPr>
                <w:rStyle w:val="rynqvb"/>
                <w:rFonts w:eastAsiaTheme="majorEastAsia"/>
                <w:sz w:val="22"/>
                <w:szCs w:val="22"/>
                <w:lang w:val="en"/>
              </w:rPr>
              <w:t xml:space="preserve"> </w:t>
            </w:r>
            <w:r w:rsidR="00390FC3">
              <w:rPr>
                <w:rStyle w:val="rynqvb"/>
                <w:rFonts w:eastAsiaTheme="majorEastAsia"/>
                <w:b/>
                <w:bCs/>
                <w:color w:val="000000" w:themeColor="text1"/>
                <w:lang w:val="en-US"/>
              </w:rPr>
              <w:t>(</w:t>
            </w:r>
            <w:r w:rsidR="00D22FDC" w:rsidRPr="00D22FDC">
              <w:rPr>
                <w:rStyle w:val="rynqvb"/>
                <w:rFonts w:eastAsiaTheme="majorEastAsia"/>
                <w:b/>
                <w:bCs/>
                <w:color w:val="000000" w:themeColor="text1"/>
                <w:lang w:val="en-US"/>
              </w:rPr>
              <w:t>1</w:t>
            </w:r>
            <w:r w:rsidR="00D22FDC">
              <w:rPr>
                <w:rStyle w:val="rynqvb"/>
                <w:rFonts w:eastAsiaTheme="majorEastAsia"/>
                <w:b/>
                <w:bCs/>
                <w:color w:val="000000" w:themeColor="text1"/>
                <w:lang w:val="en-US"/>
              </w:rPr>
              <w:t>,2</w:t>
            </w:r>
            <w:r w:rsidR="00390FC3">
              <w:rPr>
                <w:rStyle w:val="rynqvb"/>
                <w:rFonts w:eastAsiaTheme="majorEastAsia"/>
                <w:b/>
                <w:bCs/>
                <w:color w:val="000000" w:themeColor="text1"/>
                <w:lang w:val="en-US"/>
              </w:rPr>
              <w:t>)</w:t>
            </w:r>
            <w:r w:rsidR="00D22FDC" w:rsidRPr="00D22FDC">
              <w:rPr>
                <w:rStyle w:val="rynqvb"/>
                <w:rFonts w:eastAsiaTheme="majorEastAsia"/>
                <w:color w:val="000000" w:themeColor="text1"/>
                <w:sz w:val="22"/>
                <w:szCs w:val="22"/>
                <w:lang w:val="en"/>
              </w:rPr>
              <w:t>.</w:t>
            </w:r>
          </w:p>
        </w:tc>
      </w:tr>
      <w:tr w:rsidR="002F6135" w14:paraId="50DA2972" w14:textId="77777777" w:rsidTr="0014063C">
        <w:trPr>
          <w:trHeight w:val="1833"/>
        </w:trPr>
        <w:tc>
          <w:tcPr>
            <w:tcW w:w="1418" w:type="dxa"/>
          </w:tcPr>
          <w:p w14:paraId="2B992E3E" w14:textId="77777777" w:rsidR="002F6135" w:rsidRPr="00A90244" w:rsidRDefault="002F6135" w:rsidP="00BA68A4">
            <w:pPr>
              <w:spacing w:line="360" w:lineRule="auto"/>
              <w:jc w:val="both"/>
              <w:rPr>
                <w:b/>
                <w:bCs/>
                <w:color w:val="000000" w:themeColor="text1"/>
                <w:lang w:val="en-US"/>
              </w:rPr>
            </w:pPr>
          </w:p>
          <w:p w14:paraId="2E8FD8DE" w14:textId="77777777" w:rsidR="002F6135" w:rsidRPr="00A90244" w:rsidRDefault="002F6135" w:rsidP="00BA68A4">
            <w:pPr>
              <w:spacing w:line="360" w:lineRule="auto"/>
              <w:jc w:val="both"/>
              <w:rPr>
                <w:b/>
                <w:bCs/>
                <w:color w:val="000000" w:themeColor="text1"/>
                <w:lang w:val="en-US"/>
              </w:rPr>
            </w:pPr>
          </w:p>
          <w:p w14:paraId="5F7F760B" w14:textId="77777777" w:rsidR="002F6135" w:rsidRPr="00A90244" w:rsidRDefault="002F6135" w:rsidP="00BA68A4">
            <w:pPr>
              <w:spacing w:line="360" w:lineRule="auto"/>
              <w:jc w:val="both"/>
              <w:rPr>
                <w:b/>
                <w:bCs/>
                <w:color w:val="000000" w:themeColor="text1"/>
                <w:lang w:val="en-US"/>
              </w:rPr>
            </w:pPr>
          </w:p>
          <w:p w14:paraId="37E06315" w14:textId="77777777" w:rsidR="002F6135" w:rsidRPr="00A90244" w:rsidRDefault="002F6135" w:rsidP="00BA68A4">
            <w:pPr>
              <w:spacing w:line="360" w:lineRule="auto"/>
              <w:jc w:val="both"/>
              <w:rPr>
                <w:b/>
                <w:bCs/>
                <w:color w:val="000000" w:themeColor="text1"/>
                <w:lang w:val="en-US"/>
              </w:rPr>
            </w:pPr>
          </w:p>
          <w:p w14:paraId="3645E35D" w14:textId="77777777" w:rsidR="002F6135" w:rsidRPr="00A90244" w:rsidRDefault="002F6135" w:rsidP="00BA68A4">
            <w:pPr>
              <w:spacing w:line="360" w:lineRule="auto"/>
              <w:jc w:val="both"/>
              <w:rPr>
                <w:b/>
                <w:bCs/>
                <w:color w:val="000000" w:themeColor="text1"/>
                <w:lang w:val="en-US"/>
              </w:rPr>
            </w:pPr>
          </w:p>
          <w:p w14:paraId="32302C3F" w14:textId="77777777" w:rsidR="002F6135" w:rsidRPr="00A90244" w:rsidRDefault="002F6135" w:rsidP="00BA68A4">
            <w:pPr>
              <w:spacing w:line="360" w:lineRule="auto"/>
              <w:jc w:val="both"/>
              <w:rPr>
                <w:b/>
                <w:bCs/>
                <w:color w:val="000000" w:themeColor="text1"/>
                <w:lang w:val="en-US"/>
              </w:rPr>
            </w:pPr>
          </w:p>
          <w:p w14:paraId="7D1E2EF8" w14:textId="77777777" w:rsidR="002F6135" w:rsidRPr="00A90244" w:rsidRDefault="002F6135" w:rsidP="00BA68A4">
            <w:pPr>
              <w:spacing w:line="360" w:lineRule="auto"/>
              <w:jc w:val="both"/>
              <w:rPr>
                <w:b/>
                <w:bCs/>
                <w:color w:val="000000" w:themeColor="text1"/>
                <w:lang w:val="en-US"/>
              </w:rPr>
            </w:pPr>
          </w:p>
          <w:p w14:paraId="09FCE83E" w14:textId="77777777" w:rsidR="002F6135" w:rsidRPr="00A90244" w:rsidRDefault="002F6135" w:rsidP="00BA68A4">
            <w:pPr>
              <w:spacing w:line="360" w:lineRule="auto"/>
              <w:jc w:val="both"/>
              <w:rPr>
                <w:b/>
                <w:bCs/>
                <w:color w:val="000000" w:themeColor="text1"/>
                <w:lang w:val="en-US"/>
              </w:rPr>
            </w:pPr>
          </w:p>
          <w:p w14:paraId="466647A6" w14:textId="77777777" w:rsidR="002F6135" w:rsidRDefault="002F6135" w:rsidP="00BA68A4">
            <w:pPr>
              <w:spacing w:line="360" w:lineRule="auto"/>
              <w:jc w:val="both"/>
              <w:rPr>
                <w:b/>
                <w:bCs/>
                <w:color w:val="000000" w:themeColor="text1"/>
              </w:rPr>
            </w:pPr>
            <w:r w:rsidRPr="006365E4">
              <w:rPr>
                <w:b/>
                <w:bCs/>
                <w:color w:val="000000" w:themeColor="text1"/>
              </w:rPr>
              <w:t>PROV1</w:t>
            </w:r>
            <w:r>
              <w:rPr>
                <w:b/>
                <w:bCs/>
                <w:color w:val="000000" w:themeColor="text1"/>
              </w:rPr>
              <w:t> </w:t>
            </w:r>
          </w:p>
          <w:p w14:paraId="5CD77CD3" w14:textId="77777777" w:rsidR="002F6135" w:rsidRDefault="002F6135" w:rsidP="00BA68A4">
            <w:pPr>
              <w:spacing w:line="360" w:lineRule="auto"/>
              <w:jc w:val="both"/>
              <w:rPr>
                <w:b/>
                <w:bCs/>
                <w:color w:val="000000" w:themeColor="text1"/>
              </w:rPr>
            </w:pPr>
          </w:p>
          <w:p w14:paraId="51DC9C78" w14:textId="77777777" w:rsidR="002F6135" w:rsidRDefault="002F6135" w:rsidP="00BA68A4">
            <w:pPr>
              <w:spacing w:line="360" w:lineRule="auto"/>
              <w:jc w:val="both"/>
              <w:rPr>
                <w:b/>
                <w:bCs/>
                <w:color w:val="000000" w:themeColor="text1"/>
              </w:rPr>
            </w:pPr>
          </w:p>
          <w:p w14:paraId="176B7E10" w14:textId="77777777" w:rsidR="002F6135" w:rsidRDefault="002F6135" w:rsidP="00BA68A4">
            <w:pPr>
              <w:spacing w:line="360" w:lineRule="auto"/>
              <w:jc w:val="both"/>
              <w:rPr>
                <w:b/>
                <w:bCs/>
                <w:color w:val="000000" w:themeColor="text1"/>
              </w:rPr>
            </w:pPr>
          </w:p>
          <w:p w14:paraId="11CFF6D2" w14:textId="77777777" w:rsidR="002F6135" w:rsidRDefault="002F6135" w:rsidP="00BA68A4">
            <w:pPr>
              <w:spacing w:line="360" w:lineRule="auto"/>
              <w:jc w:val="both"/>
              <w:rPr>
                <w:b/>
                <w:bCs/>
                <w:color w:val="000000" w:themeColor="text1"/>
              </w:rPr>
            </w:pPr>
          </w:p>
          <w:p w14:paraId="723C82F2" w14:textId="77777777" w:rsidR="002F6135" w:rsidRDefault="002F6135" w:rsidP="00BA68A4">
            <w:pPr>
              <w:spacing w:line="360" w:lineRule="auto"/>
              <w:jc w:val="both"/>
              <w:rPr>
                <w:b/>
                <w:bCs/>
                <w:color w:val="000000" w:themeColor="text1"/>
              </w:rPr>
            </w:pPr>
          </w:p>
          <w:p w14:paraId="167861A6" w14:textId="77777777" w:rsidR="002F6135" w:rsidRDefault="002F6135" w:rsidP="00BA68A4">
            <w:pPr>
              <w:spacing w:line="360" w:lineRule="auto"/>
              <w:jc w:val="both"/>
              <w:rPr>
                <w:b/>
                <w:bCs/>
                <w:color w:val="000000" w:themeColor="text1"/>
              </w:rPr>
            </w:pPr>
          </w:p>
          <w:p w14:paraId="6D6B69D8" w14:textId="77777777" w:rsidR="002F6135" w:rsidRPr="006365E4" w:rsidRDefault="002F6135" w:rsidP="00BA68A4">
            <w:pPr>
              <w:spacing w:line="360" w:lineRule="auto"/>
              <w:jc w:val="both"/>
              <w:rPr>
                <w:b/>
                <w:bCs/>
                <w:color w:val="000000" w:themeColor="text1"/>
              </w:rPr>
            </w:pPr>
          </w:p>
        </w:tc>
        <w:tc>
          <w:tcPr>
            <w:tcW w:w="9214" w:type="dxa"/>
          </w:tcPr>
          <w:p w14:paraId="210E8085" w14:textId="77777777" w:rsidR="00DC4B68" w:rsidRPr="00DC4B68" w:rsidRDefault="00DC4B68" w:rsidP="00DC4B68">
            <w:pPr>
              <w:spacing w:line="276" w:lineRule="auto"/>
              <w:jc w:val="both"/>
              <w:rPr>
                <w:sz w:val="22"/>
                <w:szCs w:val="22"/>
              </w:rPr>
            </w:pPr>
          </w:p>
          <w:p w14:paraId="7C7B7B4B" w14:textId="475B67B9" w:rsidR="00A90244" w:rsidRPr="00936562" w:rsidRDefault="00DC4B68" w:rsidP="002F6135">
            <w:pPr>
              <w:pStyle w:val="Paragraphedeliste"/>
              <w:numPr>
                <w:ilvl w:val="0"/>
                <w:numId w:val="3"/>
              </w:numPr>
              <w:spacing w:line="276" w:lineRule="auto"/>
              <w:jc w:val="both"/>
              <w:rPr>
                <w:rStyle w:val="rynqvb"/>
                <w:sz w:val="22"/>
                <w:szCs w:val="22"/>
                <w:lang w:val="en-US"/>
              </w:rPr>
            </w:pPr>
            <w:r w:rsidRPr="00950D11">
              <w:rPr>
                <w:rStyle w:val="rynqvb"/>
                <w:rFonts w:eastAsiaTheme="majorEastAsia"/>
                <w:b/>
                <w:bCs/>
                <w:sz w:val="22"/>
                <w:szCs w:val="22"/>
                <w:lang w:val="en"/>
              </w:rPr>
              <w:t>I</w:t>
            </w:r>
            <w:r w:rsidR="00A90244" w:rsidRPr="00950D11">
              <w:rPr>
                <w:rStyle w:val="rynqvb"/>
                <w:rFonts w:eastAsiaTheme="majorEastAsia"/>
                <w:b/>
                <w:bCs/>
                <w:sz w:val="22"/>
                <w:szCs w:val="22"/>
                <w:lang w:val="en"/>
              </w:rPr>
              <w:t>n Togo</w:t>
            </w:r>
            <w:r w:rsidR="00A90244" w:rsidRPr="00DC4B68">
              <w:rPr>
                <w:rStyle w:val="rynqvb"/>
                <w:rFonts w:eastAsiaTheme="majorEastAsia"/>
                <w:sz w:val="22"/>
                <w:szCs w:val="22"/>
                <w:lang w:val="en"/>
              </w:rPr>
              <w:t>, school food is regulated by law N02020-007 of June 26, 2020. This aims “to guarantee basic education to each student, especially students located in the most</w:t>
            </w:r>
            <w:r w:rsidR="00A90244" w:rsidRPr="00DC4B68">
              <w:rPr>
                <w:rStyle w:val="hwtze"/>
                <w:rFonts w:eastAsiaTheme="majorEastAsia"/>
                <w:sz w:val="22"/>
                <w:szCs w:val="22"/>
                <w:lang w:val="en"/>
              </w:rPr>
              <w:t xml:space="preserve"> </w:t>
            </w:r>
            <w:r w:rsidR="00A90244" w:rsidRPr="00DC4B68">
              <w:rPr>
                <w:rStyle w:val="rynqvb"/>
                <w:rFonts w:eastAsiaTheme="majorEastAsia"/>
                <w:sz w:val="22"/>
                <w:szCs w:val="22"/>
                <w:lang w:val="en"/>
              </w:rPr>
              <w:t>vulnerable, access to sufficient and balanced school food and to promote the development of local production</w:t>
            </w:r>
            <w:r w:rsidR="00D22FDC">
              <w:rPr>
                <w:rStyle w:val="rynqvb"/>
                <w:rFonts w:eastAsiaTheme="majorEastAsia"/>
                <w:sz w:val="22"/>
                <w:szCs w:val="22"/>
                <w:lang w:val="en"/>
              </w:rPr>
              <w:t xml:space="preserve"> </w:t>
            </w:r>
            <w:r w:rsidR="00390FC3">
              <w:rPr>
                <w:rStyle w:val="rynqvb"/>
                <w:rFonts w:eastAsiaTheme="majorEastAsia"/>
                <w:b/>
                <w:bCs/>
                <w:color w:val="000000" w:themeColor="text1"/>
                <w:lang w:val="en-US"/>
              </w:rPr>
              <w:t>(</w:t>
            </w:r>
            <w:r w:rsidR="00D22FDC">
              <w:rPr>
                <w:rStyle w:val="rynqvb"/>
                <w:rFonts w:eastAsiaTheme="majorEastAsia"/>
                <w:b/>
                <w:bCs/>
                <w:color w:val="000000" w:themeColor="text1"/>
                <w:lang w:val="en-US"/>
              </w:rPr>
              <w:t>3</w:t>
            </w:r>
            <w:r w:rsidR="00390FC3">
              <w:rPr>
                <w:rStyle w:val="rynqvb"/>
                <w:rFonts w:eastAsiaTheme="majorEastAsia"/>
                <w:b/>
                <w:bCs/>
                <w:color w:val="000000" w:themeColor="text1"/>
                <w:lang w:val="en-US"/>
              </w:rPr>
              <w:t>)</w:t>
            </w:r>
            <w:r w:rsidR="00A90244" w:rsidRPr="00DC4B68">
              <w:rPr>
                <w:rStyle w:val="rynqvb"/>
                <w:rFonts w:eastAsiaTheme="majorEastAsia"/>
                <w:sz w:val="22"/>
                <w:szCs w:val="22"/>
                <w:lang w:val="en"/>
              </w:rPr>
              <w:t xml:space="preserve"> </w:t>
            </w:r>
          </w:p>
          <w:p w14:paraId="5A74CCBA" w14:textId="6D4644E0" w:rsidR="00DC4B68" w:rsidRPr="00936562" w:rsidRDefault="00A90244" w:rsidP="002F6135">
            <w:pPr>
              <w:pStyle w:val="Paragraphedeliste"/>
              <w:numPr>
                <w:ilvl w:val="0"/>
                <w:numId w:val="3"/>
              </w:numPr>
              <w:spacing w:line="276" w:lineRule="auto"/>
              <w:jc w:val="both"/>
              <w:rPr>
                <w:rStyle w:val="rynqvb"/>
                <w:sz w:val="22"/>
                <w:szCs w:val="22"/>
                <w:lang w:val="en-US"/>
              </w:rPr>
            </w:pPr>
            <w:r w:rsidRPr="00950D11">
              <w:rPr>
                <w:rStyle w:val="rynqvb"/>
                <w:rFonts w:eastAsiaTheme="majorEastAsia"/>
                <w:b/>
                <w:bCs/>
                <w:sz w:val="22"/>
                <w:szCs w:val="22"/>
                <w:lang w:val="en"/>
              </w:rPr>
              <w:t>In Côte d'Ivoire</w:t>
            </w:r>
            <w:r w:rsidRPr="00DC4B68">
              <w:rPr>
                <w:rStyle w:val="rynqvb"/>
                <w:rFonts w:eastAsiaTheme="majorEastAsia"/>
                <w:sz w:val="22"/>
                <w:szCs w:val="22"/>
                <w:lang w:val="en"/>
              </w:rPr>
              <w:t>, in addition to having a school canteen menu manual which is an information and training document for school canteen stakeholders in matters of nutrition and food hygiene for public primary and secondary schools,</w:t>
            </w:r>
            <w:r w:rsidRPr="00DC4B68">
              <w:rPr>
                <w:rStyle w:val="hwtze"/>
                <w:rFonts w:eastAsiaTheme="majorEastAsia"/>
                <w:sz w:val="22"/>
                <w:szCs w:val="22"/>
                <w:lang w:val="en"/>
              </w:rPr>
              <w:t xml:space="preserve"> </w:t>
            </w:r>
            <w:r w:rsidRPr="00DC4B68">
              <w:rPr>
                <w:rStyle w:val="rynqvb"/>
                <w:rFonts w:eastAsiaTheme="majorEastAsia"/>
                <w:sz w:val="22"/>
                <w:szCs w:val="22"/>
                <w:lang w:val="en"/>
              </w:rPr>
              <w:t>the country has developed a national school feeding policy (PNAS) 2018-2025 and a national school feeding strategy 2018-2022 to operationalize it.</w:t>
            </w:r>
            <w:r w:rsidRPr="00DC4B68">
              <w:rPr>
                <w:rStyle w:val="hwtze"/>
                <w:rFonts w:eastAsiaTheme="majorEastAsia"/>
                <w:sz w:val="22"/>
                <w:szCs w:val="22"/>
                <w:lang w:val="en"/>
              </w:rPr>
              <w:t xml:space="preserve"> </w:t>
            </w:r>
            <w:r w:rsidRPr="00DC4B68">
              <w:rPr>
                <w:rStyle w:val="rynqvb"/>
                <w:rFonts w:eastAsiaTheme="majorEastAsia"/>
                <w:sz w:val="22"/>
                <w:szCs w:val="22"/>
                <w:lang w:val="en"/>
              </w:rPr>
              <w:t>The PNAS's vision is: "By 2025, all students in Côte d'Ivoire enrolled in basic education structures will have a hot and balanced meal in the canteen every school day."</w:t>
            </w:r>
            <w:r w:rsidR="00D22FDC" w:rsidRPr="00D22FDC">
              <w:rPr>
                <w:rStyle w:val="rynqvb"/>
                <w:rFonts w:eastAsiaTheme="majorEastAsia"/>
                <w:b/>
                <w:bCs/>
                <w:color w:val="000000" w:themeColor="text1"/>
                <w:lang w:val="en-US"/>
              </w:rPr>
              <w:t xml:space="preserve"> </w:t>
            </w:r>
            <w:r w:rsidR="00390FC3">
              <w:rPr>
                <w:rStyle w:val="rynqvb"/>
                <w:rFonts w:eastAsiaTheme="majorEastAsia"/>
                <w:b/>
                <w:bCs/>
                <w:color w:val="000000" w:themeColor="text1"/>
                <w:lang w:val="en-US"/>
              </w:rPr>
              <w:t>(</w:t>
            </w:r>
            <w:r w:rsidR="00D22FDC">
              <w:rPr>
                <w:rStyle w:val="rynqvb"/>
                <w:rFonts w:eastAsiaTheme="majorEastAsia"/>
                <w:b/>
                <w:bCs/>
                <w:color w:val="000000" w:themeColor="text1"/>
                <w:lang w:val="en-US"/>
              </w:rPr>
              <w:t>4</w:t>
            </w:r>
            <w:r w:rsidR="00390FC3">
              <w:rPr>
                <w:rStyle w:val="rynqvb"/>
                <w:rFonts w:eastAsiaTheme="majorEastAsia"/>
                <w:b/>
                <w:bCs/>
                <w:color w:val="000000" w:themeColor="text1"/>
                <w:lang w:val="en-US"/>
              </w:rPr>
              <w:t>)</w:t>
            </w:r>
            <w:r w:rsidR="00D22FDC" w:rsidRPr="00D22FDC">
              <w:rPr>
                <w:rStyle w:val="rynqvb"/>
                <w:rFonts w:eastAsiaTheme="majorEastAsia"/>
                <w:color w:val="000000" w:themeColor="text1"/>
                <w:sz w:val="22"/>
                <w:szCs w:val="22"/>
                <w:lang w:val="en"/>
              </w:rPr>
              <w:t>.</w:t>
            </w:r>
          </w:p>
          <w:p w14:paraId="78495357" w14:textId="3FF3DA3D" w:rsidR="00DC4B68" w:rsidRPr="00936562" w:rsidRDefault="00A90244" w:rsidP="002F6135">
            <w:pPr>
              <w:pStyle w:val="Paragraphedeliste"/>
              <w:numPr>
                <w:ilvl w:val="0"/>
                <w:numId w:val="3"/>
              </w:numPr>
              <w:spacing w:line="276" w:lineRule="auto"/>
              <w:jc w:val="both"/>
              <w:rPr>
                <w:rStyle w:val="rynqvb"/>
                <w:sz w:val="22"/>
                <w:szCs w:val="22"/>
                <w:lang w:val="en-US"/>
              </w:rPr>
            </w:pPr>
            <w:r w:rsidRPr="00950D11">
              <w:rPr>
                <w:rStyle w:val="rynqvb"/>
                <w:rFonts w:eastAsiaTheme="majorEastAsia"/>
                <w:b/>
                <w:bCs/>
                <w:sz w:val="22"/>
                <w:szCs w:val="22"/>
                <w:lang w:val="en"/>
              </w:rPr>
              <w:t>In Burkina Faso</w:t>
            </w:r>
            <w:r w:rsidRPr="00DC4B68">
              <w:rPr>
                <w:rStyle w:val="rynqvb"/>
                <w:rFonts w:eastAsiaTheme="majorEastAsia"/>
                <w:sz w:val="22"/>
                <w:szCs w:val="22"/>
                <w:lang w:val="en"/>
              </w:rPr>
              <w:t>, the consideration of school feeding as an important instrument of social protection and the fight against malnutrition for better school performance was the subject of Presidential Decree No. 2020-03/MICA/MS/PM</w:t>
            </w:r>
            <w:r w:rsidRPr="00DC4B68">
              <w:rPr>
                <w:rStyle w:val="hwtze"/>
                <w:rFonts w:eastAsiaTheme="majorEastAsia"/>
                <w:sz w:val="22"/>
                <w:szCs w:val="22"/>
                <w:lang w:val="en"/>
              </w:rPr>
              <w:t xml:space="preserve"> </w:t>
            </w:r>
            <w:r w:rsidRPr="00DC4B68">
              <w:rPr>
                <w:rStyle w:val="rynqvb"/>
                <w:rFonts w:eastAsiaTheme="majorEastAsia"/>
                <w:sz w:val="22"/>
                <w:szCs w:val="22"/>
                <w:lang w:val="en"/>
              </w:rPr>
              <w:t>/SG/DGDR to establish a Technical Consultation Framework for the Presidential initiative with the aim of: “ensuring each child of school age at least one balanced meal per day” by providing an envelope with partners of 502 billion FCFA</w:t>
            </w:r>
            <w:r w:rsidRPr="00DC4B68">
              <w:rPr>
                <w:rStyle w:val="hwtze"/>
                <w:rFonts w:eastAsiaTheme="majorEastAsia"/>
                <w:sz w:val="22"/>
                <w:szCs w:val="22"/>
                <w:lang w:val="en"/>
              </w:rPr>
              <w:t xml:space="preserve"> </w:t>
            </w:r>
            <w:r w:rsidRPr="00DC4B68">
              <w:rPr>
                <w:rStyle w:val="rynqvb"/>
                <w:rFonts w:eastAsiaTheme="majorEastAsia"/>
                <w:sz w:val="22"/>
                <w:szCs w:val="22"/>
                <w:lang w:val="en"/>
              </w:rPr>
              <w:t>and a National School Food and Nutrition Strategy (SNANS) for the period 2021-2025 which becomes the reference framework for all interventions in this area in Burkina Faso</w:t>
            </w:r>
            <w:r w:rsidR="00390FC3">
              <w:rPr>
                <w:rStyle w:val="rynqvb"/>
                <w:rFonts w:eastAsiaTheme="majorEastAsia"/>
                <w:b/>
                <w:bCs/>
                <w:color w:val="000000" w:themeColor="text1"/>
                <w:lang w:val="en-US"/>
              </w:rPr>
              <w:t>(</w:t>
            </w:r>
            <w:r w:rsidR="00D22FDC">
              <w:rPr>
                <w:rStyle w:val="rynqvb"/>
                <w:rFonts w:eastAsiaTheme="majorEastAsia"/>
                <w:b/>
                <w:bCs/>
                <w:color w:val="000000" w:themeColor="text1"/>
                <w:lang w:val="en-US"/>
              </w:rPr>
              <w:t>5</w:t>
            </w:r>
            <w:r w:rsidR="00390FC3">
              <w:rPr>
                <w:rStyle w:val="rynqvb"/>
                <w:rFonts w:eastAsiaTheme="majorEastAsia"/>
                <w:b/>
                <w:bCs/>
                <w:color w:val="000000" w:themeColor="text1"/>
                <w:lang w:val="en-US"/>
              </w:rPr>
              <w:t>)</w:t>
            </w:r>
            <w:r w:rsidR="00D22FDC" w:rsidRPr="00D22FDC">
              <w:rPr>
                <w:rStyle w:val="rynqvb"/>
                <w:rFonts w:eastAsiaTheme="majorEastAsia"/>
                <w:color w:val="000000" w:themeColor="text1"/>
                <w:sz w:val="22"/>
                <w:szCs w:val="22"/>
                <w:lang w:val="en"/>
              </w:rPr>
              <w:t>.</w:t>
            </w:r>
            <w:r w:rsidRPr="00DC4B68">
              <w:rPr>
                <w:rStyle w:val="rynqvb"/>
                <w:rFonts w:eastAsiaTheme="majorEastAsia"/>
                <w:sz w:val="22"/>
                <w:szCs w:val="22"/>
                <w:lang w:val="en"/>
              </w:rPr>
              <w:t xml:space="preserve"> </w:t>
            </w:r>
          </w:p>
          <w:p w14:paraId="35852B48" w14:textId="5AB3EDC7" w:rsidR="002F6135" w:rsidRPr="00DC4B68" w:rsidRDefault="00A90244" w:rsidP="002F6135">
            <w:pPr>
              <w:pStyle w:val="Paragraphedeliste"/>
              <w:numPr>
                <w:ilvl w:val="0"/>
                <w:numId w:val="3"/>
              </w:numPr>
              <w:spacing w:line="276" w:lineRule="auto"/>
              <w:jc w:val="both"/>
              <w:rPr>
                <w:sz w:val="22"/>
                <w:szCs w:val="22"/>
              </w:rPr>
            </w:pPr>
            <w:r w:rsidRPr="00950D11">
              <w:rPr>
                <w:rStyle w:val="rynqvb"/>
                <w:rFonts w:eastAsiaTheme="majorEastAsia"/>
                <w:b/>
                <w:bCs/>
                <w:sz w:val="22"/>
                <w:szCs w:val="22"/>
                <w:lang w:val="en"/>
              </w:rPr>
              <w:lastRenderedPageBreak/>
              <w:t>In Benin</w:t>
            </w:r>
            <w:r w:rsidRPr="00DC4B68">
              <w:rPr>
                <w:rStyle w:val="rynqvb"/>
                <w:rFonts w:eastAsiaTheme="majorEastAsia"/>
                <w:sz w:val="22"/>
                <w:szCs w:val="22"/>
                <w:lang w:val="en"/>
              </w:rPr>
              <w:t>, the adoption of the National School Feeding Policy in 2014</w:t>
            </w:r>
            <w:r w:rsidR="00D22FDC">
              <w:rPr>
                <w:rStyle w:val="rynqvb"/>
                <w:rFonts w:eastAsiaTheme="majorEastAsia"/>
                <w:sz w:val="22"/>
                <w:szCs w:val="22"/>
                <w:lang w:val="en"/>
              </w:rPr>
              <w:t xml:space="preserve"> </w:t>
            </w:r>
            <w:r w:rsidR="00390FC3">
              <w:rPr>
                <w:rStyle w:val="rynqvb"/>
                <w:rFonts w:eastAsiaTheme="majorEastAsia"/>
                <w:b/>
                <w:bCs/>
                <w:color w:val="000000" w:themeColor="text1"/>
                <w:lang w:val="en-US"/>
              </w:rPr>
              <w:t>(</w:t>
            </w:r>
            <w:r w:rsidR="00D22FDC">
              <w:rPr>
                <w:rStyle w:val="rynqvb"/>
                <w:rFonts w:eastAsiaTheme="majorEastAsia"/>
                <w:b/>
                <w:bCs/>
                <w:color w:val="000000" w:themeColor="text1"/>
                <w:lang w:val="en-US"/>
              </w:rPr>
              <w:t>6</w:t>
            </w:r>
            <w:r w:rsidR="00390FC3">
              <w:rPr>
                <w:rStyle w:val="rynqvb"/>
                <w:rFonts w:eastAsiaTheme="majorEastAsia"/>
                <w:b/>
                <w:bCs/>
                <w:color w:val="000000" w:themeColor="text1"/>
                <w:lang w:val="en-US"/>
              </w:rPr>
              <w:t>)</w:t>
            </w:r>
            <w:r w:rsidRPr="00DC4B68">
              <w:rPr>
                <w:rStyle w:val="rynqvb"/>
                <w:rFonts w:eastAsiaTheme="majorEastAsia"/>
                <w:sz w:val="22"/>
                <w:szCs w:val="22"/>
                <w:lang w:val="en"/>
              </w:rPr>
              <w:t xml:space="preserve"> and the creation of the Integrated School Feeding Program in 2018 </w:t>
            </w:r>
            <w:r w:rsidR="00390FC3">
              <w:rPr>
                <w:rStyle w:val="rynqvb"/>
                <w:rFonts w:eastAsiaTheme="majorEastAsia"/>
                <w:b/>
                <w:bCs/>
                <w:color w:val="000000" w:themeColor="text1"/>
                <w:lang w:val="en-US"/>
              </w:rPr>
              <w:t>(</w:t>
            </w:r>
            <w:r w:rsidR="00D22FDC">
              <w:rPr>
                <w:rStyle w:val="rynqvb"/>
                <w:rFonts w:eastAsiaTheme="majorEastAsia"/>
                <w:b/>
                <w:bCs/>
                <w:color w:val="000000" w:themeColor="text1"/>
                <w:lang w:val="en-US"/>
              </w:rPr>
              <w:t>7</w:t>
            </w:r>
            <w:r w:rsidR="00390FC3">
              <w:rPr>
                <w:rStyle w:val="rynqvb"/>
                <w:rFonts w:eastAsiaTheme="majorEastAsia"/>
                <w:b/>
                <w:bCs/>
                <w:color w:val="000000" w:themeColor="text1"/>
                <w:lang w:val="en-US"/>
              </w:rPr>
              <w:t xml:space="preserve">) </w:t>
            </w:r>
            <w:r w:rsidRPr="00DC4B68">
              <w:rPr>
                <w:rStyle w:val="rynqvb"/>
                <w:rFonts w:eastAsiaTheme="majorEastAsia"/>
                <w:sz w:val="22"/>
                <w:szCs w:val="22"/>
                <w:lang w:val="en"/>
              </w:rPr>
              <w:t>were policy measures to reduce child malnutrition.</w:t>
            </w:r>
            <w:r w:rsidRPr="00DC4B68">
              <w:rPr>
                <w:rStyle w:val="hwtze"/>
                <w:rFonts w:eastAsiaTheme="majorEastAsia"/>
                <w:sz w:val="22"/>
                <w:szCs w:val="22"/>
                <w:lang w:val="en"/>
              </w:rPr>
              <w:t xml:space="preserve"> </w:t>
            </w:r>
            <w:r w:rsidRPr="00DC4B68">
              <w:rPr>
                <w:rStyle w:val="rynqvb"/>
                <w:rFonts w:eastAsiaTheme="majorEastAsia"/>
                <w:sz w:val="22"/>
                <w:szCs w:val="22"/>
                <w:lang w:val="en"/>
              </w:rPr>
              <w:t>The objective is to reduce hunger among schoolchildren “by developing a multi-sectoral approach and favoring local purchases to improve academic performance, dietary diversity and the nutrition of students in schools with canteens”.</w:t>
            </w:r>
            <w:r w:rsidRPr="00DC4B68">
              <w:rPr>
                <w:rStyle w:val="hwtze"/>
                <w:rFonts w:eastAsiaTheme="majorEastAsia"/>
                <w:sz w:val="22"/>
                <w:szCs w:val="22"/>
                <w:lang w:val="en"/>
              </w:rPr>
              <w:t xml:space="preserve"> </w:t>
            </w:r>
            <w:r w:rsidRPr="00DC4B68">
              <w:rPr>
                <w:rStyle w:val="rynqvb"/>
                <w:rFonts w:eastAsiaTheme="majorEastAsia"/>
                <w:sz w:val="22"/>
                <w:szCs w:val="22"/>
                <w:lang w:val="en"/>
              </w:rPr>
              <w:t>Thus, the national coverage rate increased from 29% to 51% between 2018-2020</w:t>
            </w:r>
            <w:r w:rsidR="00D22FDC">
              <w:rPr>
                <w:rStyle w:val="rynqvb"/>
                <w:rFonts w:eastAsiaTheme="majorEastAsia"/>
                <w:sz w:val="22"/>
                <w:szCs w:val="22"/>
                <w:lang w:val="en"/>
              </w:rPr>
              <w:t xml:space="preserve"> </w:t>
            </w:r>
            <w:r w:rsidR="00390FC3">
              <w:rPr>
                <w:rStyle w:val="rynqvb"/>
                <w:rFonts w:eastAsiaTheme="majorEastAsia"/>
                <w:b/>
                <w:bCs/>
                <w:color w:val="000000" w:themeColor="text1"/>
                <w:lang w:val="en-US"/>
              </w:rPr>
              <w:t>(</w:t>
            </w:r>
            <w:r w:rsidR="00D22FDC">
              <w:rPr>
                <w:rStyle w:val="rynqvb"/>
                <w:rFonts w:eastAsiaTheme="majorEastAsia"/>
                <w:b/>
                <w:bCs/>
                <w:color w:val="000000" w:themeColor="text1"/>
                <w:lang w:val="en-US"/>
              </w:rPr>
              <w:t>6,7</w:t>
            </w:r>
            <w:r w:rsidR="00390FC3">
              <w:rPr>
                <w:rStyle w:val="rynqvb"/>
                <w:rFonts w:eastAsiaTheme="majorEastAsia"/>
                <w:b/>
                <w:bCs/>
                <w:color w:val="000000" w:themeColor="text1"/>
                <w:lang w:val="en-US"/>
              </w:rPr>
              <w:t>)</w:t>
            </w:r>
            <w:r w:rsidR="00D22FDC" w:rsidRPr="00D22FDC">
              <w:rPr>
                <w:rStyle w:val="rynqvb"/>
                <w:rFonts w:eastAsiaTheme="majorEastAsia"/>
                <w:color w:val="000000" w:themeColor="text1"/>
                <w:sz w:val="22"/>
                <w:szCs w:val="22"/>
                <w:lang w:val="en"/>
              </w:rPr>
              <w:t>.</w:t>
            </w:r>
          </w:p>
        </w:tc>
      </w:tr>
      <w:tr w:rsidR="002F6135" w:rsidRPr="00892619" w14:paraId="27BEF5D0" w14:textId="77777777" w:rsidTr="00BA68A4">
        <w:tc>
          <w:tcPr>
            <w:tcW w:w="1418" w:type="dxa"/>
          </w:tcPr>
          <w:p w14:paraId="5C74CE68" w14:textId="77777777" w:rsidR="002F6135" w:rsidRDefault="002F6135" w:rsidP="00BA68A4">
            <w:pPr>
              <w:spacing w:line="360" w:lineRule="auto"/>
              <w:jc w:val="both"/>
              <w:rPr>
                <w:b/>
                <w:bCs/>
                <w:color w:val="000000" w:themeColor="text1"/>
              </w:rPr>
            </w:pPr>
          </w:p>
          <w:p w14:paraId="081F5D60" w14:textId="77777777" w:rsidR="002F6135" w:rsidRDefault="002F6135" w:rsidP="00BA68A4">
            <w:pPr>
              <w:spacing w:line="360" w:lineRule="auto"/>
              <w:jc w:val="both"/>
              <w:rPr>
                <w:b/>
                <w:bCs/>
                <w:color w:val="000000" w:themeColor="text1"/>
              </w:rPr>
            </w:pPr>
          </w:p>
          <w:p w14:paraId="364DED70" w14:textId="77777777" w:rsidR="002F6135" w:rsidRDefault="002F6135" w:rsidP="00BA68A4">
            <w:pPr>
              <w:spacing w:line="360" w:lineRule="auto"/>
              <w:jc w:val="both"/>
              <w:rPr>
                <w:b/>
                <w:bCs/>
                <w:color w:val="000000" w:themeColor="text1"/>
              </w:rPr>
            </w:pPr>
          </w:p>
          <w:p w14:paraId="669AB90D" w14:textId="77777777" w:rsidR="002F6135" w:rsidRDefault="002F6135" w:rsidP="00BA68A4">
            <w:pPr>
              <w:spacing w:line="360" w:lineRule="auto"/>
              <w:jc w:val="both"/>
              <w:rPr>
                <w:b/>
                <w:bCs/>
                <w:color w:val="000000" w:themeColor="text1"/>
              </w:rPr>
            </w:pPr>
          </w:p>
          <w:p w14:paraId="58BA1FFB" w14:textId="77777777" w:rsidR="002F6135" w:rsidRPr="00950D11" w:rsidRDefault="002F6135" w:rsidP="00BA68A4">
            <w:pPr>
              <w:spacing w:line="360" w:lineRule="auto"/>
              <w:jc w:val="both"/>
              <w:rPr>
                <w:b/>
                <w:bCs/>
                <w:color w:val="000000" w:themeColor="text1"/>
                <w:sz w:val="22"/>
                <w:szCs w:val="22"/>
              </w:rPr>
            </w:pPr>
            <w:r w:rsidRPr="00950D11">
              <w:rPr>
                <w:b/>
                <w:bCs/>
                <w:color w:val="000000" w:themeColor="text1"/>
                <w:sz w:val="22"/>
                <w:szCs w:val="22"/>
              </w:rPr>
              <w:t>PROV2</w:t>
            </w:r>
          </w:p>
          <w:p w14:paraId="7769CE7A" w14:textId="77777777" w:rsidR="002F6135" w:rsidRPr="006365E4" w:rsidRDefault="002F6135" w:rsidP="00BA68A4">
            <w:pPr>
              <w:spacing w:line="360" w:lineRule="auto"/>
              <w:jc w:val="both"/>
              <w:rPr>
                <w:b/>
                <w:bCs/>
                <w:color w:val="000000" w:themeColor="text1"/>
              </w:rPr>
            </w:pPr>
          </w:p>
        </w:tc>
        <w:tc>
          <w:tcPr>
            <w:tcW w:w="9214" w:type="dxa"/>
          </w:tcPr>
          <w:p w14:paraId="3123068C" w14:textId="2A095435" w:rsidR="00DC4B68" w:rsidRPr="00DC4B68" w:rsidRDefault="00DC4B68" w:rsidP="002F6135">
            <w:pPr>
              <w:pStyle w:val="Paragraphedeliste"/>
              <w:numPr>
                <w:ilvl w:val="0"/>
                <w:numId w:val="3"/>
              </w:numPr>
              <w:spacing w:line="276" w:lineRule="auto"/>
              <w:jc w:val="both"/>
              <w:rPr>
                <w:b/>
                <w:bCs/>
                <w:sz w:val="22"/>
                <w:szCs w:val="22"/>
                <w:lang w:val="en-US"/>
              </w:rPr>
            </w:pPr>
            <w:r w:rsidRPr="00950D11">
              <w:rPr>
                <w:rStyle w:val="rynqvb"/>
                <w:rFonts w:eastAsiaTheme="majorEastAsia"/>
                <w:b/>
                <w:bCs/>
                <w:sz w:val="22"/>
                <w:szCs w:val="22"/>
                <w:lang w:val="en"/>
              </w:rPr>
              <w:t>In Burkina Faso,</w:t>
            </w:r>
            <w:r w:rsidRPr="00DC4B68">
              <w:rPr>
                <w:rStyle w:val="rynqvb"/>
                <w:rFonts w:eastAsiaTheme="majorEastAsia"/>
                <w:sz w:val="22"/>
                <w:szCs w:val="22"/>
                <w:lang w:val="en"/>
              </w:rPr>
              <w:t xml:space="preserve"> a political commitment was made in 2017 by the Head of Government, by establishing two decrees to encourage the purchase and consumption of local products by the food services of public structures (no. 2017-002/PM/</w:t>
            </w:r>
            <w:r w:rsidRPr="00DC4B68">
              <w:rPr>
                <w:rStyle w:val="hwtze"/>
                <w:rFonts w:eastAsiaTheme="majorEastAsia"/>
                <w:sz w:val="22"/>
                <w:szCs w:val="22"/>
                <w:lang w:val="en"/>
              </w:rPr>
              <w:t xml:space="preserve"> </w:t>
            </w:r>
            <w:r w:rsidRPr="00DC4B68">
              <w:rPr>
                <w:rStyle w:val="rynqvb"/>
                <w:rFonts w:eastAsiaTheme="majorEastAsia"/>
                <w:sz w:val="22"/>
                <w:szCs w:val="22"/>
                <w:lang w:val="en"/>
              </w:rPr>
              <w:t>CAB of January 13, 2017</w:t>
            </w:r>
            <w:r w:rsidR="00D22FDC">
              <w:rPr>
                <w:rStyle w:val="rynqvb"/>
                <w:rFonts w:eastAsiaTheme="majorEastAsia"/>
                <w:sz w:val="22"/>
                <w:szCs w:val="22"/>
                <w:lang w:val="en"/>
              </w:rPr>
              <w:t xml:space="preserve"> </w:t>
            </w:r>
            <w:r w:rsidR="00390FC3">
              <w:rPr>
                <w:rStyle w:val="rynqvb"/>
                <w:rFonts w:eastAsiaTheme="majorEastAsia"/>
                <w:b/>
                <w:bCs/>
                <w:color w:val="000000" w:themeColor="text1"/>
                <w:lang w:val="en-US"/>
              </w:rPr>
              <w:t>(</w:t>
            </w:r>
            <w:r w:rsidR="00D22FDC">
              <w:rPr>
                <w:rStyle w:val="rynqvb"/>
                <w:rFonts w:eastAsiaTheme="majorEastAsia"/>
                <w:b/>
                <w:bCs/>
                <w:color w:val="000000" w:themeColor="text1"/>
                <w:lang w:val="en-US"/>
              </w:rPr>
              <w:t>8</w:t>
            </w:r>
            <w:r w:rsidR="00390FC3">
              <w:rPr>
                <w:rStyle w:val="rynqvb"/>
                <w:rFonts w:eastAsiaTheme="majorEastAsia"/>
                <w:b/>
                <w:bCs/>
                <w:color w:val="000000" w:themeColor="text1"/>
                <w:lang w:val="en-US"/>
              </w:rPr>
              <w:t>)</w:t>
            </w:r>
            <w:r w:rsidR="00D22FDC">
              <w:rPr>
                <w:rStyle w:val="rynqvb"/>
                <w:rFonts w:eastAsiaTheme="majorEastAsia"/>
                <w:color w:val="000000" w:themeColor="text1"/>
                <w:sz w:val="22"/>
                <w:szCs w:val="22"/>
                <w:lang w:val="en"/>
              </w:rPr>
              <w:t>,</w:t>
            </w:r>
            <w:r w:rsidR="00D22FDC" w:rsidRPr="00DC4B68">
              <w:rPr>
                <w:rStyle w:val="rynqvb"/>
                <w:rFonts w:eastAsiaTheme="majorEastAsia"/>
                <w:sz w:val="22"/>
                <w:szCs w:val="22"/>
                <w:lang w:val="en"/>
              </w:rPr>
              <w:t xml:space="preserve"> and</w:t>
            </w:r>
            <w:r w:rsidRPr="00DC4B68">
              <w:rPr>
                <w:rStyle w:val="rynqvb"/>
                <w:rFonts w:eastAsiaTheme="majorEastAsia"/>
                <w:sz w:val="22"/>
                <w:szCs w:val="22"/>
                <w:lang w:val="en"/>
              </w:rPr>
              <w:t xml:space="preserve"> No. 2017-002/PM/CAB of January 31, 2017</w:t>
            </w:r>
            <w:r w:rsidR="00390FC3">
              <w:rPr>
                <w:rStyle w:val="rynqvb"/>
                <w:rFonts w:eastAsiaTheme="majorEastAsia"/>
                <w:b/>
                <w:bCs/>
                <w:color w:val="000000" w:themeColor="text1"/>
                <w:lang w:val="en-US"/>
              </w:rPr>
              <w:t>(</w:t>
            </w:r>
            <w:r w:rsidR="00D22FDC">
              <w:rPr>
                <w:rStyle w:val="rynqvb"/>
                <w:rFonts w:eastAsiaTheme="majorEastAsia"/>
                <w:b/>
                <w:bCs/>
                <w:color w:val="000000" w:themeColor="text1"/>
                <w:lang w:val="en-US"/>
              </w:rPr>
              <w:t>9</w:t>
            </w:r>
            <w:r w:rsidR="00390FC3">
              <w:rPr>
                <w:rStyle w:val="rynqvb"/>
                <w:rFonts w:eastAsiaTheme="majorEastAsia"/>
                <w:b/>
                <w:bCs/>
                <w:color w:val="000000" w:themeColor="text1"/>
                <w:lang w:val="en-US"/>
              </w:rPr>
              <w:t>)</w:t>
            </w:r>
            <w:r w:rsidR="00D22FDC" w:rsidRPr="00D22FDC">
              <w:rPr>
                <w:rStyle w:val="rynqvb"/>
                <w:rFonts w:eastAsiaTheme="majorEastAsia"/>
                <w:color w:val="000000" w:themeColor="text1"/>
                <w:sz w:val="22"/>
                <w:szCs w:val="22"/>
                <w:lang w:val="en"/>
              </w:rPr>
              <w:t>.</w:t>
            </w:r>
            <w:r w:rsidRPr="00DC4B68">
              <w:rPr>
                <w:rStyle w:val="hwtze"/>
                <w:rFonts w:eastAsiaTheme="majorEastAsia"/>
                <w:sz w:val="22"/>
                <w:szCs w:val="22"/>
                <w:lang w:val="en"/>
              </w:rPr>
              <w:t xml:space="preserve"> </w:t>
            </w:r>
            <w:r w:rsidRPr="00DC4B68">
              <w:rPr>
                <w:rStyle w:val="rynqvb"/>
                <w:rFonts w:eastAsiaTheme="majorEastAsia"/>
                <w:sz w:val="22"/>
                <w:szCs w:val="22"/>
                <w:lang w:val="en"/>
              </w:rPr>
              <w:t>The Government has also taken strong measures to support the marketing and consumption of local food products by establishing the list of local food products and the public structures concerned (school and university canteens, vocational training centers, hospitals, military barracks,</w:t>
            </w:r>
            <w:r w:rsidRPr="00DC4B68">
              <w:rPr>
                <w:rStyle w:val="hwtze"/>
                <w:rFonts w:eastAsiaTheme="majorEastAsia"/>
                <w:sz w:val="22"/>
                <w:szCs w:val="22"/>
                <w:lang w:val="en"/>
              </w:rPr>
              <w:t xml:space="preserve"> </w:t>
            </w:r>
            <w:r w:rsidRPr="00DC4B68">
              <w:rPr>
                <w:rStyle w:val="rynqvb"/>
                <w:rFonts w:eastAsiaTheme="majorEastAsia"/>
                <w:sz w:val="22"/>
                <w:szCs w:val="22"/>
                <w:lang w:val="en"/>
              </w:rPr>
              <w:t>remand and correctional centers, ministerial departments, etc.)</w:t>
            </w:r>
            <w:r w:rsidR="00D22FDC" w:rsidRPr="00D22FDC">
              <w:rPr>
                <w:rStyle w:val="rynqvb"/>
                <w:rFonts w:eastAsiaTheme="majorEastAsia"/>
                <w:b/>
                <w:bCs/>
                <w:color w:val="000000" w:themeColor="text1"/>
                <w:lang w:val="en-US"/>
              </w:rPr>
              <w:t xml:space="preserve"> </w:t>
            </w:r>
            <w:r w:rsidR="00390FC3">
              <w:rPr>
                <w:rStyle w:val="rynqvb"/>
                <w:rFonts w:eastAsiaTheme="majorEastAsia"/>
                <w:b/>
                <w:bCs/>
                <w:color w:val="000000" w:themeColor="text1"/>
                <w:lang w:val="en-US"/>
              </w:rPr>
              <w:t>(</w:t>
            </w:r>
            <w:r w:rsidR="00D22FDC">
              <w:rPr>
                <w:rStyle w:val="rynqvb"/>
                <w:rFonts w:eastAsiaTheme="majorEastAsia"/>
                <w:b/>
                <w:bCs/>
                <w:color w:val="000000" w:themeColor="text1"/>
                <w:lang w:val="en-US"/>
              </w:rPr>
              <w:t>8-10</w:t>
            </w:r>
            <w:r w:rsidR="00390FC3">
              <w:rPr>
                <w:rStyle w:val="rynqvb"/>
                <w:rFonts w:eastAsiaTheme="majorEastAsia"/>
                <w:b/>
                <w:bCs/>
                <w:color w:val="000000" w:themeColor="text1"/>
                <w:lang w:val="en-US"/>
              </w:rPr>
              <w:t>)</w:t>
            </w:r>
            <w:r w:rsidR="00D22FDC" w:rsidRPr="00D22FDC">
              <w:rPr>
                <w:rStyle w:val="rynqvb"/>
                <w:rFonts w:eastAsiaTheme="majorEastAsia"/>
                <w:color w:val="000000" w:themeColor="text1"/>
                <w:sz w:val="22"/>
                <w:szCs w:val="22"/>
                <w:lang w:val="en"/>
              </w:rPr>
              <w:t>.</w:t>
            </w:r>
            <w:r w:rsidRPr="00DC4B68">
              <w:rPr>
                <w:rStyle w:val="hwtze"/>
                <w:rFonts w:eastAsiaTheme="majorEastAsia"/>
                <w:sz w:val="22"/>
                <w:szCs w:val="22"/>
                <w:lang w:val="en"/>
              </w:rPr>
              <w:t xml:space="preserve"> </w:t>
            </w:r>
            <w:r w:rsidRPr="00DC4B68">
              <w:rPr>
                <w:rStyle w:val="rynqvb"/>
                <w:rFonts w:eastAsiaTheme="majorEastAsia"/>
                <w:sz w:val="22"/>
                <w:szCs w:val="22"/>
                <w:lang w:val="en"/>
              </w:rPr>
              <w:t>The obligations are, among others: i) “obligation on all public structures consuming food products to remove as a priority those of local origin before any act of purchasing a similar imported product;</w:t>
            </w:r>
            <w:r w:rsidRPr="00DC4B68">
              <w:rPr>
                <w:rStyle w:val="hwtze"/>
                <w:rFonts w:eastAsiaTheme="majorEastAsia"/>
                <w:sz w:val="22"/>
                <w:szCs w:val="22"/>
                <w:lang w:val="en"/>
              </w:rPr>
              <w:t xml:space="preserve"> </w:t>
            </w:r>
            <w:r w:rsidRPr="00DC4B68">
              <w:rPr>
                <w:rStyle w:val="rynqvb"/>
                <w:rFonts w:eastAsiaTheme="majorEastAsia"/>
                <w:sz w:val="22"/>
                <w:szCs w:val="22"/>
                <w:lang w:val="en"/>
              </w:rPr>
              <w:t>and ii) obligation for public structures to integrate local dishes into menus;</w:t>
            </w:r>
            <w:r w:rsidRPr="00DC4B68">
              <w:rPr>
                <w:rStyle w:val="hwtze"/>
                <w:rFonts w:eastAsiaTheme="majorEastAsia"/>
                <w:sz w:val="22"/>
                <w:szCs w:val="22"/>
                <w:lang w:val="en"/>
              </w:rPr>
              <w:t xml:space="preserve"> </w:t>
            </w:r>
            <w:r w:rsidRPr="00DC4B68">
              <w:rPr>
                <w:rStyle w:val="rynqvb"/>
                <w:rFonts w:eastAsiaTheme="majorEastAsia"/>
                <w:sz w:val="22"/>
                <w:szCs w:val="22"/>
                <w:lang w:val="en"/>
              </w:rPr>
              <w:t>coffee breaks, lunch breaks, gala dinners, dinner debates during workshops, etc.</w:t>
            </w:r>
            <w:r w:rsidRPr="00DC4B68">
              <w:rPr>
                <w:rStyle w:val="hwtze"/>
                <w:rFonts w:eastAsiaTheme="majorEastAsia"/>
                <w:sz w:val="22"/>
                <w:szCs w:val="22"/>
                <w:lang w:val="en"/>
              </w:rPr>
              <w:t xml:space="preserve"> </w:t>
            </w:r>
            <w:r w:rsidRPr="00DC4B68">
              <w:rPr>
                <w:rStyle w:val="rynqvb"/>
                <w:rFonts w:eastAsiaTheme="majorEastAsia"/>
                <w:sz w:val="22"/>
                <w:szCs w:val="22"/>
                <w:lang w:val="en"/>
              </w:rPr>
              <w:t>To support these political decisions, the National Food and Nutrition Security Policy 2018-2027 and the National School Food and Nutrition Strategy 2021-2025 become privileged political tools to promote and guarantee the government's political will in this area.</w:t>
            </w:r>
            <w:r w:rsidRPr="00DC4B68">
              <w:rPr>
                <w:rStyle w:val="hwtze"/>
                <w:rFonts w:eastAsiaTheme="majorEastAsia"/>
                <w:sz w:val="22"/>
                <w:szCs w:val="22"/>
                <w:lang w:val="en"/>
              </w:rPr>
              <w:t xml:space="preserve"> </w:t>
            </w:r>
            <w:r w:rsidRPr="00DC4B68">
              <w:rPr>
                <w:rStyle w:val="rynqvb"/>
                <w:rFonts w:eastAsiaTheme="majorEastAsia"/>
                <w:sz w:val="22"/>
                <w:szCs w:val="22"/>
                <w:lang w:val="en"/>
              </w:rPr>
              <w:t>of the slogan “let’s consume Burkinabé”</w:t>
            </w:r>
            <w:r w:rsidR="00D22FDC" w:rsidRPr="00D22FDC">
              <w:rPr>
                <w:rStyle w:val="rynqvb"/>
                <w:rFonts w:eastAsiaTheme="majorEastAsia"/>
                <w:b/>
                <w:bCs/>
                <w:color w:val="000000" w:themeColor="text1"/>
                <w:lang w:val="en-US"/>
              </w:rPr>
              <w:t xml:space="preserve"> </w:t>
            </w:r>
            <w:r w:rsidR="00390FC3">
              <w:rPr>
                <w:rStyle w:val="rynqvb"/>
                <w:rFonts w:eastAsiaTheme="majorEastAsia"/>
                <w:b/>
                <w:bCs/>
                <w:color w:val="000000" w:themeColor="text1"/>
                <w:lang w:val="en-US"/>
              </w:rPr>
              <w:t>(</w:t>
            </w:r>
            <w:r w:rsidR="00D22FDC">
              <w:rPr>
                <w:rStyle w:val="rynqvb"/>
                <w:rFonts w:eastAsiaTheme="majorEastAsia"/>
                <w:b/>
                <w:bCs/>
                <w:color w:val="000000" w:themeColor="text1"/>
                <w:lang w:val="en-US"/>
              </w:rPr>
              <w:t>5</w:t>
            </w:r>
            <w:r w:rsidR="00390FC3">
              <w:rPr>
                <w:rStyle w:val="rynqvb"/>
                <w:rFonts w:eastAsiaTheme="majorEastAsia"/>
                <w:b/>
                <w:bCs/>
                <w:color w:val="000000" w:themeColor="text1"/>
                <w:lang w:val="en-US"/>
              </w:rPr>
              <w:t>)</w:t>
            </w:r>
            <w:r w:rsidR="00D22FDC" w:rsidRPr="00D22FDC">
              <w:rPr>
                <w:rStyle w:val="rynqvb"/>
                <w:rFonts w:eastAsiaTheme="majorEastAsia"/>
                <w:color w:val="000000" w:themeColor="text1"/>
                <w:sz w:val="22"/>
                <w:szCs w:val="22"/>
                <w:lang w:val="en"/>
              </w:rPr>
              <w:t>.</w:t>
            </w:r>
          </w:p>
        </w:tc>
      </w:tr>
      <w:tr w:rsidR="002F6135" w:rsidRPr="00892619" w14:paraId="060DEC7F" w14:textId="77777777" w:rsidTr="00BA68A4">
        <w:tc>
          <w:tcPr>
            <w:tcW w:w="1418" w:type="dxa"/>
          </w:tcPr>
          <w:p w14:paraId="6CFD678F" w14:textId="77777777" w:rsidR="002F6135" w:rsidRPr="00DC4B68" w:rsidRDefault="002F6135" w:rsidP="002F6135">
            <w:pPr>
              <w:spacing w:line="360" w:lineRule="auto"/>
              <w:jc w:val="both"/>
              <w:rPr>
                <w:b/>
                <w:bCs/>
                <w:color w:val="000000" w:themeColor="text1"/>
                <w:lang w:val="en-US"/>
              </w:rPr>
            </w:pPr>
          </w:p>
          <w:p w14:paraId="0F2F554A" w14:textId="77777777" w:rsidR="002F6135" w:rsidRPr="00DC4B68" w:rsidRDefault="002F6135" w:rsidP="002F6135">
            <w:pPr>
              <w:spacing w:line="360" w:lineRule="auto"/>
              <w:jc w:val="both"/>
              <w:rPr>
                <w:b/>
                <w:bCs/>
                <w:color w:val="000000" w:themeColor="text1"/>
                <w:lang w:val="en-US"/>
              </w:rPr>
            </w:pPr>
          </w:p>
          <w:p w14:paraId="44DF0BFF" w14:textId="77777777" w:rsidR="002F6135" w:rsidRPr="00DC4B68" w:rsidRDefault="002F6135" w:rsidP="002F6135">
            <w:pPr>
              <w:spacing w:line="360" w:lineRule="auto"/>
              <w:jc w:val="both"/>
              <w:rPr>
                <w:b/>
                <w:bCs/>
                <w:color w:val="000000" w:themeColor="text1"/>
                <w:lang w:val="en-US"/>
              </w:rPr>
            </w:pPr>
          </w:p>
          <w:p w14:paraId="05E59A81" w14:textId="77777777" w:rsidR="002F6135" w:rsidRPr="00DC4B68" w:rsidRDefault="002F6135" w:rsidP="002F6135">
            <w:pPr>
              <w:spacing w:line="360" w:lineRule="auto"/>
              <w:jc w:val="both"/>
              <w:rPr>
                <w:b/>
                <w:bCs/>
                <w:color w:val="000000" w:themeColor="text1"/>
                <w:lang w:val="en-US"/>
              </w:rPr>
            </w:pPr>
          </w:p>
          <w:p w14:paraId="3EBFA5FB" w14:textId="77777777" w:rsidR="002F6135" w:rsidRPr="00DC4B68" w:rsidRDefault="002F6135" w:rsidP="002F6135">
            <w:pPr>
              <w:spacing w:line="360" w:lineRule="auto"/>
              <w:jc w:val="both"/>
              <w:rPr>
                <w:b/>
                <w:bCs/>
                <w:color w:val="000000" w:themeColor="text1"/>
                <w:lang w:val="en-US"/>
              </w:rPr>
            </w:pPr>
          </w:p>
          <w:p w14:paraId="537F4092" w14:textId="77777777" w:rsidR="002F6135" w:rsidRPr="00950D11" w:rsidRDefault="002F6135" w:rsidP="002F6135">
            <w:pPr>
              <w:spacing w:line="360" w:lineRule="auto"/>
              <w:jc w:val="both"/>
              <w:rPr>
                <w:b/>
                <w:bCs/>
                <w:color w:val="000000" w:themeColor="text1"/>
                <w:sz w:val="22"/>
                <w:szCs w:val="22"/>
                <w:lang w:val="en-US"/>
              </w:rPr>
            </w:pPr>
          </w:p>
          <w:p w14:paraId="4A58A055" w14:textId="594F5511" w:rsidR="002F6135" w:rsidRPr="00950D11" w:rsidRDefault="002F6135" w:rsidP="002F6135">
            <w:pPr>
              <w:spacing w:line="360" w:lineRule="auto"/>
              <w:jc w:val="both"/>
              <w:rPr>
                <w:b/>
                <w:bCs/>
                <w:color w:val="000000" w:themeColor="text1"/>
                <w:sz w:val="22"/>
                <w:szCs w:val="22"/>
              </w:rPr>
            </w:pPr>
            <w:r w:rsidRPr="00950D11">
              <w:rPr>
                <w:b/>
                <w:bCs/>
                <w:color w:val="000000" w:themeColor="text1"/>
                <w:sz w:val="22"/>
                <w:szCs w:val="22"/>
              </w:rPr>
              <w:t>PROV6</w:t>
            </w:r>
          </w:p>
          <w:p w14:paraId="497A8FC0" w14:textId="77777777" w:rsidR="002F6135" w:rsidRDefault="002F6135" w:rsidP="00BA68A4">
            <w:pPr>
              <w:spacing w:line="360" w:lineRule="auto"/>
              <w:jc w:val="both"/>
              <w:rPr>
                <w:b/>
                <w:bCs/>
                <w:color w:val="000000" w:themeColor="text1"/>
              </w:rPr>
            </w:pPr>
          </w:p>
        </w:tc>
        <w:tc>
          <w:tcPr>
            <w:tcW w:w="9214" w:type="dxa"/>
          </w:tcPr>
          <w:p w14:paraId="10D7E112" w14:textId="1A7AADEE" w:rsidR="00DC4B68" w:rsidRPr="00950D11" w:rsidRDefault="00DC4B68" w:rsidP="002F6135">
            <w:pPr>
              <w:pStyle w:val="Paragraphedeliste"/>
              <w:numPr>
                <w:ilvl w:val="0"/>
                <w:numId w:val="3"/>
              </w:numPr>
              <w:spacing w:line="276" w:lineRule="auto"/>
              <w:jc w:val="both"/>
              <w:rPr>
                <w:rStyle w:val="rynqvb"/>
                <w:rFonts w:eastAsia="Calibri"/>
                <w:b/>
                <w:bCs/>
                <w:color w:val="000000" w:themeColor="text1"/>
                <w:sz w:val="22"/>
                <w:szCs w:val="22"/>
                <w:lang w:val="en-US"/>
              </w:rPr>
            </w:pPr>
            <w:r w:rsidRPr="00950D11">
              <w:rPr>
                <w:rStyle w:val="rynqvb"/>
                <w:rFonts w:eastAsiaTheme="majorEastAsia"/>
                <w:b/>
                <w:bCs/>
                <w:sz w:val="22"/>
                <w:szCs w:val="22"/>
                <w:lang w:val="en"/>
              </w:rPr>
              <w:t>In Burkina Faso</w:t>
            </w:r>
            <w:r w:rsidRPr="00950D11">
              <w:rPr>
                <w:rStyle w:val="rynqvb"/>
                <w:rFonts w:eastAsiaTheme="majorEastAsia"/>
                <w:sz w:val="22"/>
                <w:szCs w:val="22"/>
                <w:lang w:val="en"/>
              </w:rPr>
              <w:t>, the Multisectoral Strategic Nutrition Plan 2020-2024 provides for several nutrition-sensitive interventions for the WASH sectors such as: “i) the promotion of hand washing at critical times;</w:t>
            </w:r>
            <w:r w:rsidRPr="00950D11">
              <w:rPr>
                <w:rStyle w:val="hwtze"/>
                <w:rFonts w:eastAsiaTheme="majorEastAsia"/>
                <w:sz w:val="22"/>
                <w:szCs w:val="22"/>
                <w:lang w:val="en"/>
              </w:rPr>
              <w:t xml:space="preserve"> </w:t>
            </w:r>
            <w:r w:rsidRPr="00950D11">
              <w:rPr>
                <w:rStyle w:val="rynqvb"/>
                <w:rFonts w:eastAsiaTheme="majorEastAsia"/>
                <w:sz w:val="22"/>
                <w:szCs w:val="22"/>
                <w:lang w:val="en"/>
              </w:rPr>
              <w:t>ii) access to sanitation infrastructure and drinking water;</w:t>
            </w:r>
            <w:r w:rsidRPr="00950D11">
              <w:rPr>
                <w:rStyle w:val="hwtze"/>
                <w:rFonts w:eastAsiaTheme="majorEastAsia"/>
                <w:sz w:val="22"/>
                <w:szCs w:val="22"/>
                <w:lang w:val="en"/>
              </w:rPr>
              <w:t xml:space="preserve"> </w:t>
            </w:r>
            <w:r w:rsidRPr="00950D11">
              <w:rPr>
                <w:rStyle w:val="rynqvb"/>
                <w:rFonts w:eastAsiaTheme="majorEastAsia"/>
                <w:sz w:val="22"/>
                <w:szCs w:val="22"/>
                <w:lang w:val="en"/>
              </w:rPr>
              <w:t>and iii) promotion of good water transport, storage, conservation and treatment practices;</w:t>
            </w:r>
            <w:r w:rsidRPr="00950D11">
              <w:rPr>
                <w:rStyle w:val="hwtze"/>
                <w:rFonts w:eastAsiaTheme="majorEastAsia"/>
                <w:sz w:val="22"/>
                <w:szCs w:val="22"/>
                <w:lang w:val="en"/>
              </w:rPr>
              <w:t xml:space="preserve"> </w:t>
            </w:r>
            <w:r w:rsidRPr="00950D11">
              <w:rPr>
                <w:rStyle w:val="rynqvb"/>
                <w:rFonts w:eastAsiaTheme="majorEastAsia"/>
                <w:sz w:val="22"/>
                <w:szCs w:val="22"/>
                <w:lang w:val="en"/>
              </w:rPr>
              <w:t>and iv) the promotion of new strategies for access to sanitation (Community-Led Total Sanitation (CLTS), Leader-Driven Total Sanitation (ATPL), etc.).</w:t>
            </w:r>
            <w:r w:rsidRPr="00950D11">
              <w:rPr>
                <w:rStyle w:val="hwtze"/>
                <w:rFonts w:eastAsiaTheme="majorEastAsia"/>
                <w:sz w:val="22"/>
                <w:szCs w:val="22"/>
                <w:lang w:val="en"/>
              </w:rPr>
              <w:t xml:space="preserve"> </w:t>
            </w:r>
            <w:r w:rsidRPr="00950D11">
              <w:rPr>
                <w:rStyle w:val="rynqvb"/>
                <w:rFonts w:eastAsiaTheme="majorEastAsia"/>
                <w:sz w:val="22"/>
                <w:szCs w:val="22"/>
                <w:lang w:val="en"/>
              </w:rPr>
              <w:t xml:space="preserve">This latest CLTS strategy adopted by the Council of Ministers in 2014 aims to improve the living conditions of communities by putting an end to open </w:t>
            </w:r>
            <w:proofErr w:type="gramStart"/>
            <w:r w:rsidRPr="00950D11">
              <w:rPr>
                <w:rStyle w:val="rynqvb"/>
                <w:rFonts w:eastAsiaTheme="majorEastAsia"/>
                <w:sz w:val="22"/>
                <w:szCs w:val="22"/>
                <w:lang w:val="en"/>
              </w:rPr>
              <w:t>defecation</w:t>
            </w:r>
            <w:r w:rsidR="00390FC3">
              <w:rPr>
                <w:rStyle w:val="rynqvb"/>
                <w:rFonts w:eastAsiaTheme="majorEastAsia"/>
                <w:b/>
                <w:bCs/>
                <w:color w:val="000000" w:themeColor="text1"/>
                <w:lang w:val="en-US"/>
              </w:rPr>
              <w:t>(</w:t>
            </w:r>
            <w:proofErr w:type="gramEnd"/>
            <w:r w:rsidR="00D22FDC" w:rsidRPr="00D22FDC">
              <w:rPr>
                <w:rStyle w:val="rynqvb"/>
                <w:rFonts w:eastAsiaTheme="majorEastAsia"/>
                <w:b/>
                <w:bCs/>
                <w:color w:val="000000" w:themeColor="text1"/>
                <w:lang w:val="en-US"/>
              </w:rPr>
              <w:t>1</w:t>
            </w:r>
            <w:r w:rsidR="00D22FDC">
              <w:rPr>
                <w:rStyle w:val="rynqvb"/>
                <w:rFonts w:eastAsiaTheme="majorEastAsia"/>
                <w:b/>
                <w:bCs/>
                <w:color w:val="000000" w:themeColor="text1"/>
                <w:lang w:val="en-US"/>
              </w:rPr>
              <w:t>1</w:t>
            </w:r>
            <w:r w:rsidR="00390FC3">
              <w:rPr>
                <w:rStyle w:val="rynqvb"/>
                <w:rFonts w:eastAsiaTheme="majorEastAsia"/>
                <w:b/>
                <w:bCs/>
                <w:color w:val="000000" w:themeColor="text1"/>
                <w:lang w:val="en-US"/>
              </w:rPr>
              <w:t>)</w:t>
            </w:r>
            <w:r w:rsidR="00D22FDC" w:rsidRPr="00D22FDC">
              <w:rPr>
                <w:rStyle w:val="rynqvb"/>
                <w:rFonts w:eastAsiaTheme="majorEastAsia"/>
                <w:color w:val="000000" w:themeColor="text1"/>
                <w:sz w:val="22"/>
                <w:szCs w:val="22"/>
                <w:lang w:val="en"/>
              </w:rPr>
              <w:t>.</w:t>
            </w:r>
          </w:p>
          <w:p w14:paraId="7DE99BE0" w14:textId="08774FEA" w:rsidR="00DC4B68" w:rsidRPr="00950D11" w:rsidRDefault="00DC4B68" w:rsidP="002F6135">
            <w:pPr>
              <w:pStyle w:val="Paragraphedeliste"/>
              <w:numPr>
                <w:ilvl w:val="0"/>
                <w:numId w:val="3"/>
              </w:numPr>
              <w:spacing w:line="276" w:lineRule="auto"/>
              <w:jc w:val="both"/>
              <w:rPr>
                <w:rFonts w:eastAsia="Calibri"/>
                <w:b/>
                <w:bCs/>
                <w:color w:val="000000" w:themeColor="text1"/>
                <w:sz w:val="22"/>
                <w:szCs w:val="22"/>
                <w:lang w:val="en-US"/>
              </w:rPr>
            </w:pPr>
            <w:r w:rsidRPr="00950D11">
              <w:rPr>
                <w:rStyle w:val="rynqvb"/>
                <w:rFonts w:eastAsiaTheme="majorEastAsia"/>
                <w:b/>
                <w:bCs/>
                <w:sz w:val="22"/>
                <w:szCs w:val="22"/>
                <w:lang w:val="en"/>
              </w:rPr>
              <w:t>In Senegal</w:t>
            </w:r>
            <w:r w:rsidRPr="00950D11">
              <w:rPr>
                <w:rStyle w:val="rynqvb"/>
                <w:rFonts w:eastAsiaTheme="majorEastAsia"/>
                <w:sz w:val="22"/>
                <w:szCs w:val="22"/>
                <w:lang w:val="en"/>
              </w:rPr>
              <w:t>, the vision of the sanitation policy (2016-2025) explicitly aims to contribute to achieving the SDGs of ensuring universal access to drinking water and sanitation by 2030 while ensuring</w:t>
            </w:r>
            <w:r w:rsidRPr="00950D11">
              <w:rPr>
                <w:rStyle w:val="hwtze"/>
                <w:rFonts w:eastAsiaTheme="majorEastAsia"/>
                <w:sz w:val="22"/>
                <w:szCs w:val="22"/>
                <w:lang w:val="en"/>
              </w:rPr>
              <w:t xml:space="preserve"> </w:t>
            </w:r>
            <w:r w:rsidRPr="00950D11">
              <w:rPr>
                <w:rStyle w:val="rynqvb"/>
                <w:rFonts w:eastAsiaTheme="majorEastAsia"/>
                <w:sz w:val="22"/>
                <w:szCs w:val="22"/>
                <w:lang w:val="en"/>
              </w:rPr>
              <w:t>integrated management of water resources.</w:t>
            </w:r>
            <w:r w:rsidRPr="00950D11">
              <w:rPr>
                <w:rStyle w:val="hwtze"/>
                <w:rFonts w:eastAsiaTheme="majorEastAsia"/>
                <w:sz w:val="22"/>
                <w:szCs w:val="22"/>
                <w:lang w:val="en"/>
              </w:rPr>
              <w:t xml:space="preserve"> </w:t>
            </w:r>
            <w:r w:rsidRPr="00950D11">
              <w:rPr>
                <w:rStyle w:val="rynqvb"/>
                <w:rFonts w:eastAsiaTheme="majorEastAsia"/>
                <w:sz w:val="22"/>
                <w:szCs w:val="22"/>
                <w:lang w:val="en"/>
              </w:rPr>
              <w:t>The policy emphasizes (i) household access to sustainable sanitation, (ii) wastewater and rainwater management and (iii) elimination of open defecation.</w:t>
            </w:r>
            <w:r w:rsidRPr="00950D11">
              <w:rPr>
                <w:rStyle w:val="hwtze"/>
                <w:rFonts w:eastAsiaTheme="majorEastAsia"/>
                <w:sz w:val="22"/>
                <w:szCs w:val="22"/>
                <w:lang w:val="en"/>
              </w:rPr>
              <w:t xml:space="preserve"> </w:t>
            </w:r>
            <w:r w:rsidRPr="00950D11">
              <w:rPr>
                <w:rStyle w:val="rynqvb"/>
                <w:rFonts w:eastAsiaTheme="majorEastAsia"/>
                <w:sz w:val="22"/>
                <w:szCs w:val="22"/>
                <w:lang w:val="en"/>
              </w:rPr>
              <w:t>In 2017, Senegal conducted a national household survey focused on WASH to establish a reliable baseline on water and sanitation in the context of the SDGs.</w:t>
            </w:r>
            <w:r w:rsidRPr="00950D11">
              <w:rPr>
                <w:rStyle w:val="hwtze"/>
                <w:rFonts w:eastAsiaTheme="majorEastAsia"/>
                <w:sz w:val="22"/>
                <w:szCs w:val="22"/>
                <w:lang w:val="en"/>
              </w:rPr>
              <w:t xml:space="preserve"> </w:t>
            </w:r>
            <w:r w:rsidRPr="00950D11">
              <w:rPr>
                <w:rStyle w:val="rynqvb"/>
                <w:rFonts w:eastAsiaTheme="majorEastAsia"/>
                <w:sz w:val="22"/>
                <w:szCs w:val="22"/>
                <w:lang w:val="en"/>
              </w:rPr>
              <w:t>The Sanitation and Rainwater Management Program (PAGEP) focuses on the development of sustainable sanitation systems in urban, peri-urban and rural areas, including gender-sensitive sanitation facilities in schools and centers</w:t>
            </w:r>
            <w:r w:rsidRPr="00950D11">
              <w:rPr>
                <w:rStyle w:val="hwtze"/>
                <w:rFonts w:eastAsiaTheme="majorEastAsia"/>
                <w:sz w:val="22"/>
                <w:szCs w:val="22"/>
                <w:lang w:val="en"/>
              </w:rPr>
              <w:t xml:space="preserve"> </w:t>
            </w:r>
            <w:r w:rsidRPr="00950D11">
              <w:rPr>
                <w:rStyle w:val="rynqvb"/>
                <w:rFonts w:eastAsiaTheme="majorEastAsia"/>
                <w:sz w:val="22"/>
                <w:szCs w:val="22"/>
                <w:lang w:val="en"/>
              </w:rPr>
              <w:t>health, and the reduction of open defecation to ultimately achieve its elimination</w:t>
            </w:r>
            <w:r w:rsidR="00D11917">
              <w:rPr>
                <w:rStyle w:val="rynqvb"/>
                <w:rFonts w:eastAsiaTheme="majorEastAsia"/>
                <w:sz w:val="22"/>
                <w:szCs w:val="22"/>
                <w:lang w:val="en"/>
              </w:rPr>
              <w:t xml:space="preserve"> </w:t>
            </w:r>
            <w:r w:rsidR="00390FC3">
              <w:rPr>
                <w:rStyle w:val="rynqvb"/>
                <w:rFonts w:eastAsiaTheme="majorEastAsia"/>
                <w:b/>
                <w:bCs/>
                <w:color w:val="000000" w:themeColor="text1"/>
                <w:lang w:val="en-US"/>
              </w:rPr>
              <w:t>(</w:t>
            </w:r>
            <w:r w:rsidR="00D11917" w:rsidRPr="00D22FDC">
              <w:rPr>
                <w:rStyle w:val="rynqvb"/>
                <w:rFonts w:eastAsiaTheme="majorEastAsia"/>
                <w:b/>
                <w:bCs/>
                <w:color w:val="000000" w:themeColor="text1"/>
                <w:lang w:val="en-US"/>
              </w:rPr>
              <w:t>12</w:t>
            </w:r>
            <w:r w:rsidR="00390FC3">
              <w:rPr>
                <w:rStyle w:val="rynqvb"/>
                <w:rFonts w:eastAsiaTheme="majorEastAsia"/>
                <w:b/>
                <w:bCs/>
                <w:color w:val="000000" w:themeColor="text1"/>
                <w:lang w:val="en-US"/>
              </w:rPr>
              <w:t>)</w:t>
            </w:r>
            <w:r w:rsidRPr="00D22FDC">
              <w:rPr>
                <w:rStyle w:val="rynqvb"/>
                <w:rFonts w:eastAsiaTheme="majorEastAsia"/>
                <w:color w:val="000000" w:themeColor="text1"/>
                <w:sz w:val="22"/>
                <w:szCs w:val="22"/>
                <w:lang w:val="en"/>
              </w:rPr>
              <w:t>.</w:t>
            </w:r>
          </w:p>
        </w:tc>
      </w:tr>
      <w:tr w:rsidR="002F6135" w:rsidRPr="00892619" w14:paraId="334DAA74" w14:textId="77777777" w:rsidTr="00BA68A4">
        <w:tc>
          <w:tcPr>
            <w:tcW w:w="1418" w:type="dxa"/>
          </w:tcPr>
          <w:p w14:paraId="1AAE4C69" w14:textId="77777777" w:rsidR="002F6135" w:rsidRPr="00950D11" w:rsidRDefault="002F6135" w:rsidP="00BA68A4">
            <w:pPr>
              <w:spacing w:line="360" w:lineRule="auto"/>
              <w:jc w:val="both"/>
              <w:rPr>
                <w:b/>
                <w:bCs/>
                <w:color w:val="000000" w:themeColor="text1"/>
                <w:sz w:val="22"/>
                <w:szCs w:val="22"/>
              </w:rPr>
            </w:pPr>
            <w:r w:rsidRPr="00950D11">
              <w:rPr>
                <w:b/>
                <w:bCs/>
                <w:color w:val="000000" w:themeColor="text1"/>
                <w:sz w:val="22"/>
                <w:szCs w:val="22"/>
              </w:rPr>
              <w:t>LEAD1 </w:t>
            </w:r>
          </w:p>
          <w:p w14:paraId="2BB61357" w14:textId="77777777" w:rsidR="002F6135" w:rsidRPr="006365E4" w:rsidRDefault="002F6135" w:rsidP="00BA68A4">
            <w:pPr>
              <w:spacing w:line="360" w:lineRule="auto"/>
              <w:jc w:val="both"/>
              <w:rPr>
                <w:b/>
                <w:bCs/>
                <w:color w:val="000000" w:themeColor="text1"/>
              </w:rPr>
            </w:pPr>
          </w:p>
        </w:tc>
        <w:tc>
          <w:tcPr>
            <w:tcW w:w="9214" w:type="dxa"/>
          </w:tcPr>
          <w:p w14:paraId="0310B71E" w14:textId="1081267B" w:rsidR="00950D11" w:rsidRPr="00950D11" w:rsidRDefault="00950D11" w:rsidP="002F6135">
            <w:pPr>
              <w:pStyle w:val="Paragraphedeliste"/>
              <w:numPr>
                <w:ilvl w:val="0"/>
                <w:numId w:val="3"/>
              </w:numPr>
              <w:spacing w:line="276" w:lineRule="auto"/>
              <w:jc w:val="both"/>
              <w:rPr>
                <w:color w:val="000000" w:themeColor="text1"/>
                <w:sz w:val="22"/>
                <w:szCs w:val="22"/>
                <w:lang w:val="en-US"/>
              </w:rPr>
            </w:pPr>
            <w:r w:rsidRPr="0014063C">
              <w:rPr>
                <w:rStyle w:val="rynqvb"/>
                <w:rFonts w:eastAsiaTheme="majorEastAsia"/>
                <w:b/>
                <w:bCs/>
                <w:sz w:val="22"/>
                <w:szCs w:val="22"/>
                <w:lang w:val="en"/>
              </w:rPr>
              <w:t>In all countries,</w:t>
            </w:r>
            <w:r w:rsidRPr="00950D11">
              <w:rPr>
                <w:rStyle w:val="rynqvb"/>
                <w:rFonts w:eastAsiaTheme="majorEastAsia"/>
                <w:sz w:val="22"/>
                <w:szCs w:val="22"/>
                <w:lang w:val="en"/>
              </w:rPr>
              <w:t xml:space="preserve"> political and visible support for nutrition is marked by the implementation of a set of policies, strategies and programs aimed at improving the nutrition of populations.</w:t>
            </w:r>
            <w:r w:rsidRPr="00950D11">
              <w:rPr>
                <w:rStyle w:val="hwtze"/>
                <w:rFonts w:eastAsiaTheme="majorEastAsia"/>
                <w:sz w:val="22"/>
                <w:szCs w:val="22"/>
                <w:lang w:val="en"/>
              </w:rPr>
              <w:t xml:space="preserve"> </w:t>
            </w:r>
            <w:r w:rsidRPr="00950D11">
              <w:rPr>
                <w:rStyle w:val="rynqvb"/>
                <w:rFonts w:eastAsiaTheme="majorEastAsia"/>
                <w:sz w:val="22"/>
                <w:szCs w:val="22"/>
                <w:lang w:val="en"/>
              </w:rPr>
              <w:t>The multi-sectoral nutrition platforms created in the five countries demonstrate political leadership in addressing nutrition using a holistic approach</w:t>
            </w:r>
            <w:r w:rsidR="00892619">
              <w:rPr>
                <w:rStyle w:val="rynqvb"/>
                <w:rFonts w:eastAsiaTheme="majorEastAsia"/>
                <w:sz w:val="22"/>
                <w:szCs w:val="22"/>
                <w:lang w:val="en"/>
              </w:rPr>
              <w:t xml:space="preserve"> </w:t>
            </w:r>
            <w:r w:rsidR="00390FC3">
              <w:rPr>
                <w:rStyle w:val="rynqvb"/>
                <w:rFonts w:eastAsiaTheme="majorEastAsia"/>
                <w:b/>
                <w:bCs/>
                <w:color w:val="000000" w:themeColor="text1"/>
                <w:lang w:val="en-US"/>
              </w:rPr>
              <w:t>(</w:t>
            </w:r>
            <w:r w:rsidR="00892619" w:rsidRPr="00D22FDC">
              <w:rPr>
                <w:rStyle w:val="rynqvb"/>
                <w:rFonts w:eastAsiaTheme="majorEastAsia"/>
                <w:b/>
                <w:bCs/>
                <w:color w:val="000000" w:themeColor="text1"/>
                <w:lang w:val="en-US"/>
              </w:rPr>
              <w:t>1</w:t>
            </w:r>
            <w:r w:rsidR="00D11917" w:rsidRPr="00D22FDC">
              <w:rPr>
                <w:rStyle w:val="rynqvb"/>
                <w:rFonts w:eastAsiaTheme="majorEastAsia"/>
                <w:b/>
                <w:bCs/>
                <w:color w:val="000000" w:themeColor="text1"/>
                <w:lang w:val="en-US"/>
              </w:rPr>
              <w:t>3</w:t>
            </w:r>
            <w:r w:rsidR="00892619" w:rsidRPr="00D22FDC">
              <w:rPr>
                <w:rStyle w:val="rynqvb"/>
                <w:rFonts w:eastAsiaTheme="majorEastAsia"/>
                <w:b/>
                <w:bCs/>
                <w:color w:val="000000" w:themeColor="text1"/>
                <w:lang w:val="en-US"/>
              </w:rPr>
              <w:t>-2</w:t>
            </w:r>
            <w:r w:rsidR="00D11917" w:rsidRPr="00D22FDC">
              <w:rPr>
                <w:rStyle w:val="rynqvb"/>
                <w:rFonts w:eastAsiaTheme="majorEastAsia"/>
                <w:b/>
                <w:bCs/>
                <w:color w:val="000000" w:themeColor="text1"/>
                <w:lang w:val="en-US"/>
              </w:rPr>
              <w:t>1</w:t>
            </w:r>
            <w:r w:rsidR="00390FC3">
              <w:rPr>
                <w:rStyle w:val="rynqvb"/>
                <w:rFonts w:eastAsiaTheme="majorEastAsia"/>
                <w:b/>
                <w:bCs/>
                <w:color w:val="000000" w:themeColor="text1"/>
                <w:lang w:val="en-US"/>
              </w:rPr>
              <w:t>)</w:t>
            </w:r>
            <w:r w:rsidRPr="00D22FDC">
              <w:rPr>
                <w:rStyle w:val="rynqvb"/>
                <w:rFonts w:eastAsiaTheme="majorEastAsia"/>
                <w:color w:val="000000" w:themeColor="text1"/>
                <w:sz w:val="22"/>
                <w:szCs w:val="22"/>
                <w:lang w:val="en"/>
              </w:rPr>
              <w:t>.</w:t>
            </w:r>
          </w:p>
        </w:tc>
      </w:tr>
      <w:tr w:rsidR="002F6135" w:rsidRPr="00892619" w14:paraId="0BC7F3DB" w14:textId="77777777" w:rsidTr="00BA68A4">
        <w:tc>
          <w:tcPr>
            <w:tcW w:w="1418" w:type="dxa"/>
          </w:tcPr>
          <w:p w14:paraId="4590F298" w14:textId="77777777" w:rsidR="002F6135" w:rsidRPr="00950D11" w:rsidRDefault="002F6135" w:rsidP="00BA68A4">
            <w:pPr>
              <w:spacing w:line="360" w:lineRule="auto"/>
              <w:jc w:val="both"/>
              <w:rPr>
                <w:b/>
                <w:bCs/>
                <w:color w:val="000000" w:themeColor="text1"/>
                <w:lang w:val="en-US"/>
              </w:rPr>
            </w:pPr>
          </w:p>
          <w:p w14:paraId="64B78284" w14:textId="77777777" w:rsidR="002F6135" w:rsidRPr="00950D11" w:rsidRDefault="002F6135" w:rsidP="00BA68A4">
            <w:pPr>
              <w:spacing w:line="360" w:lineRule="auto"/>
              <w:jc w:val="both"/>
              <w:rPr>
                <w:b/>
                <w:bCs/>
                <w:color w:val="000000" w:themeColor="text1"/>
                <w:lang w:val="en-US"/>
              </w:rPr>
            </w:pPr>
          </w:p>
          <w:p w14:paraId="6F16DEDD" w14:textId="77777777" w:rsidR="002F6135" w:rsidRPr="00950D11" w:rsidRDefault="002F6135" w:rsidP="00BA68A4">
            <w:pPr>
              <w:spacing w:line="360" w:lineRule="auto"/>
              <w:jc w:val="both"/>
              <w:rPr>
                <w:b/>
                <w:bCs/>
                <w:color w:val="000000" w:themeColor="text1"/>
                <w:sz w:val="22"/>
                <w:szCs w:val="22"/>
              </w:rPr>
            </w:pPr>
            <w:r w:rsidRPr="00950D11">
              <w:rPr>
                <w:b/>
                <w:bCs/>
                <w:color w:val="000000" w:themeColor="text1"/>
                <w:sz w:val="22"/>
                <w:szCs w:val="22"/>
              </w:rPr>
              <w:lastRenderedPageBreak/>
              <w:t>LEAD6-9</w:t>
            </w:r>
          </w:p>
        </w:tc>
        <w:tc>
          <w:tcPr>
            <w:tcW w:w="9214" w:type="dxa"/>
          </w:tcPr>
          <w:p w14:paraId="1032E7AB" w14:textId="77777777" w:rsidR="00892619" w:rsidRPr="00892619" w:rsidRDefault="00950D11" w:rsidP="00950D11">
            <w:pPr>
              <w:pStyle w:val="Paragraphedeliste"/>
              <w:numPr>
                <w:ilvl w:val="0"/>
                <w:numId w:val="3"/>
              </w:numPr>
              <w:spacing w:line="276" w:lineRule="auto"/>
              <w:jc w:val="both"/>
              <w:rPr>
                <w:rStyle w:val="hwtze"/>
                <w:color w:val="000000" w:themeColor="text1"/>
                <w:sz w:val="22"/>
                <w:szCs w:val="22"/>
                <w:lang w:val="en-US"/>
              </w:rPr>
            </w:pPr>
            <w:r w:rsidRPr="0014063C">
              <w:rPr>
                <w:rStyle w:val="rynqvb"/>
                <w:rFonts w:eastAsiaTheme="majorEastAsia"/>
                <w:b/>
                <w:bCs/>
                <w:sz w:val="22"/>
                <w:szCs w:val="22"/>
                <w:lang w:val="en"/>
              </w:rPr>
              <w:lastRenderedPageBreak/>
              <w:t>In all countries</w:t>
            </w:r>
            <w:r w:rsidRPr="00950D11">
              <w:rPr>
                <w:rStyle w:val="rynqvb"/>
                <w:rFonts w:eastAsiaTheme="majorEastAsia"/>
                <w:sz w:val="22"/>
                <w:szCs w:val="22"/>
                <w:lang w:val="en"/>
              </w:rPr>
              <w:t>, the health of mother and child is a political priority in terms of nutrition.</w:t>
            </w:r>
            <w:r w:rsidRPr="00950D11">
              <w:rPr>
                <w:rStyle w:val="hwtze"/>
                <w:rFonts w:eastAsiaTheme="majorEastAsia"/>
                <w:sz w:val="22"/>
                <w:szCs w:val="22"/>
                <w:lang w:val="en"/>
              </w:rPr>
              <w:t xml:space="preserve"> </w:t>
            </w:r>
            <w:r w:rsidRPr="00950D11">
              <w:rPr>
                <w:rStyle w:val="rynqvb"/>
                <w:rFonts w:eastAsiaTheme="majorEastAsia"/>
                <w:sz w:val="22"/>
                <w:szCs w:val="22"/>
                <w:lang w:val="en"/>
              </w:rPr>
              <w:t xml:space="preserve">Indeed, all countries have developed and implemented either breastfeeding policies or strategies “LEAD6”, </w:t>
            </w:r>
            <w:r w:rsidRPr="00950D11">
              <w:rPr>
                <w:rStyle w:val="rynqvb"/>
                <w:rFonts w:eastAsiaTheme="majorEastAsia"/>
                <w:sz w:val="22"/>
                <w:szCs w:val="22"/>
                <w:lang w:val="en"/>
              </w:rPr>
              <w:lastRenderedPageBreak/>
              <w:t>complementary feeding “LEAD7” and defined objectives in terms of exclusive breastfeeding and complementary feeding “LEAD8</w:t>
            </w:r>
            <w:r w:rsidRPr="00950D11">
              <w:rPr>
                <w:rStyle w:val="hwtze"/>
                <w:rFonts w:eastAsiaTheme="majorEastAsia"/>
                <w:sz w:val="22"/>
                <w:szCs w:val="22"/>
                <w:lang w:val="en"/>
              </w:rPr>
              <w:t xml:space="preserve"> </w:t>
            </w:r>
            <w:r w:rsidRPr="00950D11">
              <w:rPr>
                <w:rStyle w:val="rynqvb"/>
                <w:rFonts w:eastAsiaTheme="majorEastAsia"/>
                <w:sz w:val="22"/>
                <w:szCs w:val="22"/>
                <w:lang w:val="en"/>
              </w:rPr>
              <w:t>".</w:t>
            </w:r>
            <w:r w:rsidRPr="00950D11">
              <w:rPr>
                <w:rStyle w:val="hwtze"/>
                <w:rFonts w:eastAsiaTheme="majorEastAsia"/>
                <w:sz w:val="22"/>
                <w:szCs w:val="22"/>
                <w:lang w:val="en"/>
              </w:rPr>
              <w:t xml:space="preserve"> </w:t>
            </w:r>
          </w:p>
          <w:p w14:paraId="5B70A71D" w14:textId="13B5C381" w:rsidR="00950D11" w:rsidRPr="00936562" w:rsidRDefault="00950D11" w:rsidP="00950D11">
            <w:pPr>
              <w:pStyle w:val="Paragraphedeliste"/>
              <w:numPr>
                <w:ilvl w:val="0"/>
                <w:numId w:val="3"/>
              </w:numPr>
              <w:spacing w:line="276" w:lineRule="auto"/>
              <w:jc w:val="both"/>
              <w:rPr>
                <w:color w:val="000000" w:themeColor="text1"/>
                <w:sz w:val="22"/>
                <w:szCs w:val="22"/>
                <w:lang w:val="en-US"/>
              </w:rPr>
            </w:pPr>
            <w:r w:rsidRPr="00950D11">
              <w:rPr>
                <w:rStyle w:val="rynqvb"/>
                <w:rFonts w:eastAsiaTheme="majorEastAsia"/>
                <w:sz w:val="22"/>
                <w:szCs w:val="22"/>
                <w:lang w:val="en"/>
              </w:rPr>
              <w:t>In addition, strong and visible political support for actions aimed at combating all forms of malnutrition throughout the life cycle, especially undernutrition (wasting, stunting, underweight, micronutrient deficiency) at the</w:t>
            </w:r>
            <w:r w:rsidRPr="00950D11">
              <w:rPr>
                <w:rStyle w:val="hwtze"/>
                <w:rFonts w:eastAsiaTheme="majorEastAsia"/>
                <w:sz w:val="22"/>
                <w:szCs w:val="22"/>
                <w:lang w:val="en"/>
              </w:rPr>
              <w:t xml:space="preserve"> </w:t>
            </w:r>
            <w:r w:rsidRPr="00950D11">
              <w:rPr>
                <w:rStyle w:val="rynqvb"/>
                <w:rFonts w:eastAsiaTheme="majorEastAsia"/>
                <w:sz w:val="22"/>
                <w:szCs w:val="22"/>
                <w:lang w:val="en"/>
              </w:rPr>
              <w:t>national “LEAD9” is recognized in all countries</w:t>
            </w:r>
            <w:r w:rsidR="00D11917">
              <w:rPr>
                <w:rStyle w:val="rynqvb"/>
                <w:rFonts w:eastAsiaTheme="majorEastAsia"/>
                <w:sz w:val="22"/>
                <w:szCs w:val="22"/>
                <w:lang w:val="en"/>
              </w:rPr>
              <w:t xml:space="preserve"> </w:t>
            </w:r>
            <w:r w:rsidR="00390FC3">
              <w:rPr>
                <w:rStyle w:val="rynqvb"/>
                <w:rFonts w:eastAsiaTheme="majorEastAsia"/>
                <w:b/>
                <w:bCs/>
                <w:color w:val="000000" w:themeColor="text1"/>
                <w:lang w:val="en-US"/>
              </w:rPr>
              <w:t>(</w:t>
            </w:r>
            <w:r w:rsidR="00892619" w:rsidRPr="00D22FDC">
              <w:rPr>
                <w:rStyle w:val="rynqvb"/>
                <w:rFonts w:eastAsiaTheme="majorEastAsia"/>
                <w:b/>
                <w:bCs/>
                <w:color w:val="000000" w:themeColor="text1"/>
                <w:lang w:val="en-US"/>
              </w:rPr>
              <w:t>1</w:t>
            </w:r>
            <w:r w:rsidR="00D11917" w:rsidRPr="00D22FDC">
              <w:rPr>
                <w:rStyle w:val="rynqvb"/>
                <w:rFonts w:eastAsiaTheme="majorEastAsia"/>
                <w:b/>
                <w:bCs/>
                <w:color w:val="000000" w:themeColor="text1"/>
                <w:lang w:val="en-US"/>
              </w:rPr>
              <w:t>3</w:t>
            </w:r>
            <w:r w:rsidR="00892619" w:rsidRPr="00D22FDC">
              <w:rPr>
                <w:rStyle w:val="rynqvb"/>
                <w:rFonts w:eastAsiaTheme="majorEastAsia"/>
                <w:b/>
                <w:bCs/>
                <w:color w:val="000000" w:themeColor="text1"/>
                <w:lang w:val="en-US"/>
              </w:rPr>
              <w:t>-2</w:t>
            </w:r>
            <w:r w:rsidR="00D11917" w:rsidRPr="00D22FDC">
              <w:rPr>
                <w:rStyle w:val="rynqvb"/>
                <w:rFonts w:eastAsiaTheme="majorEastAsia"/>
                <w:b/>
                <w:bCs/>
                <w:color w:val="000000" w:themeColor="text1"/>
                <w:lang w:val="en-US"/>
              </w:rPr>
              <w:t>1</w:t>
            </w:r>
            <w:r w:rsidR="00390FC3">
              <w:rPr>
                <w:rStyle w:val="rynqvb"/>
                <w:rFonts w:eastAsiaTheme="majorEastAsia"/>
                <w:b/>
                <w:bCs/>
                <w:color w:val="000000" w:themeColor="text1"/>
                <w:lang w:val="en-US"/>
              </w:rPr>
              <w:t>)</w:t>
            </w:r>
            <w:r w:rsidRPr="00D22FDC">
              <w:rPr>
                <w:rStyle w:val="rynqvb"/>
                <w:rFonts w:eastAsiaTheme="majorEastAsia"/>
                <w:color w:val="000000" w:themeColor="text1"/>
                <w:lang w:val="en"/>
              </w:rPr>
              <w:t>.</w:t>
            </w:r>
          </w:p>
        </w:tc>
      </w:tr>
      <w:tr w:rsidR="002F6135" w:rsidRPr="00892619" w14:paraId="0ADA0B2D" w14:textId="77777777" w:rsidTr="00BA68A4">
        <w:tc>
          <w:tcPr>
            <w:tcW w:w="1418" w:type="dxa"/>
          </w:tcPr>
          <w:p w14:paraId="10E2D6C1" w14:textId="77777777" w:rsidR="002F6135" w:rsidRPr="00950D11" w:rsidRDefault="002F6135" w:rsidP="00BA68A4">
            <w:pPr>
              <w:spacing w:line="360" w:lineRule="auto"/>
              <w:jc w:val="both"/>
              <w:rPr>
                <w:b/>
                <w:bCs/>
                <w:color w:val="000000" w:themeColor="text1"/>
                <w:lang w:val="en-US"/>
              </w:rPr>
            </w:pPr>
          </w:p>
          <w:p w14:paraId="69555472" w14:textId="77777777" w:rsidR="002F6135" w:rsidRPr="00950D11" w:rsidRDefault="002F6135" w:rsidP="00BA68A4">
            <w:pPr>
              <w:spacing w:line="360" w:lineRule="auto"/>
              <w:jc w:val="both"/>
              <w:rPr>
                <w:b/>
                <w:bCs/>
                <w:color w:val="000000" w:themeColor="text1"/>
                <w:lang w:val="en-US"/>
              </w:rPr>
            </w:pPr>
          </w:p>
          <w:p w14:paraId="09958B4F" w14:textId="77777777" w:rsidR="002F6135" w:rsidRPr="00950D11" w:rsidRDefault="002F6135" w:rsidP="00BA68A4">
            <w:pPr>
              <w:spacing w:line="360" w:lineRule="auto"/>
              <w:jc w:val="both"/>
              <w:rPr>
                <w:b/>
                <w:bCs/>
                <w:color w:val="000000" w:themeColor="text1"/>
                <w:lang w:val="en-US"/>
              </w:rPr>
            </w:pPr>
          </w:p>
          <w:p w14:paraId="490E0CC5" w14:textId="77777777" w:rsidR="002F6135" w:rsidRPr="00950D11" w:rsidRDefault="002F6135" w:rsidP="00BA68A4">
            <w:pPr>
              <w:spacing w:line="360" w:lineRule="auto"/>
              <w:jc w:val="both"/>
              <w:rPr>
                <w:b/>
                <w:bCs/>
                <w:color w:val="000000" w:themeColor="text1"/>
                <w:lang w:val="en-US"/>
              </w:rPr>
            </w:pPr>
          </w:p>
          <w:p w14:paraId="3B0CCED0" w14:textId="77777777" w:rsidR="002F6135" w:rsidRPr="00950D11" w:rsidRDefault="002F6135" w:rsidP="00BA68A4">
            <w:pPr>
              <w:spacing w:line="360" w:lineRule="auto"/>
              <w:jc w:val="both"/>
              <w:rPr>
                <w:b/>
                <w:bCs/>
                <w:color w:val="000000" w:themeColor="text1"/>
                <w:lang w:val="en-US"/>
              </w:rPr>
            </w:pPr>
          </w:p>
          <w:p w14:paraId="7566D4F4" w14:textId="77777777" w:rsidR="002F6135" w:rsidRPr="00950D11" w:rsidRDefault="002F6135" w:rsidP="00BA68A4">
            <w:pPr>
              <w:spacing w:line="360" w:lineRule="auto"/>
              <w:jc w:val="both"/>
              <w:rPr>
                <w:b/>
                <w:bCs/>
                <w:color w:val="000000" w:themeColor="text1"/>
                <w:lang w:val="en-US"/>
              </w:rPr>
            </w:pPr>
          </w:p>
          <w:p w14:paraId="05049B37" w14:textId="77777777" w:rsidR="002F6135" w:rsidRPr="0014063C" w:rsidRDefault="002F6135" w:rsidP="00BA68A4">
            <w:pPr>
              <w:spacing w:line="360" w:lineRule="auto"/>
              <w:jc w:val="both"/>
              <w:rPr>
                <w:b/>
                <w:bCs/>
                <w:color w:val="000000" w:themeColor="text1"/>
                <w:sz w:val="22"/>
                <w:szCs w:val="22"/>
              </w:rPr>
            </w:pPr>
            <w:r w:rsidRPr="0014063C">
              <w:rPr>
                <w:b/>
                <w:bCs/>
                <w:color w:val="000000" w:themeColor="text1"/>
                <w:sz w:val="22"/>
                <w:szCs w:val="22"/>
              </w:rPr>
              <w:t>GOVER 2</w:t>
            </w:r>
          </w:p>
        </w:tc>
        <w:tc>
          <w:tcPr>
            <w:tcW w:w="9214" w:type="dxa"/>
          </w:tcPr>
          <w:p w14:paraId="040E39E1" w14:textId="2DC5B424" w:rsidR="0014063C" w:rsidRPr="0014063C" w:rsidRDefault="0014063C" w:rsidP="002F6135">
            <w:pPr>
              <w:pStyle w:val="Paragraphedeliste"/>
              <w:numPr>
                <w:ilvl w:val="0"/>
                <w:numId w:val="3"/>
              </w:numPr>
              <w:spacing w:line="276" w:lineRule="auto"/>
              <w:jc w:val="both"/>
              <w:rPr>
                <w:rStyle w:val="rynqvb"/>
                <w:color w:val="00B050"/>
                <w:sz w:val="22"/>
                <w:szCs w:val="22"/>
                <w:lang w:val="en-US"/>
              </w:rPr>
            </w:pPr>
            <w:r w:rsidRPr="0014063C">
              <w:rPr>
                <w:rFonts w:ascii="TimesNewRomanPSMT" w:hAnsi="TimesNewRomanPSMT" w:cs="TimesNewRomanPSMT"/>
                <w:b/>
                <w:bCs/>
                <w:color w:val="000000" w:themeColor="text1"/>
                <w:sz w:val="22"/>
                <w:szCs w:val="22"/>
                <w:lang w:val="en-US"/>
              </w:rPr>
              <w:t>I</w:t>
            </w:r>
            <w:r w:rsidRPr="0014063C">
              <w:rPr>
                <w:rStyle w:val="rynqvb"/>
                <w:rFonts w:eastAsiaTheme="majorEastAsia"/>
                <w:b/>
                <w:bCs/>
                <w:sz w:val="22"/>
                <w:szCs w:val="22"/>
                <w:lang w:val="en"/>
              </w:rPr>
              <w:t xml:space="preserve">n </w:t>
            </w:r>
            <w:r w:rsidR="00A66088">
              <w:rPr>
                <w:rStyle w:val="rynqvb"/>
                <w:rFonts w:eastAsiaTheme="majorEastAsia"/>
                <w:b/>
                <w:bCs/>
                <w:sz w:val="22"/>
                <w:szCs w:val="22"/>
                <w:lang w:val="en"/>
              </w:rPr>
              <w:t>Ivory Coast</w:t>
            </w:r>
            <w:r w:rsidRPr="0014063C">
              <w:rPr>
                <w:rStyle w:val="rynqvb"/>
                <w:rFonts w:eastAsiaTheme="majorEastAsia"/>
                <w:sz w:val="22"/>
                <w:szCs w:val="22"/>
                <w:lang w:val="en"/>
              </w:rPr>
              <w:t>, to align political actions around common results in nutrition, the National Multisectoral Information Platform (PNMIN) for Nutrition was established in 2017 to: i) facilitate multi-sectoral and multi-faceted dialogue</w:t>
            </w:r>
            <w:r w:rsidRPr="0014063C">
              <w:rPr>
                <w:rStyle w:val="hwtze"/>
                <w:rFonts w:eastAsiaTheme="majorEastAsia"/>
                <w:sz w:val="22"/>
                <w:szCs w:val="22"/>
                <w:lang w:val="en"/>
              </w:rPr>
              <w:t xml:space="preserve"> </w:t>
            </w:r>
            <w:r w:rsidRPr="0014063C">
              <w:rPr>
                <w:rStyle w:val="rynqvb"/>
                <w:rFonts w:eastAsiaTheme="majorEastAsia"/>
                <w:sz w:val="22"/>
                <w:szCs w:val="22"/>
                <w:lang w:val="en"/>
              </w:rPr>
              <w:t>-actor on nutrition;</w:t>
            </w:r>
            <w:r w:rsidRPr="0014063C">
              <w:rPr>
                <w:rStyle w:val="hwtze"/>
                <w:rFonts w:eastAsiaTheme="majorEastAsia"/>
                <w:sz w:val="22"/>
                <w:szCs w:val="22"/>
                <w:lang w:val="en"/>
              </w:rPr>
              <w:t xml:space="preserve"> </w:t>
            </w:r>
            <w:r w:rsidRPr="0014063C">
              <w:rPr>
                <w:rStyle w:val="rynqvb"/>
                <w:rFonts w:eastAsiaTheme="majorEastAsia"/>
                <w:sz w:val="22"/>
                <w:szCs w:val="22"/>
                <w:lang w:val="en"/>
              </w:rPr>
              <w:t>(ii) support the use of existing information and data;</w:t>
            </w:r>
            <w:r w:rsidRPr="0014063C">
              <w:rPr>
                <w:rStyle w:val="hwtze"/>
                <w:rFonts w:eastAsiaTheme="majorEastAsia"/>
                <w:sz w:val="22"/>
                <w:szCs w:val="22"/>
                <w:lang w:val="en"/>
              </w:rPr>
              <w:t xml:space="preserve"> </w:t>
            </w:r>
            <w:r w:rsidRPr="0014063C">
              <w:rPr>
                <w:rStyle w:val="rynqvb"/>
                <w:rFonts w:eastAsiaTheme="majorEastAsia"/>
                <w:sz w:val="22"/>
                <w:szCs w:val="22"/>
                <w:lang w:val="en"/>
              </w:rPr>
              <w:t>iii) develop and adjust policies and programs to prevent malnutrition.</w:t>
            </w:r>
            <w:r w:rsidRPr="0014063C">
              <w:rPr>
                <w:rStyle w:val="hwtze"/>
                <w:rFonts w:eastAsiaTheme="majorEastAsia"/>
                <w:sz w:val="22"/>
                <w:szCs w:val="22"/>
                <w:lang w:val="en"/>
              </w:rPr>
              <w:t xml:space="preserve"> </w:t>
            </w:r>
            <w:r w:rsidRPr="0014063C">
              <w:rPr>
                <w:rStyle w:val="rynqvb"/>
                <w:rFonts w:eastAsiaTheme="majorEastAsia"/>
                <w:sz w:val="22"/>
                <w:szCs w:val="22"/>
                <w:lang w:val="en"/>
              </w:rPr>
              <w:t xml:space="preserve">This initiative aims to strengthen national capacities to collect and analyze information and data from all sectors concerned with nutrition with a view to guiding decision-making and investments in nutrition. </w:t>
            </w:r>
          </w:p>
          <w:p w14:paraId="2238A8F9" w14:textId="2222E12A" w:rsidR="0014063C" w:rsidRPr="0014063C" w:rsidRDefault="0014063C" w:rsidP="002F6135">
            <w:pPr>
              <w:pStyle w:val="Paragraphedeliste"/>
              <w:numPr>
                <w:ilvl w:val="0"/>
                <w:numId w:val="3"/>
              </w:numPr>
              <w:spacing w:line="276" w:lineRule="auto"/>
              <w:jc w:val="both"/>
              <w:rPr>
                <w:rStyle w:val="rynqvb"/>
                <w:color w:val="00B050"/>
                <w:sz w:val="22"/>
                <w:szCs w:val="22"/>
                <w:lang w:val="en-US"/>
              </w:rPr>
            </w:pPr>
            <w:r w:rsidRPr="0014063C">
              <w:rPr>
                <w:rStyle w:val="rynqvb"/>
                <w:rFonts w:eastAsiaTheme="majorEastAsia"/>
                <w:sz w:val="22"/>
                <w:szCs w:val="22"/>
                <w:lang w:val="en"/>
              </w:rPr>
              <w:t xml:space="preserve">To facilitate the operationalization of the PNMIN, the government created by order N0 506/PM/CB of September 21, 2018, the management unit of the </w:t>
            </w:r>
            <w:r w:rsidR="00892619" w:rsidRPr="0014063C">
              <w:rPr>
                <w:rStyle w:val="rynqvb"/>
                <w:rFonts w:eastAsiaTheme="majorEastAsia"/>
                <w:sz w:val="22"/>
                <w:szCs w:val="22"/>
                <w:lang w:val="en"/>
              </w:rPr>
              <w:t>PNMIN</w:t>
            </w:r>
            <w:r w:rsidR="00892619" w:rsidRPr="00892619">
              <w:rPr>
                <w:rStyle w:val="rynqvb"/>
                <w:rFonts w:eastAsiaTheme="majorEastAsia"/>
                <w:b/>
                <w:bCs/>
                <w:color w:val="00B050"/>
                <w:lang w:val="en-US"/>
              </w:rPr>
              <w:t xml:space="preserve"> </w:t>
            </w:r>
            <w:r w:rsidR="00390FC3">
              <w:rPr>
                <w:rStyle w:val="rynqvb"/>
                <w:rFonts w:eastAsiaTheme="majorEastAsia"/>
                <w:b/>
                <w:bCs/>
                <w:color w:val="000000" w:themeColor="text1"/>
                <w:lang w:val="en-US"/>
              </w:rPr>
              <w:t>(</w:t>
            </w:r>
            <w:r w:rsidR="00892619" w:rsidRPr="00D22FDC">
              <w:rPr>
                <w:rStyle w:val="rynqvb"/>
                <w:rFonts w:eastAsiaTheme="majorEastAsia"/>
                <w:b/>
                <w:bCs/>
                <w:color w:val="000000" w:themeColor="text1"/>
                <w:lang w:val="en-US"/>
              </w:rPr>
              <w:t>2</w:t>
            </w:r>
            <w:r w:rsidR="00D11917" w:rsidRPr="00D22FDC">
              <w:rPr>
                <w:rStyle w:val="rynqvb"/>
                <w:rFonts w:eastAsiaTheme="majorEastAsia"/>
                <w:b/>
                <w:bCs/>
                <w:color w:val="000000" w:themeColor="text1"/>
                <w:lang w:val="en-US"/>
              </w:rPr>
              <w:t>2</w:t>
            </w:r>
            <w:r w:rsidR="00390FC3">
              <w:rPr>
                <w:rStyle w:val="rynqvb"/>
                <w:rFonts w:eastAsiaTheme="majorEastAsia"/>
                <w:b/>
                <w:bCs/>
                <w:color w:val="000000" w:themeColor="text1"/>
                <w:lang w:val="en-US"/>
              </w:rPr>
              <w:t>)</w:t>
            </w:r>
            <w:r w:rsidRPr="00D22FDC">
              <w:rPr>
                <w:rStyle w:val="rynqvb"/>
                <w:rFonts w:eastAsiaTheme="majorEastAsia"/>
                <w:color w:val="000000" w:themeColor="text1"/>
                <w:sz w:val="22"/>
                <w:szCs w:val="22"/>
                <w:lang w:val="en"/>
              </w:rPr>
              <w:t>.</w:t>
            </w:r>
            <w:r w:rsidRPr="00D22FDC">
              <w:rPr>
                <w:rStyle w:val="hwtze"/>
                <w:rFonts w:eastAsiaTheme="majorEastAsia"/>
                <w:color w:val="000000" w:themeColor="text1"/>
                <w:sz w:val="22"/>
                <w:szCs w:val="22"/>
                <w:lang w:val="en"/>
              </w:rPr>
              <w:t xml:space="preserve"> </w:t>
            </w:r>
            <w:r w:rsidRPr="0014063C">
              <w:rPr>
                <w:rStyle w:val="rynqvb"/>
                <w:rFonts w:eastAsiaTheme="majorEastAsia"/>
                <w:sz w:val="22"/>
                <w:szCs w:val="22"/>
                <w:lang w:val="en"/>
              </w:rPr>
              <w:t>Finally, the existence of the National Council for Nutrition, Food and Early Childhood Development (CONNAPE) created by Decree No. 2019-569 of June 26, 2019, is a body that facilitates the use of evidence in</w:t>
            </w:r>
            <w:r w:rsidRPr="0014063C">
              <w:rPr>
                <w:rStyle w:val="hwtze"/>
                <w:rFonts w:eastAsiaTheme="majorEastAsia"/>
                <w:sz w:val="22"/>
                <w:szCs w:val="22"/>
                <w:lang w:val="en"/>
              </w:rPr>
              <w:t xml:space="preserve"> </w:t>
            </w:r>
            <w:r w:rsidRPr="0014063C">
              <w:rPr>
                <w:rStyle w:val="rynqvb"/>
                <w:rFonts w:eastAsiaTheme="majorEastAsia"/>
                <w:sz w:val="22"/>
                <w:szCs w:val="22"/>
                <w:lang w:val="en"/>
              </w:rPr>
              <w:t>the development of food policies</w:t>
            </w:r>
            <w:r w:rsidR="00892619">
              <w:rPr>
                <w:rStyle w:val="rynqvb"/>
                <w:rFonts w:eastAsiaTheme="majorEastAsia"/>
                <w:sz w:val="22"/>
                <w:szCs w:val="22"/>
                <w:lang w:val="en"/>
              </w:rPr>
              <w:t xml:space="preserve"> </w:t>
            </w:r>
            <w:r w:rsidR="00390FC3">
              <w:rPr>
                <w:rStyle w:val="rynqvb"/>
                <w:rFonts w:eastAsiaTheme="majorEastAsia"/>
                <w:b/>
                <w:bCs/>
                <w:color w:val="000000" w:themeColor="text1"/>
                <w:lang w:val="en-US"/>
              </w:rPr>
              <w:t>(</w:t>
            </w:r>
            <w:r w:rsidR="00892619" w:rsidRPr="00D22FDC">
              <w:rPr>
                <w:rStyle w:val="rynqvb"/>
                <w:rFonts w:eastAsiaTheme="majorEastAsia"/>
                <w:b/>
                <w:bCs/>
                <w:color w:val="000000" w:themeColor="text1"/>
                <w:lang w:val="en-US"/>
              </w:rPr>
              <w:t>1</w:t>
            </w:r>
            <w:r w:rsidR="00D22FDC" w:rsidRPr="00D22FDC">
              <w:rPr>
                <w:rStyle w:val="rynqvb"/>
                <w:rFonts w:eastAsiaTheme="majorEastAsia"/>
                <w:b/>
                <w:bCs/>
                <w:color w:val="000000" w:themeColor="text1"/>
                <w:lang w:val="en-US"/>
              </w:rPr>
              <w:t>8</w:t>
            </w:r>
            <w:r w:rsidR="00390FC3">
              <w:rPr>
                <w:rStyle w:val="rynqvb"/>
                <w:rFonts w:eastAsiaTheme="majorEastAsia"/>
                <w:b/>
                <w:bCs/>
                <w:color w:val="000000" w:themeColor="text1"/>
                <w:lang w:val="en-US"/>
              </w:rPr>
              <w:t>)</w:t>
            </w:r>
            <w:r w:rsidRPr="00D22FDC">
              <w:rPr>
                <w:rStyle w:val="rynqvb"/>
                <w:rFonts w:eastAsiaTheme="majorEastAsia"/>
                <w:color w:val="000000" w:themeColor="text1"/>
                <w:sz w:val="22"/>
                <w:szCs w:val="22"/>
                <w:lang w:val="en"/>
              </w:rPr>
              <w:t xml:space="preserve">. </w:t>
            </w:r>
          </w:p>
          <w:p w14:paraId="1CC34926" w14:textId="7EECE520" w:rsidR="0014063C" w:rsidRPr="0014063C" w:rsidRDefault="0014063C" w:rsidP="002F6135">
            <w:pPr>
              <w:pStyle w:val="Paragraphedeliste"/>
              <w:numPr>
                <w:ilvl w:val="0"/>
                <w:numId w:val="3"/>
              </w:numPr>
              <w:spacing w:line="276" w:lineRule="auto"/>
              <w:jc w:val="both"/>
              <w:rPr>
                <w:color w:val="00B050"/>
                <w:sz w:val="22"/>
                <w:szCs w:val="22"/>
                <w:lang w:val="en-US"/>
              </w:rPr>
            </w:pPr>
            <w:r w:rsidRPr="0014063C">
              <w:rPr>
                <w:rStyle w:val="rynqvb"/>
                <w:rFonts w:eastAsiaTheme="majorEastAsia"/>
                <w:sz w:val="22"/>
                <w:szCs w:val="22"/>
                <w:lang w:val="en"/>
              </w:rPr>
              <w:t>Indeed, CONNAPE's mission is to coordinate the identification and implementation of actions with a view to contributing to improving the nutritional status of the population by achieving, among other things, the following objectives: i) defining the orientations and</w:t>
            </w:r>
            <w:r w:rsidRPr="0014063C">
              <w:rPr>
                <w:rStyle w:val="hwtze"/>
                <w:rFonts w:eastAsiaTheme="majorEastAsia"/>
                <w:sz w:val="22"/>
                <w:szCs w:val="22"/>
                <w:lang w:val="en"/>
              </w:rPr>
              <w:t xml:space="preserve"> </w:t>
            </w:r>
            <w:r w:rsidRPr="0014063C">
              <w:rPr>
                <w:rStyle w:val="rynqvb"/>
                <w:rFonts w:eastAsiaTheme="majorEastAsia"/>
                <w:sz w:val="22"/>
                <w:szCs w:val="22"/>
                <w:lang w:val="en"/>
              </w:rPr>
              <w:t>national priorities for nutrition, food and early childhood development;</w:t>
            </w:r>
            <w:r w:rsidRPr="0014063C">
              <w:rPr>
                <w:rStyle w:val="hwtze"/>
                <w:rFonts w:eastAsiaTheme="majorEastAsia"/>
                <w:sz w:val="22"/>
                <w:szCs w:val="22"/>
                <w:lang w:val="en"/>
              </w:rPr>
              <w:t xml:space="preserve"> </w:t>
            </w:r>
            <w:r w:rsidRPr="0014063C">
              <w:rPr>
                <w:rStyle w:val="rynqvb"/>
                <w:rFonts w:eastAsiaTheme="majorEastAsia"/>
                <w:sz w:val="22"/>
                <w:szCs w:val="22"/>
                <w:lang w:val="en"/>
              </w:rPr>
              <w:t>ii) coordinate all interventions and ensure consistency between the actions carried out and the national political guidelines in this area;</w:t>
            </w:r>
            <w:r w:rsidRPr="0014063C">
              <w:rPr>
                <w:rStyle w:val="hwtze"/>
                <w:rFonts w:eastAsiaTheme="majorEastAsia"/>
                <w:sz w:val="22"/>
                <w:szCs w:val="22"/>
                <w:lang w:val="en"/>
              </w:rPr>
              <w:t xml:space="preserve"> </w:t>
            </w:r>
            <w:r w:rsidRPr="0014063C">
              <w:rPr>
                <w:rStyle w:val="rynqvb"/>
                <w:rFonts w:eastAsiaTheme="majorEastAsia"/>
                <w:sz w:val="22"/>
                <w:szCs w:val="22"/>
                <w:lang w:val="en"/>
              </w:rPr>
              <w:t>iii) ensure the integration of nutrition, food and early childhood development programs and indicators into the recovery and economic growth strategy, and sectoral plans;</w:t>
            </w:r>
            <w:r w:rsidRPr="0014063C">
              <w:rPr>
                <w:rStyle w:val="hwtze"/>
                <w:rFonts w:eastAsiaTheme="majorEastAsia"/>
                <w:sz w:val="22"/>
                <w:szCs w:val="22"/>
                <w:lang w:val="en"/>
              </w:rPr>
              <w:t xml:space="preserve"> </w:t>
            </w:r>
            <w:r w:rsidRPr="0014063C">
              <w:rPr>
                <w:rStyle w:val="rynqvb"/>
                <w:rFonts w:eastAsiaTheme="majorEastAsia"/>
                <w:sz w:val="22"/>
                <w:szCs w:val="22"/>
                <w:lang w:val="en"/>
              </w:rPr>
              <w:t>and iv) assess progress made in the implementation of the national nutrition, food and early childhood development policy</w:t>
            </w:r>
            <w:r w:rsidR="00892619">
              <w:rPr>
                <w:rStyle w:val="rynqvb"/>
                <w:rFonts w:eastAsiaTheme="majorEastAsia"/>
                <w:sz w:val="22"/>
                <w:szCs w:val="22"/>
                <w:lang w:val="en"/>
              </w:rPr>
              <w:t xml:space="preserve"> </w:t>
            </w:r>
            <w:r w:rsidR="00390FC3">
              <w:rPr>
                <w:rStyle w:val="rynqvb"/>
                <w:rFonts w:eastAsiaTheme="majorEastAsia"/>
                <w:b/>
                <w:bCs/>
                <w:color w:val="000000" w:themeColor="text1"/>
                <w:lang w:val="en-US"/>
              </w:rPr>
              <w:t>(</w:t>
            </w:r>
            <w:r w:rsidR="00892619" w:rsidRPr="00D22FDC">
              <w:rPr>
                <w:rStyle w:val="rynqvb"/>
                <w:rFonts w:eastAsiaTheme="majorEastAsia"/>
                <w:b/>
                <w:bCs/>
                <w:color w:val="000000" w:themeColor="text1"/>
                <w:lang w:val="en-US"/>
              </w:rPr>
              <w:t>1</w:t>
            </w:r>
            <w:r w:rsidR="00D22FDC" w:rsidRPr="00D22FDC">
              <w:rPr>
                <w:rStyle w:val="rynqvb"/>
                <w:rFonts w:eastAsiaTheme="majorEastAsia"/>
                <w:b/>
                <w:bCs/>
                <w:color w:val="000000" w:themeColor="text1"/>
                <w:lang w:val="en-US"/>
              </w:rPr>
              <w:t>8</w:t>
            </w:r>
            <w:r w:rsidR="00390FC3">
              <w:rPr>
                <w:rStyle w:val="rynqvb"/>
                <w:rFonts w:eastAsiaTheme="majorEastAsia"/>
                <w:b/>
                <w:bCs/>
                <w:color w:val="000000" w:themeColor="text1"/>
                <w:lang w:val="en-US"/>
              </w:rPr>
              <w:t>)</w:t>
            </w:r>
            <w:r w:rsidRPr="00D22FDC">
              <w:rPr>
                <w:rStyle w:val="rynqvb"/>
                <w:rFonts w:eastAsiaTheme="majorEastAsia"/>
                <w:color w:val="000000" w:themeColor="text1"/>
                <w:sz w:val="22"/>
                <w:szCs w:val="22"/>
                <w:lang w:val="en"/>
              </w:rPr>
              <w:t>.</w:t>
            </w:r>
          </w:p>
        </w:tc>
      </w:tr>
      <w:tr w:rsidR="002F6135" w:rsidRPr="00892619" w14:paraId="7172ED15" w14:textId="77777777" w:rsidTr="00BA68A4">
        <w:tc>
          <w:tcPr>
            <w:tcW w:w="1418" w:type="dxa"/>
          </w:tcPr>
          <w:p w14:paraId="69EB850D" w14:textId="77777777" w:rsidR="002F6135" w:rsidRPr="0014063C" w:rsidRDefault="002F6135" w:rsidP="00BA68A4">
            <w:pPr>
              <w:spacing w:line="360" w:lineRule="auto"/>
              <w:jc w:val="both"/>
              <w:rPr>
                <w:b/>
                <w:bCs/>
                <w:color w:val="000000" w:themeColor="text1"/>
                <w:sz w:val="22"/>
                <w:szCs w:val="22"/>
                <w:lang w:val="en-US"/>
              </w:rPr>
            </w:pPr>
          </w:p>
          <w:p w14:paraId="0B5C3D69" w14:textId="77777777" w:rsidR="002F6135" w:rsidRPr="0014063C" w:rsidRDefault="002F6135" w:rsidP="00BA68A4">
            <w:pPr>
              <w:spacing w:line="360" w:lineRule="auto"/>
              <w:jc w:val="both"/>
              <w:rPr>
                <w:b/>
                <w:bCs/>
                <w:color w:val="000000" w:themeColor="text1"/>
                <w:sz w:val="22"/>
                <w:szCs w:val="22"/>
                <w:lang w:val="en-US"/>
              </w:rPr>
            </w:pPr>
          </w:p>
          <w:p w14:paraId="6CAC9805" w14:textId="77777777" w:rsidR="002F6135" w:rsidRPr="0014063C" w:rsidRDefault="002F6135" w:rsidP="00BA68A4">
            <w:pPr>
              <w:spacing w:line="360" w:lineRule="auto"/>
              <w:jc w:val="both"/>
              <w:rPr>
                <w:b/>
                <w:bCs/>
                <w:color w:val="000000" w:themeColor="text1"/>
                <w:sz w:val="22"/>
                <w:szCs w:val="22"/>
                <w:lang w:val="en-US"/>
              </w:rPr>
            </w:pPr>
          </w:p>
          <w:p w14:paraId="3450DE78" w14:textId="77777777" w:rsidR="002F6135" w:rsidRPr="0063708B" w:rsidRDefault="002F6135" w:rsidP="00BA68A4">
            <w:pPr>
              <w:spacing w:line="360" w:lineRule="auto"/>
              <w:jc w:val="both"/>
              <w:rPr>
                <w:b/>
                <w:bCs/>
                <w:color w:val="000000" w:themeColor="text1"/>
              </w:rPr>
            </w:pPr>
            <w:r w:rsidRPr="002A6085">
              <w:rPr>
                <w:b/>
                <w:bCs/>
                <w:color w:val="000000" w:themeColor="text1"/>
                <w:sz w:val="22"/>
                <w:szCs w:val="22"/>
              </w:rPr>
              <w:t>MONIT7-8</w:t>
            </w:r>
          </w:p>
        </w:tc>
        <w:tc>
          <w:tcPr>
            <w:tcW w:w="9214" w:type="dxa"/>
          </w:tcPr>
          <w:p w14:paraId="1D737597" w14:textId="1B192D54" w:rsidR="002A6085" w:rsidRPr="002A6085" w:rsidRDefault="002A6085" w:rsidP="002F6135">
            <w:pPr>
              <w:pStyle w:val="Paragraphedeliste"/>
              <w:numPr>
                <w:ilvl w:val="0"/>
                <w:numId w:val="5"/>
              </w:numPr>
              <w:spacing w:line="276" w:lineRule="auto"/>
              <w:jc w:val="both"/>
              <w:rPr>
                <w:color w:val="000000" w:themeColor="text1"/>
                <w:sz w:val="22"/>
                <w:szCs w:val="22"/>
                <w:lang w:val="en-US"/>
              </w:rPr>
            </w:pPr>
            <w:r w:rsidRPr="0014063C">
              <w:rPr>
                <w:rStyle w:val="rynqvb"/>
                <w:rFonts w:eastAsiaTheme="majorEastAsia"/>
                <w:b/>
                <w:bCs/>
                <w:sz w:val="22"/>
                <w:szCs w:val="22"/>
                <w:lang w:val="en"/>
              </w:rPr>
              <w:t>In the five countries</w:t>
            </w:r>
            <w:r w:rsidRPr="002A6085">
              <w:rPr>
                <w:rStyle w:val="rynqvb"/>
                <w:rFonts w:eastAsiaTheme="majorEastAsia"/>
                <w:sz w:val="22"/>
                <w:szCs w:val="22"/>
                <w:lang w:val="en"/>
              </w:rPr>
              <w:t>, breastfeeding and complementary feeding indicators are often reported at the national level by national surveys such as demographic and health surveys, national SMART surveys, etc. as part of monitoring the nutritional status of</w:t>
            </w:r>
            <w:r w:rsidRPr="002A6085">
              <w:rPr>
                <w:rStyle w:val="hwtze"/>
                <w:rFonts w:eastAsiaTheme="majorEastAsia"/>
                <w:sz w:val="22"/>
                <w:szCs w:val="22"/>
                <w:lang w:val="en"/>
              </w:rPr>
              <w:t xml:space="preserve"> </w:t>
            </w:r>
            <w:r w:rsidRPr="002A6085">
              <w:rPr>
                <w:rStyle w:val="rynqvb"/>
                <w:rFonts w:eastAsiaTheme="majorEastAsia"/>
                <w:sz w:val="22"/>
                <w:szCs w:val="22"/>
                <w:lang w:val="en"/>
              </w:rPr>
              <w:t>vulnerable populations, particularly women aged 15-49 and children under 5 years “MONIT7”.</w:t>
            </w:r>
            <w:r w:rsidRPr="002A6085">
              <w:rPr>
                <w:rStyle w:val="hwtze"/>
                <w:rFonts w:eastAsiaTheme="majorEastAsia"/>
                <w:sz w:val="22"/>
                <w:szCs w:val="22"/>
                <w:lang w:val="en"/>
              </w:rPr>
              <w:t xml:space="preserve"> </w:t>
            </w:r>
            <w:r w:rsidRPr="002A6085">
              <w:rPr>
                <w:rStyle w:val="rynqvb"/>
                <w:rFonts w:eastAsiaTheme="majorEastAsia"/>
                <w:sz w:val="22"/>
                <w:szCs w:val="22"/>
                <w:lang w:val="en"/>
              </w:rPr>
              <w:t>In addition, in all five countries, monitoring the promotion of child growth and development “MONIT8” is a routine activity at the level of socio-health structures.</w:t>
            </w:r>
            <w:r w:rsidRPr="002A6085">
              <w:rPr>
                <w:rStyle w:val="hwtze"/>
                <w:rFonts w:eastAsiaTheme="majorEastAsia"/>
                <w:sz w:val="22"/>
                <w:szCs w:val="22"/>
                <w:lang w:val="en"/>
              </w:rPr>
              <w:t xml:space="preserve"> </w:t>
            </w:r>
            <w:r w:rsidRPr="002A6085">
              <w:rPr>
                <w:rStyle w:val="rynqvb"/>
                <w:rFonts w:eastAsiaTheme="majorEastAsia"/>
                <w:sz w:val="22"/>
                <w:szCs w:val="22"/>
                <w:lang w:val="en"/>
              </w:rPr>
              <w:t>Some countries such as Côte d'Ivoire and Benin have strengthened this routine activity by developing national guidelines for monitoring and promoting the growth of newborns, infants and young children which make it possible to assess weight gain.</w:t>
            </w:r>
            <w:r w:rsidRPr="002A6085">
              <w:rPr>
                <w:rStyle w:val="hwtze"/>
                <w:rFonts w:eastAsiaTheme="majorEastAsia"/>
                <w:sz w:val="22"/>
                <w:szCs w:val="22"/>
                <w:lang w:val="en"/>
              </w:rPr>
              <w:t xml:space="preserve"> </w:t>
            </w:r>
            <w:r w:rsidRPr="002A6085">
              <w:rPr>
                <w:rStyle w:val="rynqvb"/>
                <w:rFonts w:eastAsiaTheme="majorEastAsia"/>
                <w:sz w:val="22"/>
                <w:szCs w:val="22"/>
                <w:lang w:val="en"/>
              </w:rPr>
              <w:t>and size, to detect malnutrition early for optimal growth</w:t>
            </w:r>
            <w:r>
              <w:rPr>
                <w:rStyle w:val="rynqvb"/>
                <w:rFonts w:eastAsiaTheme="majorEastAsia"/>
                <w:lang w:val="en"/>
              </w:rPr>
              <w:t>.</w:t>
            </w:r>
          </w:p>
        </w:tc>
      </w:tr>
      <w:tr w:rsidR="002F6135" w:rsidRPr="00892619" w14:paraId="78F2E6A5" w14:textId="77777777" w:rsidTr="00BA68A4">
        <w:tc>
          <w:tcPr>
            <w:tcW w:w="1418" w:type="dxa"/>
          </w:tcPr>
          <w:p w14:paraId="60FE268E" w14:textId="77777777" w:rsidR="002F6135" w:rsidRPr="002A6085" w:rsidRDefault="002F6135" w:rsidP="00BA68A4">
            <w:pPr>
              <w:spacing w:line="360" w:lineRule="auto"/>
              <w:jc w:val="both"/>
              <w:rPr>
                <w:b/>
                <w:bCs/>
                <w:color w:val="000000" w:themeColor="text1"/>
                <w:sz w:val="22"/>
                <w:szCs w:val="22"/>
                <w:lang w:val="en-US"/>
              </w:rPr>
            </w:pPr>
          </w:p>
          <w:p w14:paraId="1119ED08" w14:textId="77777777" w:rsidR="002F6135" w:rsidRPr="002A6085" w:rsidRDefault="002F6135" w:rsidP="00BA68A4">
            <w:pPr>
              <w:spacing w:line="360" w:lineRule="auto"/>
              <w:jc w:val="both"/>
              <w:rPr>
                <w:b/>
                <w:bCs/>
                <w:color w:val="000000" w:themeColor="text1"/>
                <w:sz w:val="22"/>
                <w:szCs w:val="22"/>
                <w:lang w:val="en-US"/>
              </w:rPr>
            </w:pPr>
          </w:p>
          <w:p w14:paraId="2AA6FE69" w14:textId="77777777" w:rsidR="002F6135" w:rsidRPr="002A6085" w:rsidRDefault="002F6135" w:rsidP="00BA68A4">
            <w:pPr>
              <w:spacing w:line="360" w:lineRule="auto"/>
              <w:jc w:val="both"/>
              <w:rPr>
                <w:b/>
                <w:bCs/>
                <w:color w:val="000000" w:themeColor="text1"/>
                <w:sz w:val="22"/>
                <w:szCs w:val="22"/>
                <w:lang w:val="en-US"/>
              </w:rPr>
            </w:pPr>
          </w:p>
          <w:p w14:paraId="637AC5F4" w14:textId="77777777" w:rsidR="002F6135" w:rsidRPr="002A6085" w:rsidRDefault="002F6135" w:rsidP="00BA68A4">
            <w:pPr>
              <w:spacing w:line="360" w:lineRule="auto"/>
              <w:jc w:val="both"/>
              <w:rPr>
                <w:b/>
                <w:bCs/>
                <w:color w:val="000000" w:themeColor="text1"/>
                <w:sz w:val="22"/>
                <w:szCs w:val="22"/>
                <w:lang w:val="en-US"/>
              </w:rPr>
            </w:pPr>
          </w:p>
          <w:p w14:paraId="78090A3D" w14:textId="77777777" w:rsidR="002F6135" w:rsidRPr="002A6085" w:rsidRDefault="002F6135" w:rsidP="00BA68A4">
            <w:pPr>
              <w:spacing w:line="360" w:lineRule="auto"/>
              <w:jc w:val="both"/>
              <w:rPr>
                <w:b/>
                <w:bCs/>
                <w:color w:val="000000" w:themeColor="text1"/>
                <w:sz w:val="22"/>
                <w:szCs w:val="22"/>
                <w:lang w:val="en-US"/>
              </w:rPr>
            </w:pPr>
          </w:p>
          <w:p w14:paraId="0DDAB5E2" w14:textId="77777777" w:rsidR="002F6135" w:rsidRPr="002A6085" w:rsidRDefault="002F6135" w:rsidP="00BA68A4">
            <w:pPr>
              <w:spacing w:line="360" w:lineRule="auto"/>
              <w:jc w:val="both"/>
              <w:rPr>
                <w:b/>
                <w:bCs/>
                <w:color w:val="000000" w:themeColor="text1"/>
                <w:sz w:val="22"/>
                <w:szCs w:val="22"/>
                <w:lang w:val="en-US"/>
              </w:rPr>
            </w:pPr>
          </w:p>
          <w:p w14:paraId="1A804BFC" w14:textId="77777777" w:rsidR="002F6135" w:rsidRPr="002A6085" w:rsidRDefault="002F6135" w:rsidP="00BA68A4">
            <w:pPr>
              <w:spacing w:line="360" w:lineRule="auto"/>
              <w:jc w:val="both"/>
              <w:rPr>
                <w:b/>
                <w:bCs/>
                <w:color w:val="000000" w:themeColor="text1"/>
                <w:sz w:val="22"/>
                <w:szCs w:val="22"/>
                <w:lang w:val="en-US"/>
              </w:rPr>
            </w:pPr>
          </w:p>
          <w:p w14:paraId="46EFD4D1" w14:textId="77777777" w:rsidR="002F6135" w:rsidRPr="002A6085" w:rsidRDefault="002F6135" w:rsidP="00BA68A4">
            <w:pPr>
              <w:spacing w:line="360" w:lineRule="auto"/>
              <w:jc w:val="both"/>
              <w:rPr>
                <w:color w:val="000000" w:themeColor="text1"/>
                <w:sz w:val="22"/>
                <w:szCs w:val="22"/>
              </w:rPr>
            </w:pPr>
            <w:r w:rsidRPr="002A6085">
              <w:rPr>
                <w:b/>
                <w:bCs/>
                <w:color w:val="000000" w:themeColor="text1"/>
                <w:sz w:val="22"/>
                <w:szCs w:val="22"/>
              </w:rPr>
              <w:lastRenderedPageBreak/>
              <w:t>PLATF1</w:t>
            </w:r>
          </w:p>
        </w:tc>
        <w:tc>
          <w:tcPr>
            <w:tcW w:w="9214" w:type="dxa"/>
          </w:tcPr>
          <w:p w14:paraId="49B8D0E0" w14:textId="5B2467E1" w:rsidR="00A66088" w:rsidRPr="00A66088" w:rsidRDefault="002A6085" w:rsidP="00A66088">
            <w:pPr>
              <w:pStyle w:val="Paragraphedeliste"/>
              <w:numPr>
                <w:ilvl w:val="0"/>
                <w:numId w:val="3"/>
              </w:numPr>
              <w:spacing w:line="276" w:lineRule="auto"/>
              <w:jc w:val="both"/>
              <w:rPr>
                <w:rStyle w:val="rynqvb"/>
                <w:sz w:val="22"/>
                <w:szCs w:val="22"/>
                <w:lang w:val="en-US"/>
              </w:rPr>
            </w:pPr>
            <w:r w:rsidRPr="0014063C">
              <w:rPr>
                <w:rStyle w:val="rynqvb"/>
                <w:rFonts w:eastAsiaTheme="majorEastAsia"/>
                <w:b/>
                <w:bCs/>
                <w:sz w:val="22"/>
                <w:szCs w:val="22"/>
                <w:lang w:val="en"/>
              </w:rPr>
              <w:lastRenderedPageBreak/>
              <w:t>All countries</w:t>
            </w:r>
            <w:r w:rsidRPr="002A6085">
              <w:rPr>
                <w:rStyle w:val="rynqvb"/>
                <w:rFonts w:eastAsiaTheme="majorEastAsia"/>
                <w:sz w:val="22"/>
                <w:szCs w:val="22"/>
                <w:lang w:val="en"/>
              </w:rPr>
              <w:t xml:space="preserve"> have multi-sectoral nutrition platforms that are placed at the highest level of government and provide political leadership on food and </w:t>
            </w:r>
            <w:r w:rsidR="00892619" w:rsidRPr="002A6085">
              <w:rPr>
                <w:rStyle w:val="rynqvb"/>
                <w:rFonts w:eastAsiaTheme="majorEastAsia"/>
                <w:sz w:val="22"/>
                <w:szCs w:val="22"/>
                <w:lang w:val="en"/>
              </w:rPr>
              <w:t>nutrition</w:t>
            </w:r>
            <w:r w:rsidR="00892619" w:rsidRPr="00892619">
              <w:rPr>
                <w:rStyle w:val="rynqvb"/>
                <w:rFonts w:eastAsiaTheme="majorEastAsia"/>
                <w:b/>
                <w:bCs/>
                <w:color w:val="00B050"/>
                <w:lang w:val="en-US"/>
              </w:rPr>
              <w:t xml:space="preserve"> </w:t>
            </w:r>
            <w:r w:rsidR="00390FC3">
              <w:rPr>
                <w:rStyle w:val="rynqvb"/>
                <w:rFonts w:eastAsiaTheme="majorEastAsia"/>
                <w:b/>
                <w:bCs/>
                <w:color w:val="000000" w:themeColor="text1"/>
                <w:lang w:val="en-US"/>
              </w:rPr>
              <w:t>(</w:t>
            </w:r>
            <w:r w:rsidR="00892619" w:rsidRPr="00D22FDC">
              <w:rPr>
                <w:rStyle w:val="rynqvb"/>
                <w:rFonts w:eastAsiaTheme="majorEastAsia"/>
                <w:b/>
                <w:bCs/>
                <w:color w:val="000000" w:themeColor="text1"/>
                <w:lang w:val="en-US"/>
              </w:rPr>
              <w:t>1</w:t>
            </w:r>
            <w:r w:rsidR="00D11917" w:rsidRPr="00D22FDC">
              <w:rPr>
                <w:rStyle w:val="rynqvb"/>
                <w:rFonts w:eastAsiaTheme="majorEastAsia"/>
                <w:b/>
                <w:bCs/>
                <w:color w:val="000000" w:themeColor="text1"/>
                <w:lang w:val="en-US"/>
              </w:rPr>
              <w:t>3</w:t>
            </w:r>
            <w:r w:rsidR="00892619" w:rsidRPr="00D22FDC">
              <w:rPr>
                <w:rStyle w:val="rynqvb"/>
                <w:rFonts w:eastAsiaTheme="majorEastAsia"/>
                <w:b/>
                <w:bCs/>
                <w:color w:val="000000" w:themeColor="text1"/>
                <w:lang w:val="en-US"/>
              </w:rPr>
              <w:t>-2</w:t>
            </w:r>
            <w:r w:rsidR="00D11917" w:rsidRPr="00D22FDC">
              <w:rPr>
                <w:rStyle w:val="rynqvb"/>
                <w:rFonts w:eastAsiaTheme="majorEastAsia"/>
                <w:b/>
                <w:bCs/>
                <w:color w:val="000000" w:themeColor="text1"/>
                <w:lang w:val="en-US"/>
              </w:rPr>
              <w:t>1</w:t>
            </w:r>
            <w:r w:rsidR="00390FC3">
              <w:rPr>
                <w:rStyle w:val="rynqvb"/>
                <w:rFonts w:eastAsiaTheme="majorEastAsia"/>
                <w:b/>
                <w:bCs/>
                <w:color w:val="000000" w:themeColor="text1"/>
                <w:lang w:val="en-US"/>
              </w:rPr>
              <w:t>)</w:t>
            </w:r>
            <w:r w:rsidRPr="00D22FDC">
              <w:rPr>
                <w:rStyle w:val="rynqvb"/>
                <w:rFonts w:eastAsiaTheme="majorEastAsia"/>
                <w:color w:val="000000" w:themeColor="text1"/>
                <w:sz w:val="22"/>
                <w:szCs w:val="22"/>
                <w:lang w:val="en"/>
              </w:rPr>
              <w:t>.</w:t>
            </w:r>
            <w:r w:rsidRPr="00D22FDC">
              <w:rPr>
                <w:rStyle w:val="hwtze"/>
                <w:rFonts w:eastAsiaTheme="majorEastAsia"/>
                <w:color w:val="000000" w:themeColor="text1"/>
                <w:sz w:val="22"/>
                <w:szCs w:val="22"/>
                <w:lang w:val="en"/>
              </w:rPr>
              <w:t xml:space="preserve"> </w:t>
            </w:r>
            <w:r w:rsidRPr="002A6085">
              <w:rPr>
                <w:rStyle w:val="rynqvb"/>
                <w:rFonts w:eastAsiaTheme="majorEastAsia"/>
                <w:sz w:val="22"/>
                <w:szCs w:val="22"/>
                <w:lang w:val="en"/>
              </w:rPr>
              <w:t>These platforms constitute a multisectoral and multidisciplinary advisory framework bringing together representatives of all Ministries directly or indirectly concerned with the issue of nutrition, as well as representatives of civil society, the private sector, research and the world.</w:t>
            </w:r>
            <w:r w:rsidRPr="002A6085">
              <w:rPr>
                <w:rStyle w:val="hwtze"/>
                <w:rFonts w:eastAsiaTheme="majorEastAsia"/>
                <w:sz w:val="22"/>
                <w:szCs w:val="22"/>
                <w:lang w:val="en"/>
              </w:rPr>
              <w:t xml:space="preserve"> </w:t>
            </w:r>
            <w:r w:rsidRPr="002A6085">
              <w:rPr>
                <w:rStyle w:val="rynqvb"/>
                <w:rFonts w:eastAsiaTheme="majorEastAsia"/>
                <w:sz w:val="22"/>
                <w:szCs w:val="22"/>
                <w:lang w:val="en"/>
              </w:rPr>
              <w:t>academic.</w:t>
            </w:r>
            <w:r w:rsidRPr="002A6085">
              <w:rPr>
                <w:rStyle w:val="hwtze"/>
                <w:rFonts w:eastAsiaTheme="majorEastAsia"/>
                <w:sz w:val="22"/>
                <w:szCs w:val="22"/>
                <w:lang w:val="en"/>
              </w:rPr>
              <w:t xml:space="preserve"> </w:t>
            </w:r>
            <w:r w:rsidRPr="002A6085">
              <w:rPr>
                <w:rStyle w:val="rynqvb"/>
                <w:rFonts w:eastAsiaTheme="majorEastAsia"/>
                <w:sz w:val="22"/>
                <w:szCs w:val="22"/>
                <w:lang w:val="en"/>
              </w:rPr>
              <w:t>These bodies coordinate the development and implementation of food and nutritional policies.</w:t>
            </w:r>
            <w:r w:rsidRPr="002A6085">
              <w:rPr>
                <w:rStyle w:val="hwtze"/>
                <w:rFonts w:eastAsiaTheme="majorEastAsia"/>
                <w:sz w:val="22"/>
                <w:szCs w:val="22"/>
                <w:lang w:val="en"/>
              </w:rPr>
              <w:t xml:space="preserve"> </w:t>
            </w:r>
            <w:r w:rsidRPr="002A6085">
              <w:rPr>
                <w:rStyle w:val="rynqvb"/>
                <w:rFonts w:eastAsiaTheme="majorEastAsia"/>
                <w:sz w:val="22"/>
                <w:szCs w:val="22"/>
                <w:lang w:val="en"/>
              </w:rPr>
              <w:t xml:space="preserve">This approach also aims to promote the integration of evidence into the development of food and nutritional policies. </w:t>
            </w:r>
          </w:p>
          <w:p w14:paraId="79C440B2" w14:textId="7E5645DF" w:rsidR="002A6085" w:rsidRPr="00A66088" w:rsidRDefault="002A6085" w:rsidP="00A66088">
            <w:pPr>
              <w:pStyle w:val="Paragraphedeliste"/>
              <w:numPr>
                <w:ilvl w:val="0"/>
                <w:numId w:val="3"/>
              </w:numPr>
              <w:spacing w:line="276" w:lineRule="auto"/>
              <w:jc w:val="both"/>
              <w:rPr>
                <w:sz w:val="22"/>
                <w:szCs w:val="22"/>
                <w:lang w:val="en-US"/>
              </w:rPr>
            </w:pPr>
            <w:r w:rsidRPr="00A66088">
              <w:rPr>
                <w:rStyle w:val="rynqvb"/>
                <w:rFonts w:eastAsiaTheme="majorEastAsia"/>
                <w:sz w:val="22"/>
                <w:szCs w:val="22"/>
                <w:lang w:val="en"/>
              </w:rPr>
              <w:lastRenderedPageBreak/>
              <w:t>We can cite: i)</w:t>
            </w:r>
            <w:r w:rsidR="00A66088" w:rsidRPr="00A66088">
              <w:rPr>
                <w:rStyle w:val="rynqvb"/>
                <w:rFonts w:eastAsiaTheme="majorEastAsia"/>
                <w:b/>
                <w:bCs/>
                <w:sz w:val="22"/>
                <w:szCs w:val="22"/>
                <w:lang w:val="en"/>
              </w:rPr>
              <w:t>In Benin:</w:t>
            </w:r>
            <w:r w:rsidRPr="00A66088">
              <w:rPr>
                <w:rStyle w:val="rynqvb"/>
                <w:rFonts w:eastAsiaTheme="majorEastAsia"/>
                <w:sz w:val="22"/>
                <w:szCs w:val="22"/>
                <w:lang w:val="en"/>
              </w:rPr>
              <w:t xml:space="preserve"> </w:t>
            </w:r>
            <w:r w:rsidR="00A66088">
              <w:rPr>
                <w:rStyle w:val="rynqvb"/>
                <w:rFonts w:eastAsiaTheme="majorEastAsia"/>
                <w:sz w:val="22"/>
                <w:szCs w:val="22"/>
                <w:lang w:val="en"/>
              </w:rPr>
              <w:t>T</w:t>
            </w:r>
            <w:r w:rsidRPr="00A66088">
              <w:rPr>
                <w:rStyle w:val="rynqvb"/>
                <w:rFonts w:eastAsiaTheme="majorEastAsia"/>
                <w:sz w:val="22"/>
                <w:szCs w:val="22"/>
                <w:lang w:val="en"/>
              </w:rPr>
              <w:t>he Food and Nutrition Council  of Benin created by decree 2009-245 of June 9, 2009</w:t>
            </w:r>
            <w:r w:rsidR="00DD4902">
              <w:rPr>
                <w:rStyle w:val="rynqvb"/>
                <w:rFonts w:eastAsiaTheme="majorEastAsia"/>
                <w:sz w:val="22"/>
                <w:szCs w:val="22"/>
                <w:lang w:val="en"/>
              </w:rPr>
              <w:t xml:space="preserve"> </w:t>
            </w:r>
            <w:r w:rsidR="00390FC3">
              <w:rPr>
                <w:rStyle w:val="rynqvb"/>
                <w:rFonts w:eastAsiaTheme="majorEastAsia"/>
                <w:b/>
                <w:bCs/>
                <w:color w:val="000000" w:themeColor="text1"/>
                <w:lang w:val="en-US"/>
              </w:rPr>
              <w:t>(</w:t>
            </w:r>
            <w:r w:rsidR="00892619" w:rsidRPr="00DD4902">
              <w:rPr>
                <w:rStyle w:val="rynqvb"/>
                <w:rFonts w:eastAsiaTheme="majorEastAsia"/>
                <w:b/>
                <w:bCs/>
                <w:color w:val="000000" w:themeColor="text1"/>
                <w:lang w:val="en-US"/>
              </w:rPr>
              <w:t>1</w:t>
            </w:r>
            <w:r w:rsidR="00D11917" w:rsidRPr="00DD4902">
              <w:rPr>
                <w:rStyle w:val="rynqvb"/>
                <w:rFonts w:eastAsiaTheme="majorEastAsia"/>
                <w:b/>
                <w:bCs/>
                <w:color w:val="000000" w:themeColor="text1"/>
                <w:lang w:val="en-US"/>
              </w:rPr>
              <w:t>3</w:t>
            </w:r>
            <w:r w:rsidR="00390FC3">
              <w:rPr>
                <w:rStyle w:val="rynqvb"/>
                <w:rFonts w:eastAsiaTheme="majorEastAsia"/>
                <w:b/>
                <w:bCs/>
                <w:color w:val="000000" w:themeColor="text1"/>
                <w:lang w:val="en-US"/>
              </w:rPr>
              <w:t>)</w:t>
            </w:r>
            <w:r w:rsidRPr="00DD4902">
              <w:rPr>
                <w:rStyle w:val="rynqvb"/>
                <w:rFonts w:eastAsiaTheme="majorEastAsia"/>
                <w:color w:val="000000" w:themeColor="text1"/>
                <w:sz w:val="22"/>
                <w:szCs w:val="22"/>
                <w:lang w:val="en"/>
              </w:rPr>
              <w:t>;</w:t>
            </w:r>
            <w:r w:rsidRPr="00DD4902">
              <w:rPr>
                <w:rStyle w:val="hwtze"/>
                <w:rFonts w:eastAsiaTheme="majorEastAsia"/>
                <w:color w:val="000000" w:themeColor="text1"/>
                <w:sz w:val="22"/>
                <w:szCs w:val="22"/>
                <w:lang w:val="en"/>
              </w:rPr>
              <w:t xml:space="preserve"> </w:t>
            </w:r>
            <w:r w:rsidR="00892619" w:rsidRPr="00A66088">
              <w:rPr>
                <w:rStyle w:val="rynqvb"/>
                <w:rFonts w:eastAsiaTheme="majorEastAsia"/>
                <w:sz w:val="22"/>
                <w:szCs w:val="22"/>
                <w:lang w:val="en"/>
              </w:rPr>
              <w:t xml:space="preserve">ii) </w:t>
            </w:r>
            <w:r w:rsidR="00892619" w:rsidRPr="00A66088">
              <w:rPr>
                <w:rStyle w:val="rynqvb"/>
                <w:rFonts w:eastAsiaTheme="majorEastAsia"/>
                <w:b/>
                <w:bCs/>
                <w:sz w:val="22"/>
                <w:szCs w:val="22"/>
                <w:lang w:val="en"/>
              </w:rPr>
              <w:t>In Burkina Faso</w:t>
            </w:r>
            <w:r w:rsidR="00892619" w:rsidRPr="00A66088">
              <w:rPr>
                <w:rStyle w:val="rynqvb"/>
                <w:rFonts w:eastAsiaTheme="majorEastAsia"/>
                <w:sz w:val="22"/>
                <w:szCs w:val="22"/>
                <w:lang w:val="en"/>
              </w:rPr>
              <w:t>:</w:t>
            </w:r>
            <w:r w:rsidR="00892619" w:rsidRPr="00A66088">
              <w:rPr>
                <w:rStyle w:val="hwtze"/>
                <w:rFonts w:eastAsiaTheme="majorEastAsia"/>
                <w:sz w:val="22"/>
                <w:szCs w:val="22"/>
                <w:lang w:val="en"/>
              </w:rPr>
              <w:t xml:space="preserve"> </w:t>
            </w:r>
            <w:r w:rsidR="00892619" w:rsidRPr="00A66088">
              <w:rPr>
                <w:rStyle w:val="rynqvb"/>
                <w:rFonts w:eastAsiaTheme="majorEastAsia"/>
                <w:sz w:val="22"/>
                <w:szCs w:val="22"/>
                <w:lang w:val="en"/>
              </w:rPr>
              <w:t>The creation by decree No. 2008-003/PRES/PM/MS/MAHRH/MASSN/ MEF of January 10, 2007 of the National Nutrition Consultation Council  in Burkina Faso</w:t>
            </w:r>
            <w:r w:rsidR="00DD4902">
              <w:rPr>
                <w:rStyle w:val="rynqvb"/>
                <w:rFonts w:eastAsiaTheme="majorEastAsia"/>
                <w:sz w:val="22"/>
                <w:szCs w:val="22"/>
                <w:lang w:val="en"/>
              </w:rPr>
              <w:t xml:space="preserve"> </w:t>
            </w:r>
            <w:r w:rsidR="00390FC3">
              <w:rPr>
                <w:rStyle w:val="rynqvb"/>
                <w:rFonts w:eastAsiaTheme="majorEastAsia"/>
                <w:b/>
                <w:bCs/>
                <w:color w:val="000000" w:themeColor="text1"/>
                <w:lang w:val="en-US"/>
              </w:rPr>
              <w:t>(</w:t>
            </w:r>
            <w:r w:rsidR="00892619" w:rsidRPr="00DD4902">
              <w:rPr>
                <w:rStyle w:val="rynqvb"/>
                <w:rFonts w:eastAsiaTheme="majorEastAsia"/>
                <w:b/>
                <w:bCs/>
                <w:color w:val="000000" w:themeColor="text1"/>
                <w:lang w:val="en-US"/>
              </w:rPr>
              <w:t>1</w:t>
            </w:r>
            <w:r w:rsidR="00D11917" w:rsidRPr="00DD4902">
              <w:rPr>
                <w:rStyle w:val="rynqvb"/>
                <w:rFonts w:eastAsiaTheme="majorEastAsia"/>
                <w:b/>
                <w:bCs/>
                <w:color w:val="000000" w:themeColor="text1"/>
                <w:lang w:val="en-US"/>
              </w:rPr>
              <w:t>4</w:t>
            </w:r>
            <w:r w:rsidR="00390FC3">
              <w:rPr>
                <w:rStyle w:val="rynqvb"/>
                <w:rFonts w:eastAsiaTheme="majorEastAsia"/>
                <w:b/>
                <w:bCs/>
                <w:color w:val="000000" w:themeColor="text1"/>
                <w:lang w:val="en-US"/>
              </w:rPr>
              <w:t>)</w:t>
            </w:r>
            <w:r w:rsidR="00892619" w:rsidRPr="00DD4902">
              <w:rPr>
                <w:rStyle w:val="rynqvb"/>
                <w:rFonts w:eastAsiaTheme="majorEastAsia"/>
                <w:color w:val="000000" w:themeColor="text1"/>
                <w:sz w:val="22"/>
                <w:szCs w:val="22"/>
                <w:lang w:val="en"/>
              </w:rPr>
              <w:t xml:space="preserve"> </w:t>
            </w:r>
            <w:r w:rsidR="00892619" w:rsidRPr="00A66088">
              <w:rPr>
                <w:rStyle w:val="rynqvb"/>
                <w:rFonts w:eastAsiaTheme="majorEastAsia"/>
                <w:sz w:val="22"/>
                <w:szCs w:val="22"/>
                <w:lang w:val="en"/>
              </w:rPr>
              <w:t>then of the Technical Secretariat Responsible for improving nutrition</w:t>
            </w:r>
            <w:r w:rsidR="00892619" w:rsidRPr="00A66088">
              <w:rPr>
                <w:rStyle w:val="hwtze"/>
                <w:rFonts w:eastAsiaTheme="majorEastAsia"/>
                <w:sz w:val="22"/>
                <w:szCs w:val="22"/>
                <w:lang w:val="en"/>
              </w:rPr>
              <w:t xml:space="preserve"> </w:t>
            </w:r>
            <w:r w:rsidR="00892619" w:rsidRPr="00A66088">
              <w:rPr>
                <w:rStyle w:val="rynqvb"/>
                <w:rFonts w:eastAsiaTheme="majorEastAsia"/>
                <w:sz w:val="22"/>
                <w:szCs w:val="22"/>
                <w:lang w:val="en"/>
              </w:rPr>
              <w:t>Food and Nutrition by decree No. 2018-0093/PRES/PM/MS of February 15, 2018 and finally</w:t>
            </w:r>
            <w:r w:rsidR="00DD4902">
              <w:rPr>
                <w:rStyle w:val="rynqvb"/>
                <w:rFonts w:eastAsiaTheme="majorEastAsia"/>
                <w:sz w:val="22"/>
                <w:szCs w:val="22"/>
                <w:lang w:val="en"/>
              </w:rPr>
              <w:t xml:space="preserve"> </w:t>
            </w:r>
            <w:r w:rsidR="00390FC3">
              <w:rPr>
                <w:rStyle w:val="rynqvb"/>
                <w:rFonts w:eastAsiaTheme="majorEastAsia"/>
                <w:b/>
                <w:bCs/>
                <w:color w:val="000000" w:themeColor="text1"/>
                <w:lang w:val="en-US"/>
              </w:rPr>
              <w:t>(</w:t>
            </w:r>
            <w:r w:rsidR="00892619" w:rsidRPr="00DD4902">
              <w:rPr>
                <w:rStyle w:val="rynqvb"/>
                <w:rFonts w:eastAsiaTheme="majorEastAsia"/>
                <w:b/>
                <w:bCs/>
                <w:color w:val="000000" w:themeColor="text1"/>
                <w:lang w:val="en-US"/>
              </w:rPr>
              <w:t>1</w:t>
            </w:r>
            <w:r w:rsidR="00D11917" w:rsidRPr="00DD4902">
              <w:rPr>
                <w:rStyle w:val="rynqvb"/>
                <w:rFonts w:eastAsiaTheme="majorEastAsia"/>
                <w:b/>
                <w:bCs/>
                <w:color w:val="000000" w:themeColor="text1"/>
                <w:lang w:val="en-US"/>
              </w:rPr>
              <w:t>5</w:t>
            </w:r>
            <w:r w:rsidR="00390FC3">
              <w:rPr>
                <w:rStyle w:val="rynqvb"/>
                <w:rFonts w:eastAsiaTheme="majorEastAsia"/>
                <w:b/>
                <w:bCs/>
                <w:color w:val="000000" w:themeColor="text1"/>
                <w:lang w:val="en-US"/>
              </w:rPr>
              <w:t>)</w:t>
            </w:r>
            <w:r w:rsidR="00892619" w:rsidRPr="00DD4902">
              <w:rPr>
                <w:rStyle w:val="rynqvb"/>
                <w:rFonts w:eastAsiaTheme="majorEastAsia"/>
                <w:color w:val="000000" w:themeColor="text1"/>
                <w:sz w:val="22"/>
                <w:szCs w:val="22"/>
                <w:lang w:val="en"/>
              </w:rPr>
              <w:t xml:space="preserve">, </w:t>
            </w:r>
            <w:r w:rsidR="00892619" w:rsidRPr="00A66088">
              <w:rPr>
                <w:rStyle w:val="rynqvb"/>
                <w:rFonts w:eastAsiaTheme="majorEastAsia"/>
                <w:lang w:val="en"/>
              </w:rPr>
              <w:t>Finally, the National Nutrition Council (</w:t>
            </w:r>
            <w:proofErr w:type="spellStart"/>
            <w:r w:rsidR="00892619" w:rsidRPr="00A66088">
              <w:rPr>
                <w:rStyle w:val="rynqvb"/>
                <w:rFonts w:eastAsiaTheme="majorEastAsia"/>
                <w:lang w:val="en"/>
              </w:rPr>
              <w:t>CNaN</w:t>
            </w:r>
            <w:proofErr w:type="spellEnd"/>
            <w:r w:rsidR="00892619" w:rsidRPr="00A66088">
              <w:rPr>
                <w:rStyle w:val="rynqvb"/>
                <w:rFonts w:eastAsiaTheme="majorEastAsia"/>
                <w:lang w:val="en"/>
              </w:rPr>
              <w:t>) by Decree No. 2021 --0929/PRES/PM/MINEFID/MS/MESRSI/MAAHM/MRAH</w:t>
            </w:r>
            <w:r w:rsidR="00390FC3">
              <w:rPr>
                <w:rStyle w:val="rynqvb"/>
                <w:rFonts w:eastAsiaTheme="majorEastAsia"/>
                <w:b/>
                <w:bCs/>
                <w:color w:val="00B050"/>
                <w:lang w:val="en-US"/>
              </w:rPr>
              <w:t>(</w:t>
            </w:r>
            <w:r w:rsidR="00892619" w:rsidRPr="00DD4902">
              <w:rPr>
                <w:rStyle w:val="rynqvb"/>
                <w:rFonts w:eastAsiaTheme="majorEastAsia"/>
                <w:b/>
                <w:bCs/>
                <w:color w:val="000000" w:themeColor="text1"/>
                <w:lang w:val="en-US"/>
              </w:rPr>
              <w:t>1</w:t>
            </w:r>
            <w:r w:rsidR="00D11917" w:rsidRPr="00DD4902">
              <w:rPr>
                <w:rStyle w:val="rynqvb"/>
                <w:rFonts w:eastAsiaTheme="majorEastAsia"/>
                <w:b/>
                <w:bCs/>
                <w:color w:val="000000" w:themeColor="text1"/>
                <w:lang w:val="en-US"/>
              </w:rPr>
              <w:t>6</w:t>
            </w:r>
            <w:r w:rsidR="00390FC3">
              <w:rPr>
                <w:rStyle w:val="rynqvb"/>
                <w:rFonts w:eastAsiaTheme="majorEastAsia"/>
                <w:b/>
                <w:bCs/>
                <w:color w:val="000000" w:themeColor="text1"/>
                <w:lang w:val="en-US"/>
              </w:rPr>
              <w:t>)</w:t>
            </w:r>
            <w:r w:rsidR="00892619" w:rsidRPr="00DD4902">
              <w:rPr>
                <w:rStyle w:val="rynqvb"/>
                <w:rFonts w:eastAsiaTheme="majorEastAsia"/>
                <w:color w:val="000000" w:themeColor="text1"/>
                <w:lang w:val="en"/>
              </w:rPr>
              <w:t xml:space="preserve">; </w:t>
            </w:r>
            <w:r w:rsidRPr="00A66088">
              <w:rPr>
                <w:rStyle w:val="rynqvb"/>
                <w:rFonts w:eastAsiaTheme="majorEastAsia"/>
                <w:sz w:val="22"/>
                <w:szCs w:val="22"/>
                <w:lang w:val="en"/>
              </w:rPr>
              <w:t>ii</w:t>
            </w:r>
            <w:r w:rsidR="00892619">
              <w:rPr>
                <w:rStyle w:val="rynqvb"/>
                <w:rFonts w:eastAsiaTheme="majorEastAsia"/>
                <w:sz w:val="22"/>
                <w:szCs w:val="22"/>
                <w:lang w:val="en"/>
              </w:rPr>
              <w:t>i</w:t>
            </w:r>
            <w:r w:rsidRPr="00A66088">
              <w:rPr>
                <w:rStyle w:val="rynqvb"/>
                <w:rFonts w:eastAsiaTheme="majorEastAsia"/>
                <w:sz w:val="22"/>
                <w:szCs w:val="22"/>
                <w:lang w:val="en"/>
              </w:rPr>
              <w:t>)</w:t>
            </w:r>
            <w:r w:rsidR="00DD4902">
              <w:rPr>
                <w:rStyle w:val="rynqvb"/>
                <w:rFonts w:eastAsiaTheme="majorEastAsia"/>
                <w:sz w:val="22"/>
                <w:szCs w:val="22"/>
                <w:lang w:val="en"/>
              </w:rPr>
              <w:t xml:space="preserve"> </w:t>
            </w:r>
            <w:r w:rsidR="00A66088" w:rsidRPr="00A66088">
              <w:rPr>
                <w:rStyle w:val="rynqvb"/>
                <w:rFonts w:eastAsiaTheme="majorEastAsia"/>
                <w:b/>
                <w:bCs/>
                <w:sz w:val="22"/>
                <w:szCs w:val="22"/>
                <w:lang w:val="en"/>
              </w:rPr>
              <w:t>In Ivory Coast</w:t>
            </w:r>
            <w:r w:rsidR="00A66088" w:rsidRPr="00A66088">
              <w:rPr>
                <w:rStyle w:val="rynqvb"/>
                <w:rFonts w:eastAsiaTheme="majorEastAsia"/>
                <w:sz w:val="22"/>
                <w:szCs w:val="22"/>
                <w:lang w:val="en"/>
              </w:rPr>
              <w:t xml:space="preserve"> : T</w:t>
            </w:r>
            <w:r w:rsidRPr="00A66088">
              <w:rPr>
                <w:rStyle w:val="rynqvb"/>
                <w:rFonts w:eastAsiaTheme="majorEastAsia"/>
                <w:sz w:val="22"/>
                <w:szCs w:val="22"/>
                <w:lang w:val="en"/>
              </w:rPr>
              <w:t>he decree of July 16, 2014 creating the National Council for Nutrition in Côte d'Ivoire</w:t>
            </w:r>
            <w:r w:rsidR="00892619">
              <w:rPr>
                <w:rStyle w:val="rynqvb"/>
                <w:rFonts w:eastAsiaTheme="majorEastAsia"/>
                <w:sz w:val="22"/>
                <w:szCs w:val="22"/>
                <w:lang w:val="en"/>
              </w:rPr>
              <w:t xml:space="preserve"> </w:t>
            </w:r>
            <w:r w:rsidR="00390FC3">
              <w:rPr>
                <w:rStyle w:val="rynqvb"/>
                <w:rFonts w:eastAsiaTheme="majorEastAsia"/>
                <w:b/>
                <w:bCs/>
                <w:color w:val="000000" w:themeColor="text1"/>
                <w:lang w:val="en-US"/>
              </w:rPr>
              <w:t>(</w:t>
            </w:r>
            <w:r w:rsidR="00892619" w:rsidRPr="00DD4902">
              <w:rPr>
                <w:rStyle w:val="rynqvb"/>
                <w:rFonts w:eastAsiaTheme="majorEastAsia"/>
                <w:b/>
                <w:bCs/>
                <w:color w:val="000000" w:themeColor="text1"/>
                <w:lang w:val="en-US"/>
              </w:rPr>
              <w:t>1</w:t>
            </w:r>
            <w:r w:rsidR="00D11917" w:rsidRPr="00DD4902">
              <w:rPr>
                <w:rStyle w:val="rynqvb"/>
                <w:rFonts w:eastAsiaTheme="majorEastAsia"/>
                <w:b/>
                <w:bCs/>
                <w:color w:val="000000" w:themeColor="text1"/>
                <w:lang w:val="en-US"/>
              </w:rPr>
              <w:t>7</w:t>
            </w:r>
            <w:r w:rsidR="00390FC3">
              <w:rPr>
                <w:rStyle w:val="rynqvb"/>
                <w:rFonts w:eastAsiaTheme="majorEastAsia"/>
                <w:b/>
                <w:bCs/>
                <w:color w:val="000000" w:themeColor="text1"/>
                <w:lang w:val="en-US"/>
              </w:rPr>
              <w:t>)</w:t>
            </w:r>
            <w:r w:rsidR="00892619" w:rsidRPr="00DD4902">
              <w:rPr>
                <w:rStyle w:val="rynqvb"/>
                <w:rFonts w:eastAsiaTheme="majorEastAsia"/>
                <w:b/>
                <w:bCs/>
                <w:color w:val="000000" w:themeColor="text1"/>
                <w:lang w:val="en-US"/>
              </w:rPr>
              <w:t xml:space="preserve"> </w:t>
            </w:r>
            <w:r w:rsidRPr="00A66088">
              <w:rPr>
                <w:rStyle w:val="rynqvb"/>
                <w:rFonts w:eastAsiaTheme="majorEastAsia"/>
                <w:sz w:val="22"/>
                <w:szCs w:val="22"/>
                <w:lang w:val="en"/>
              </w:rPr>
              <w:t>which became by decree in 2019 the National Council for Nutrition, Food and Early Childhood Development</w:t>
            </w:r>
            <w:r w:rsidR="00DD4902">
              <w:rPr>
                <w:rStyle w:val="rynqvb"/>
                <w:rFonts w:eastAsiaTheme="majorEastAsia"/>
                <w:sz w:val="22"/>
                <w:szCs w:val="22"/>
                <w:lang w:val="en"/>
              </w:rPr>
              <w:t xml:space="preserve"> </w:t>
            </w:r>
            <w:r w:rsidR="00390FC3">
              <w:rPr>
                <w:rStyle w:val="rynqvb"/>
                <w:rFonts w:eastAsiaTheme="majorEastAsia"/>
                <w:b/>
                <w:bCs/>
                <w:color w:val="000000" w:themeColor="text1"/>
                <w:lang w:val="en-US"/>
              </w:rPr>
              <w:t>(</w:t>
            </w:r>
            <w:r w:rsidR="00892619" w:rsidRPr="00DD4902">
              <w:rPr>
                <w:rStyle w:val="rynqvb"/>
                <w:rFonts w:eastAsiaTheme="majorEastAsia"/>
                <w:b/>
                <w:bCs/>
                <w:color w:val="000000" w:themeColor="text1"/>
                <w:lang w:val="en-US"/>
              </w:rPr>
              <w:t>1</w:t>
            </w:r>
            <w:r w:rsidR="00D11917" w:rsidRPr="00DD4902">
              <w:rPr>
                <w:rStyle w:val="rynqvb"/>
                <w:rFonts w:eastAsiaTheme="majorEastAsia"/>
                <w:b/>
                <w:bCs/>
                <w:color w:val="000000" w:themeColor="text1"/>
                <w:lang w:val="en-US"/>
              </w:rPr>
              <w:t>8</w:t>
            </w:r>
            <w:r w:rsidR="00390FC3">
              <w:rPr>
                <w:rStyle w:val="rynqvb"/>
                <w:rFonts w:eastAsiaTheme="majorEastAsia"/>
                <w:b/>
                <w:bCs/>
                <w:color w:val="000000" w:themeColor="text1"/>
                <w:lang w:val="en-US"/>
              </w:rPr>
              <w:t>)</w:t>
            </w:r>
            <w:r w:rsidRPr="00DD4902">
              <w:rPr>
                <w:rStyle w:val="rynqvb"/>
                <w:rFonts w:eastAsiaTheme="majorEastAsia"/>
                <w:color w:val="000000" w:themeColor="text1"/>
                <w:sz w:val="22"/>
                <w:szCs w:val="22"/>
                <w:lang w:val="en"/>
              </w:rPr>
              <w:t xml:space="preserve"> </w:t>
            </w:r>
            <w:r w:rsidRPr="00A66088">
              <w:rPr>
                <w:rStyle w:val="rynqvb"/>
                <w:rFonts w:eastAsiaTheme="majorEastAsia"/>
                <w:sz w:val="22"/>
                <w:szCs w:val="22"/>
                <w:lang w:val="en"/>
              </w:rPr>
              <w:t>;</w:t>
            </w:r>
            <w:r w:rsidRPr="00A66088">
              <w:rPr>
                <w:rStyle w:val="hwtze"/>
                <w:rFonts w:eastAsiaTheme="majorEastAsia"/>
                <w:sz w:val="22"/>
                <w:szCs w:val="22"/>
                <w:lang w:val="en"/>
              </w:rPr>
              <w:t xml:space="preserve"> </w:t>
            </w:r>
            <w:r w:rsidRPr="00A66088">
              <w:rPr>
                <w:rStyle w:val="rynqvb"/>
                <w:rFonts w:eastAsiaTheme="majorEastAsia"/>
                <w:sz w:val="22"/>
                <w:szCs w:val="22"/>
                <w:lang w:val="en"/>
              </w:rPr>
              <w:t>iv)</w:t>
            </w:r>
            <w:r w:rsidR="00A66088">
              <w:rPr>
                <w:rStyle w:val="rynqvb"/>
                <w:rFonts w:eastAsiaTheme="majorEastAsia"/>
                <w:sz w:val="22"/>
                <w:szCs w:val="22"/>
                <w:lang w:val="en"/>
              </w:rPr>
              <w:t xml:space="preserve"> </w:t>
            </w:r>
            <w:r w:rsidR="00A66088" w:rsidRPr="00A66088">
              <w:rPr>
                <w:rStyle w:val="rynqvb"/>
                <w:rFonts w:eastAsiaTheme="majorEastAsia"/>
                <w:b/>
                <w:bCs/>
                <w:sz w:val="22"/>
                <w:szCs w:val="22"/>
                <w:lang w:val="en"/>
              </w:rPr>
              <w:t>In Senegal</w:t>
            </w:r>
            <w:r w:rsidR="00A66088">
              <w:rPr>
                <w:rStyle w:val="rynqvb"/>
                <w:rFonts w:eastAsiaTheme="majorEastAsia"/>
                <w:sz w:val="22"/>
                <w:szCs w:val="22"/>
                <w:lang w:val="en"/>
              </w:rPr>
              <w:t>:</w:t>
            </w:r>
            <w:r w:rsidRPr="00A66088">
              <w:rPr>
                <w:rStyle w:val="rynqvb"/>
                <w:rFonts w:eastAsiaTheme="majorEastAsia"/>
                <w:sz w:val="22"/>
                <w:szCs w:val="22"/>
                <w:lang w:val="en"/>
              </w:rPr>
              <w:t xml:space="preserve"> </w:t>
            </w:r>
            <w:r w:rsidR="00A66088">
              <w:rPr>
                <w:rStyle w:val="rynqvb"/>
                <w:rFonts w:eastAsiaTheme="majorEastAsia"/>
                <w:sz w:val="22"/>
                <w:szCs w:val="22"/>
                <w:lang w:val="en"/>
              </w:rPr>
              <w:t>T</w:t>
            </w:r>
            <w:r w:rsidRPr="00A66088">
              <w:rPr>
                <w:rStyle w:val="rynqvb"/>
                <w:rFonts w:eastAsiaTheme="majorEastAsia"/>
                <w:sz w:val="22"/>
                <w:szCs w:val="22"/>
                <w:lang w:val="en"/>
              </w:rPr>
              <w:t>he Cell for the Fight against Malnutrition created in 2001</w:t>
            </w:r>
            <w:r w:rsidR="00390FC3">
              <w:rPr>
                <w:rStyle w:val="rynqvb"/>
                <w:rFonts w:eastAsiaTheme="majorEastAsia"/>
                <w:b/>
                <w:bCs/>
                <w:color w:val="000000" w:themeColor="text1"/>
                <w:lang w:val="en-US"/>
              </w:rPr>
              <w:t>(</w:t>
            </w:r>
            <w:r w:rsidR="00892619" w:rsidRPr="00DD4902">
              <w:rPr>
                <w:rStyle w:val="rynqvb"/>
                <w:rFonts w:eastAsiaTheme="majorEastAsia"/>
                <w:b/>
                <w:bCs/>
                <w:color w:val="000000" w:themeColor="text1"/>
                <w:lang w:val="en-US"/>
              </w:rPr>
              <w:t>1</w:t>
            </w:r>
            <w:r w:rsidR="00D11917" w:rsidRPr="00DD4902">
              <w:rPr>
                <w:rStyle w:val="rynqvb"/>
                <w:rFonts w:eastAsiaTheme="majorEastAsia"/>
                <w:b/>
                <w:bCs/>
                <w:color w:val="000000" w:themeColor="text1"/>
                <w:lang w:val="en-US"/>
              </w:rPr>
              <w:t>9</w:t>
            </w:r>
            <w:r w:rsidR="00390FC3">
              <w:rPr>
                <w:rStyle w:val="rynqvb"/>
                <w:rFonts w:eastAsiaTheme="majorEastAsia"/>
                <w:b/>
                <w:bCs/>
                <w:color w:val="000000" w:themeColor="text1"/>
                <w:lang w:val="en-US"/>
              </w:rPr>
              <w:t>)</w:t>
            </w:r>
            <w:r w:rsidRPr="00DD4902">
              <w:rPr>
                <w:rStyle w:val="rynqvb"/>
                <w:rFonts w:eastAsiaTheme="majorEastAsia"/>
                <w:color w:val="000000" w:themeColor="text1"/>
                <w:sz w:val="22"/>
                <w:szCs w:val="22"/>
                <w:lang w:val="en"/>
              </w:rPr>
              <w:t xml:space="preserve"> </w:t>
            </w:r>
            <w:r w:rsidRPr="00A66088">
              <w:rPr>
                <w:rStyle w:val="rynqvb"/>
                <w:rFonts w:eastAsiaTheme="majorEastAsia"/>
                <w:sz w:val="22"/>
                <w:szCs w:val="22"/>
                <w:lang w:val="en"/>
              </w:rPr>
              <w:t>and which became the National Nutrition Development Council by decree 2020-1820</w:t>
            </w:r>
            <w:r w:rsidR="00DD4902">
              <w:rPr>
                <w:rStyle w:val="rynqvb"/>
                <w:rFonts w:eastAsiaTheme="majorEastAsia"/>
                <w:sz w:val="22"/>
                <w:szCs w:val="22"/>
                <w:lang w:val="en"/>
              </w:rPr>
              <w:t xml:space="preserve"> </w:t>
            </w:r>
            <w:r w:rsidR="00390FC3">
              <w:rPr>
                <w:rStyle w:val="rynqvb"/>
                <w:rFonts w:eastAsiaTheme="majorEastAsia"/>
                <w:b/>
                <w:bCs/>
                <w:color w:val="000000" w:themeColor="text1"/>
                <w:lang w:val="en-US"/>
              </w:rPr>
              <w:t>(</w:t>
            </w:r>
            <w:r w:rsidR="00D11917" w:rsidRPr="00DD4902">
              <w:rPr>
                <w:rStyle w:val="rynqvb"/>
                <w:rFonts w:eastAsiaTheme="majorEastAsia"/>
                <w:b/>
                <w:bCs/>
                <w:color w:val="000000" w:themeColor="text1"/>
                <w:lang w:val="en-US"/>
              </w:rPr>
              <w:t>20</w:t>
            </w:r>
            <w:r w:rsidR="00390FC3">
              <w:rPr>
                <w:rStyle w:val="rynqvb"/>
                <w:rFonts w:eastAsiaTheme="majorEastAsia"/>
                <w:b/>
                <w:bCs/>
                <w:color w:val="000000" w:themeColor="text1"/>
                <w:lang w:val="en-US"/>
              </w:rPr>
              <w:t>)</w:t>
            </w:r>
            <w:r w:rsidRPr="00DD4902">
              <w:rPr>
                <w:rStyle w:val="rynqvb"/>
                <w:rFonts w:eastAsiaTheme="majorEastAsia"/>
                <w:color w:val="000000" w:themeColor="text1"/>
                <w:sz w:val="22"/>
                <w:szCs w:val="22"/>
                <w:lang w:val="en"/>
              </w:rPr>
              <w:t>;</w:t>
            </w:r>
            <w:r w:rsidRPr="00DD4902">
              <w:rPr>
                <w:rStyle w:val="hwtze"/>
                <w:rFonts w:eastAsiaTheme="majorEastAsia"/>
                <w:color w:val="000000" w:themeColor="text1"/>
                <w:sz w:val="22"/>
                <w:szCs w:val="22"/>
                <w:lang w:val="en"/>
              </w:rPr>
              <w:t xml:space="preserve"> </w:t>
            </w:r>
            <w:r w:rsidRPr="00A66088">
              <w:rPr>
                <w:rStyle w:val="rynqvb"/>
                <w:rFonts w:eastAsiaTheme="majorEastAsia"/>
                <w:sz w:val="22"/>
                <w:szCs w:val="22"/>
                <w:lang w:val="en"/>
              </w:rPr>
              <w:t>v)</w:t>
            </w:r>
            <w:r w:rsidR="00A66088" w:rsidRPr="00A66088">
              <w:rPr>
                <w:rStyle w:val="rynqvb"/>
                <w:rFonts w:eastAsiaTheme="majorEastAsia"/>
                <w:b/>
                <w:bCs/>
                <w:sz w:val="22"/>
                <w:szCs w:val="22"/>
                <w:lang w:val="en"/>
              </w:rPr>
              <w:t>In Togo:</w:t>
            </w:r>
            <w:r w:rsidR="00A66088">
              <w:rPr>
                <w:rStyle w:val="rynqvb"/>
                <w:rFonts w:eastAsiaTheme="majorEastAsia"/>
                <w:sz w:val="22"/>
                <w:szCs w:val="22"/>
                <w:lang w:val="en"/>
              </w:rPr>
              <w:t xml:space="preserve"> </w:t>
            </w:r>
            <w:r w:rsidRPr="00A66088">
              <w:rPr>
                <w:rStyle w:val="rynqvb"/>
                <w:rFonts w:eastAsiaTheme="majorEastAsia"/>
                <w:sz w:val="22"/>
                <w:szCs w:val="22"/>
                <w:lang w:val="en"/>
              </w:rPr>
              <w:t xml:space="preserve"> </w:t>
            </w:r>
            <w:r w:rsidR="00A66088">
              <w:rPr>
                <w:rStyle w:val="rynqvb"/>
                <w:rFonts w:eastAsiaTheme="majorEastAsia"/>
                <w:sz w:val="22"/>
                <w:szCs w:val="22"/>
                <w:lang w:val="en"/>
              </w:rPr>
              <w:t>T</w:t>
            </w:r>
            <w:r w:rsidRPr="00A66088">
              <w:rPr>
                <w:rStyle w:val="rynqvb"/>
                <w:rFonts w:eastAsiaTheme="majorEastAsia"/>
                <w:sz w:val="22"/>
                <w:szCs w:val="22"/>
                <w:lang w:val="en"/>
              </w:rPr>
              <w:t>he multisectoral Taskforce for strengthening nutrition in Togo by interministerial decree No. 0023/2017/MPD/MSPS /MAEH/MASPFA</w:t>
            </w:r>
            <w:r w:rsidR="00892619">
              <w:rPr>
                <w:rStyle w:val="rynqvb"/>
                <w:rFonts w:eastAsiaTheme="majorEastAsia"/>
                <w:sz w:val="22"/>
                <w:szCs w:val="22"/>
                <w:lang w:val="en"/>
              </w:rPr>
              <w:t xml:space="preserve"> </w:t>
            </w:r>
            <w:r w:rsidR="00390FC3">
              <w:rPr>
                <w:rStyle w:val="rynqvb"/>
                <w:rFonts w:eastAsiaTheme="majorEastAsia"/>
                <w:b/>
                <w:bCs/>
                <w:color w:val="000000" w:themeColor="text1"/>
                <w:lang w:val="en-US"/>
              </w:rPr>
              <w:t>(</w:t>
            </w:r>
            <w:r w:rsidR="00892619" w:rsidRPr="00DD4902">
              <w:rPr>
                <w:rStyle w:val="rynqvb"/>
                <w:rFonts w:eastAsiaTheme="majorEastAsia"/>
                <w:b/>
                <w:bCs/>
                <w:color w:val="000000" w:themeColor="text1"/>
                <w:lang w:val="en-US"/>
              </w:rPr>
              <w:t>2</w:t>
            </w:r>
            <w:r w:rsidR="00D11917" w:rsidRPr="00DD4902">
              <w:rPr>
                <w:rStyle w:val="rynqvb"/>
                <w:rFonts w:eastAsiaTheme="majorEastAsia"/>
                <w:b/>
                <w:bCs/>
                <w:color w:val="000000" w:themeColor="text1"/>
                <w:lang w:val="en-US"/>
              </w:rPr>
              <w:t>1</w:t>
            </w:r>
            <w:r w:rsidR="00390FC3">
              <w:rPr>
                <w:rStyle w:val="rynqvb"/>
                <w:rFonts w:eastAsiaTheme="majorEastAsia"/>
                <w:b/>
                <w:bCs/>
                <w:color w:val="000000" w:themeColor="text1"/>
                <w:lang w:val="en-US"/>
              </w:rPr>
              <w:t>)</w:t>
            </w:r>
            <w:r w:rsidR="00892619" w:rsidRPr="00DD4902">
              <w:rPr>
                <w:rStyle w:val="rynqvb"/>
                <w:rFonts w:eastAsiaTheme="majorEastAsia"/>
                <w:b/>
                <w:bCs/>
                <w:color w:val="000000" w:themeColor="text1"/>
                <w:lang w:val="en-US"/>
              </w:rPr>
              <w:t>.</w:t>
            </w:r>
          </w:p>
        </w:tc>
      </w:tr>
    </w:tbl>
    <w:p w14:paraId="16165B6C" w14:textId="13413BE4" w:rsidR="00BE1D4E" w:rsidRDefault="00BE1D4E">
      <w:pPr>
        <w:rPr>
          <w:sz w:val="22"/>
          <w:szCs w:val="22"/>
          <w:lang w:val="en-US"/>
        </w:rPr>
      </w:pPr>
    </w:p>
    <w:p w14:paraId="359F89E3" w14:textId="4431D7C2" w:rsidR="00892619" w:rsidRPr="00B11883" w:rsidRDefault="00892619" w:rsidP="00892619">
      <w:pPr>
        <w:pStyle w:val="NormalWeb"/>
        <w:pBdr>
          <w:bottom w:val="single" w:sz="4" w:space="1" w:color="auto"/>
        </w:pBdr>
        <w:jc w:val="both"/>
        <w:rPr>
          <w:b/>
          <w:bCs/>
          <w:sz w:val="28"/>
          <w:szCs w:val="28"/>
        </w:rPr>
      </w:pPr>
      <w:r w:rsidRPr="00B11883">
        <w:rPr>
          <w:b/>
          <w:bCs/>
          <w:sz w:val="28"/>
          <w:szCs w:val="28"/>
        </w:rPr>
        <w:t xml:space="preserve">Références </w:t>
      </w:r>
    </w:p>
    <w:p w14:paraId="15B850AC" w14:textId="160F3F6A" w:rsidR="006A5849" w:rsidRDefault="00892619" w:rsidP="0033460B">
      <w:pPr>
        <w:pStyle w:val="NormalWeb"/>
        <w:numPr>
          <w:ilvl w:val="0"/>
          <w:numId w:val="6"/>
        </w:numPr>
        <w:rPr>
          <w:color w:val="000000" w:themeColor="text1"/>
          <w:sz w:val="22"/>
          <w:szCs w:val="22"/>
        </w:rPr>
      </w:pPr>
      <w:r w:rsidRPr="00DD4902">
        <w:rPr>
          <w:color w:val="000000" w:themeColor="text1"/>
          <w:sz w:val="22"/>
          <w:szCs w:val="22"/>
        </w:rPr>
        <w:t xml:space="preserve">Présidence de la République de Côte d’Ivoire : Décret N°2013-416 du 6 juin 2013 portant réglementation des substituts du lait maternel </w:t>
      </w:r>
      <w:r w:rsidR="006A5849">
        <w:rPr>
          <w:color w:val="000000" w:themeColor="text1"/>
          <w:sz w:val="22"/>
          <w:szCs w:val="22"/>
        </w:rPr>
        <w:t>; repérable au:</w:t>
      </w:r>
      <w:r w:rsidR="006A5849" w:rsidRPr="006A5849">
        <w:t xml:space="preserve"> </w:t>
      </w:r>
      <w:hyperlink r:id="rId7" w:history="1">
        <w:r w:rsidR="006A5849" w:rsidRPr="0087269E">
          <w:rPr>
            <w:rStyle w:val="Hyperlien"/>
            <w:sz w:val="22"/>
            <w:szCs w:val="22"/>
          </w:rPr>
          <w:t>https://www.ibfan.org/wp-content/uploads/2023/05/Cote-dIvoire-2013-French-Code-Regulations-DECRET-REGLEMENTATION-COMM-SUBSTIT-LAIT-MATERNEL.pdf</w:t>
        </w:r>
      </w:hyperlink>
    </w:p>
    <w:p w14:paraId="3BF1E809" w14:textId="59436C1F" w:rsidR="006A5849" w:rsidRDefault="00892619" w:rsidP="0033460B">
      <w:pPr>
        <w:pStyle w:val="NormalWeb"/>
        <w:numPr>
          <w:ilvl w:val="0"/>
          <w:numId w:val="6"/>
        </w:numPr>
        <w:rPr>
          <w:color w:val="000000" w:themeColor="text1"/>
          <w:sz w:val="22"/>
          <w:szCs w:val="22"/>
        </w:rPr>
      </w:pPr>
      <w:r w:rsidRPr="006A5849">
        <w:rPr>
          <w:color w:val="000000" w:themeColor="text1"/>
          <w:sz w:val="22"/>
          <w:szCs w:val="22"/>
        </w:rPr>
        <w:t xml:space="preserve">Présidence de la République du Burkina Faso : DECRET N°2021 du 17 mars 2021 /PRES/PM/MICA/MS/MRAH/MAAHM portant règlementation de la commercialisation des substituts du lait maternel (SLM), des aliments pour nourrissons et jeunes enfants et des ustensiles d’alimentation. </w:t>
      </w:r>
      <w:r w:rsidR="006A5849">
        <w:rPr>
          <w:color w:val="000000" w:themeColor="text1"/>
          <w:sz w:val="22"/>
          <w:szCs w:val="22"/>
        </w:rPr>
        <w:t xml:space="preserve">Repérable au : </w:t>
      </w:r>
      <w:hyperlink r:id="rId8" w:history="1">
        <w:r w:rsidR="006A5849" w:rsidRPr="0087269E">
          <w:rPr>
            <w:rStyle w:val="Hyperlien"/>
            <w:sz w:val="22"/>
            <w:szCs w:val="22"/>
          </w:rPr>
          <w:t>https://www.babymilkaction.org/wp-content/uploads/2022/09/Draft_-CT_decret-SLM-decret_10022021_VF.pdf</w:t>
        </w:r>
      </w:hyperlink>
    </w:p>
    <w:p w14:paraId="78D989E5" w14:textId="3F40A409" w:rsidR="006A5849" w:rsidRDefault="00892619" w:rsidP="0033460B">
      <w:pPr>
        <w:pStyle w:val="NormalWeb"/>
        <w:numPr>
          <w:ilvl w:val="0"/>
          <w:numId w:val="6"/>
        </w:numPr>
        <w:rPr>
          <w:color w:val="000000" w:themeColor="text1"/>
          <w:sz w:val="22"/>
          <w:szCs w:val="22"/>
        </w:rPr>
      </w:pPr>
      <w:r w:rsidRPr="006A5849">
        <w:rPr>
          <w:color w:val="000000" w:themeColor="text1"/>
          <w:sz w:val="22"/>
          <w:szCs w:val="22"/>
        </w:rPr>
        <w:t>Présidence de la République du Togo : Décret N°2020-007 du 26 juin 2020 relative à l’alimentation scolaire, 2020</w:t>
      </w:r>
      <w:r w:rsidR="006A5849">
        <w:rPr>
          <w:color w:val="000000" w:themeColor="text1"/>
          <w:sz w:val="22"/>
          <w:szCs w:val="22"/>
        </w:rPr>
        <w:t>. Repérable au :</w:t>
      </w:r>
      <w:r w:rsidR="006A5849" w:rsidRPr="006A5849">
        <w:t xml:space="preserve"> </w:t>
      </w:r>
      <w:hyperlink r:id="rId9" w:history="1">
        <w:r w:rsidR="006A5849" w:rsidRPr="0087269E">
          <w:rPr>
            <w:rStyle w:val="Hyperlien"/>
            <w:sz w:val="22"/>
            <w:szCs w:val="22"/>
          </w:rPr>
          <w:t>https://jo.gouv.tg/sites/default/files/JO/JOS_26_06_2020%20-%2065%20E%20ANNEE%20N%C2%B021.pdf</w:t>
        </w:r>
      </w:hyperlink>
    </w:p>
    <w:p w14:paraId="189E9734" w14:textId="758134F5" w:rsidR="00892619" w:rsidRPr="006A5849" w:rsidRDefault="00892619" w:rsidP="0033460B">
      <w:pPr>
        <w:pStyle w:val="NormalWeb"/>
        <w:numPr>
          <w:ilvl w:val="0"/>
          <w:numId w:val="6"/>
        </w:numPr>
        <w:rPr>
          <w:color w:val="000000" w:themeColor="text1"/>
          <w:sz w:val="22"/>
          <w:szCs w:val="22"/>
        </w:rPr>
      </w:pPr>
      <w:r w:rsidRPr="006A5849">
        <w:rPr>
          <w:color w:val="000000" w:themeColor="text1"/>
          <w:sz w:val="22"/>
          <w:szCs w:val="22"/>
        </w:rPr>
        <w:t>Ministère de l’Éducation Nationale, de l’Enseignement Technique et de la Formation Professionnelle de Côte d’ivoire, Direction des cantines scolaires : Politique Nationale d’Alimentation Scolaire (PNAS) 2018-2025.</w:t>
      </w:r>
    </w:p>
    <w:p w14:paraId="171B7013" w14:textId="77777777" w:rsidR="00892619" w:rsidRPr="00DD4902" w:rsidRDefault="00892619" w:rsidP="0033460B">
      <w:pPr>
        <w:pStyle w:val="NormalWeb"/>
        <w:numPr>
          <w:ilvl w:val="0"/>
          <w:numId w:val="6"/>
        </w:numPr>
        <w:rPr>
          <w:color w:val="000000" w:themeColor="text1"/>
          <w:sz w:val="22"/>
          <w:szCs w:val="22"/>
        </w:rPr>
      </w:pPr>
      <w:r w:rsidRPr="00DD4902">
        <w:rPr>
          <w:color w:val="000000" w:themeColor="text1"/>
          <w:sz w:val="22"/>
          <w:szCs w:val="22"/>
        </w:rPr>
        <w:t>Présidence de la République du Burkina Faso : Stratégie Nationale d’Alimentation et de Nutrition Scolaires (SNANS) au Burkina Faso 2021-2025</w:t>
      </w:r>
    </w:p>
    <w:p w14:paraId="12A735A3" w14:textId="77777777" w:rsidR="00892619" w:rsidRPr="00DD4902" w:rsidRDefault="00892619" w:rsidP="0033460B">
      <w:pPr>
        <w:pStyle w:val="NormalWeb"/>
        <w:numPr>
          <w:ilvl w:val="0"/>
          <w:numId w:val="6"/>
        </w:numPr>
        <w:rPr>
          <w:color w:val="000000" w:themeColor="text1"/>
          <w:sz w:val="22"/>
          <w:szCs w:val="22"/>
        </w:rPr>
      </w:pPr>
      <w:r w:rsidRPr="00DD4902">
        <w:rPr>
          <w:color w:val="000000" w:themeColor="text1"/>
          <w:sz w:val="22"/>
          <w:szCs w:val="22"/>
        </w:rPr>
        <w:t xml:space="preserve">Ministère des enseignements maternel et primaire du Bénin et Direction de l’Alimentation scolaire : Document de politique nationale de l’alimentation scolaire, 2014 </w:t>
      </w:r>
    </w:p>
    <w:p w14:paraId="33C1728D" w14:textId="77777777" w:rsidR="00892619" w:rsidRPr="00DD4902" w:rsidRDefault="00892619" w:rsidP="0033460B">
      <w:pPr>
        <w:pStyle w:val="NormalWeb"/>
        <w:numPr>
          <w:ilvl w:val="0"/>
          <w:numId w:val="6"/>
        </w:numPr>
        <w:rPr>
          <w:color w:val="000000" w:themeColor="text1"/>
          <w:sz w:val="22"/>
          <w:szCs w:val="22"/>
        </w:rPr>
      </w:pPr>
      <w:r w:rsidRPr="00DD4902">
        <w:rPr>
          <w:color w:val="000000" w:themeColor="text1"/>
          <w:sz w:val="22"/>
          <w:szCs w:val="22"/>
        </w:rPr>
        <w:t xml:space="preserve"> Ministère des enseignements maternel et primaire du Bénin et Direction de l’Alimentation scolaire : Programme National d’Alimentation Scolaire Intégré, 2017</w:t>
      </w:r>
    </w:p>
    <w:p w14:paraId="60872619" w14:textId="21822AFB" w:rsidR="0033460B" w:rsidRDefault="00892619" w:rsidP="0033460B">
      <w:pPr>
        <w:pStyle w:val="NormalWeb"/>
        <w:numPr>
          <w:ilvl w:val="0"/>
          <w:numId w:val="6"/>
        </w:numPr>
        <w:rPr>
          <w:color w:val="000000" w:themeColor="text1"/>
          <w:sz w:val="22"/>
          <w:szCs w:val="22"/>
        </w:rPr>
      </w:pPr>
      <w:r w:rsidRPr="00DD4902">
        <w:rPr>
          <w:color w:val="000000" w:themeColor="text1"/>
          <w:sz w:val="22"/>
          <w:szCs w:val="22"/>
        </w:rPr>
        <w:t>Premier Ministre- Burkina Faso : Arrêté N° 2017-002 PM/CAB du 13 janvier 2017 portant achat des produits alimentaires locaux par les structures Étatiques dans le cadre de leur approvisionnement</w:t>
      </w:r>
      <w:r w:rsidR="0033460B">
        <w:rPr>
          <w:color w:val="000000" w:themeColor="text1"/>
          <w:sz w:val="22"/>
          <w:szCs w:val="22"/>
        </w:rPr>
        <w:t>.</w:t>
      </w:r>
      <w:r w:rsidRPr="00DD4902">
        <w:rPr>
          <w:color w:val="000000" w:themeColor="text1"/>
          <w:sz w:val="22"/>
          <w:szCs w:val="22"/>
        </w:rPr>
        <w:t xml:space="preserve"> </w:t>
      </w:r>
    </w:p>
    <w:p w14:paraId="01BBFF40" w14:textId="3A3F9AF7" w:rsidR="00892619" w:rsidRPr="0033460B" w:rsidRDefault="00892619" w:rsidP="0033460B">
      <w:pPr>
        <w:pStyle w:val="NormalWeb"/>
        <w:numPr>
          <w:ilvl w:val="0"/>
          <w:numId w:val="6"/>
        </w:numPr>
        <w:rPr>
          <w:color w:val="000000" w:themeColor="text1"/>
          <w:sz w:val="22"/>
          <w:szCs w:val="22"/>
        </w:rPr>
      </w:pPr>
      <w:r w:rsidRPr="0033460B">
        <w:rPr>
          <w:color w:val="000000" w:themeColor="text1"/>
          <w:sz w:val="22"/>
          <w:szCs w:val="22"/>
        </w:rPr>
        <w:t>Premier Ministre- Burkina Faso : Arrêté N°-----PM/CAB portant modification de l’arrêté N° 2017-002 PM/CAB du 31 janvier 2017 portant achat des produits alimentaires locaux par les structures Étatiques dans le cadre de leur approvisionnement</w:t>
      </w:r>
      <w:r w:rsidR="0033460B">
        <w:rPr>
          <w:color w:val="000000" w:themeColor="text1"/>
          <w:sz w:val="22"/>
          <w:szCs w:val="22"/>
        </w:rPr>
        <w:t>. Repérable au :</w:t>
      </w:r>
      <w:r w:rsidR="0033460B" w:rsidRPr="0033460B">
        <w:t xml:space="preserve"> </w:t>
      </w:r>
      <w:hyperlink r:id="rId10" w:history="1">
        <w:r w:rsidR="0033460B" w:rsidRPr="0087269E">
          <w:rPr>
            <w:rStyle w:val="Hyperlien"/>
            <w:sz w:val="22"/>
            <w:szCs w:val="22"/>
          </w:rPr>
          <w:t>https://faolex.fao.org/docs/pdf/bkf198240.pdf</w:t>
        </w:r>
      </w:hyperlink>
      <w:r w:rsidRPr="0033460B">
        <w:rPr>
          <w:color w:val="000000" w:themeColor="text1"/>
          <w:sz w:val="22"/>
          <w:szCs w:val="22"/>
        </w:rPr>
        <w:t xml:space="preserve"> </w:t>
      </w:r>
    </w:p>
    <w:p w14:paraId="243BE9AE" w14:textId="77777777" w:rsidR="00892619" w:rsidRPr="00DD4902" w:rsidRDefault="00892619" w:rsidP="0033460B">
      <w:pPr>
        <w:pStyle w:val="Paragraphedeliste"/>
        <w:numPr>
          <w:ilvl w:val="0"/>
          <w:numId w:val="6"/>
        </w:numPr>
        <w:rPr>
          <w:color w:val="000000" w:themeColor="text1"/>
          <w:sz w:val="22"/>
          <w:szCs w:val="22"/>
        </w:rPr>
      </w:pPr>
      <w:r w:rsidRPr="00DD4902">
        <w:rPr>
          <w:color w:val="000000" w:themeColor="text1"/>
          <w:sz w:val="22"/>
          <w:szCs w:val="22"/>
        </w:rPr>
        <w:lastRenderedPageBreak/>
        <w:t>Autorité de régulation de la commande publique (ARCOP)- Burkina Faso : Circulaire du N° 2021-027 /ARCOP /CR du 06 octobre 2021 portant promotion de la consommation des produits locaux en application des deux arrêtés.</w:t>
      </w:r>
    </w:p>
    <w:p w14:paraId="2980913B" w14:textId="5DACCC21" w:rsidR="00892619" w:rsidRPr="00DD4902" w:rsidRDefault="00892619" w:rsidP="0033460B">
      <w:pPr>
        <w:pStyle w:val="Paragraphedeliste"/>
        <w:numPr>
          <w:ilvl w:val="0"/>
          <w:numId w:val="6"/>
        </w:numPr>
        <w:rPr>
          <w:color w:val="000000" w:themeColor="text1"/>
          <w:sz w:val="22"/>
          <w:szCs w:val="22"/>
        </w:rPr>
      </w:pPr>
      <w:r w:rsidRPr="00DD4902">
        <w:rPr>
          <w:color w:val="000000" w:themeColor="text1"/>
          <w:sz w:val="22"/>
          <w:szCs w:val="22"/>
        </w:rPr>
        <w:t>Ministère de la Santé – Burkina Faso : Plan Stratégique Multisectoriel de la nutrition 2020-2024</w:t>
      </w:r>
    </w:p>
    <w:p w14:paraId="49200486" w14:textId="73FB52AF" w:rsidR="00D11917" w:rsidRPr="00DD4902" w:rsidRDefault="00D11917" w:rsidP="0033460B">
      <w:pPr>
        <w:pStyle w:val="Paragraphedeliste"/>
        <w:numPr>
          <w:ilvl w:val="0"/>
          <w:numId w:val="6"/>
        </w:numPr>
        <w:rPr>
          <w:color w:val="000000" w:themeColor="text1"/>
          <w:sz w:val="22"/>
          <w:szCs w:val="22"/>
        </w:rPr>
      </w:pPr>
      <w:r w:rsidRPr="00DD4902">
        <w:rPr>
          <w:color w:val="000000" w:themeColor="text1"/>
          <w:sz w:val="22"/>
          <w:szCs w:val="22"/>
        </w:rPr>
        <w:t>Ministère de l’Hydraulique et de l’assainissement du Sénégal : Lettre de Politique Sectorielle de Développement 2016-2025</w:t>
      </w:r>
    </w:p>
    <w:p w14:paraId="2B315DDC" w14:textId="5E8F1A26" w:rsidR="002230DC" w:rsidRDefault="00892619" w:rsidP="002230DC">
      <w:pPr>
        <w:pStyle w:val="NormalWeb"/>
        <w:numPr>
          <w:ilvl w:val="0"/>
          <w:numId w:val="6"/>
        </w:numPr>
        <w:rPr>
          <w:color w:val="000000" w:themeColor="text1"/>
          <w:sz w:val="22"/>
          <w:szCs w:val="22"/>
        </w:rPr>
      </w:pPr>
      <w:r w:rsidRPr="00DD4902">
        <w:rPr>
          <w:color w:val="000000" w:themeColor="text1"/>
          <w:sz w:val="22"/>
          <w:szCs w:val="22"/>
        </w:rPr>
        <w:t>Présidence de la République du Bénin. Décret N° 2009-245 du 09 Juin 2009 portant création, attributions, organisation et fonctionnement du Conseil National de l’Alimentation et de la Nutrition. 2009.</w:t>
      </w:r>
      <w:r w:rsidR="002230DC">
        <w:rPr>
          <w:color w:val="000000" w:themeColor="text1"/>
          <w:sz w:val="22"/>
          <w:szCs w:val="22"/>
        </w:rPr>
        <w:t>Repérable au :</w:t>
      </w:r>
      <w:r w:rsidR="002230DC" w:rsidRPr="002230DC">
        <w:t xml:space="preserve"> </w:t>
      </w:r>
      <w:hyperlink r:id="rId11" w:history="1">
        <w:r w:rsidR="002230DC" w:rsidRPr="0087269E">
          <w:rPr>
            <w:rStyle w:val="Hyperlien"/>
            <w:sz w:val="22"/>
            <w:szCs w:val="22"/>
          </w:rPr>
          <w:t>https://sgg.gouv.bj/pdf/web/viewer.html?file=/doc/decret-2009-245/read</w:t>
        </w:r>
      </w:hyperlink>
    </w:p>
    <w:p w14:paraId="7F690D9F" w14:textId="07677783" w:rsidR="002230DC" w:rsidRDefault="00892619" w:rsidP="002230DC">
      <w:pPr>
        <w:pStyle w:val="NormalWeb"/>
        <w:numPr>
          <w:ilvl w:val="0"/>
          <w:numId w:val="6"/>
        </w:numPr>
        <w:rPr>
          <w:color w:val="000000" w:themeColor="text1"/>
          <w:sz w:val="22"/>
          <w:szCs w:val="22"/>
        </w:rPr>
      </w:pPr>
      <w:r w:rsidRPr="002230DC">
        <w:rPr>
          <w:color w:val="000000" w:themeColor="text1"/>
          <w:sz w:val="22"/>
          <w:szCs w:val="22"/>
        </w:rPr>
        <w:t>Présidence de la République du Burkina Faso : DECRET N° 2008-003/PRES/PM/MS/MAHRH/MASSN/ MEF du 10 janvier 2007 portent création, attributions, composition, organisation et fonctionnement du conseil national de concertation en nutrition (CNCN).</w:t>
      </w:r>
      <w:r w:rsidR="002230DC">
        <w:rPr>
          <w:color w:val="000000" w:themeColor="text1"/>
          <w:sz w:val="22"/>
          <w:szCs w:val="22"/>
        </w:rPr>
        <w:t xml:space="preserve">Repérable au : </w:t>
      </w:r>
      <w:hyperlink r:id="rId12" w:history="1">
        <w:r w:rsidR="002230DC" w:rsidRPr="0087269E">
          <w:rPr>
            <w:rStyle w:val="Hyperlien"/>
            <w:sz w:val="22"/>
            <w:szCs w:val="22"/>
          </w:rPr>
          <w:t>https://www.fao.org/faolex/results/details/fr/c/LEX-FAOC078701/</w:t>
        </w:r>
      </w:hyperlink>
    </w:p>
    <w:p w14:paraId="2EAAC80F" w14:textId="643C7BDF" w:rsidR="00892619" w:rsidRPr="002230DC" w:rsidRDefault="00892619" w:rsidP="002230DC">
      <w:pPr>
        <w:pStyle w:val="NormalWeb"/>
        <w:numPr>
          <w:ilvl w:val="0"/>
          <w:numId w:val="6"/>
        </w:numPr>
        <w:rPr>
          <w:color w:val="000000" w:themeColor="text1"/>
          <w:sz w:val="22"/>
          <w:szCs w:val="22"/>
        </w:rPr>
      </w:pPr>
      <w:r w:rsidRPr="002230DC">
        <w:rPr>
          <w:color w:val="000000" w:themeColor="text1"/>
          <w:sz w:val="22"/>
          <w:szCs w:val="22"/>
        </w:rPr>
        <w:t>Présidence de la République du Burkina Faso : Décret N° 2021 -0929/PRES/PM/MINEFID/MS/MESRSI/MAAHM/MRAH portant création, attribution, organisation et fonctionnement du Conseil National pour la Nutrition (CNaN)</w:t>
      </w:r>
    </w:p>
    <w:p w14:paraId="68C9B380" w14:textId="77777777" w:rsidR="00892619" w:rsidRPr="00DD4902" w:rsidRDefault="00892619" w:rsidP="0033460B">
      <w:pPr>
        <w:pStyle w:val="NormalWeb"/>
        <w:numPr>
          <w:ilvl w:val="0"/>
          <w:numId w:val="6"/>
        </w:numPr>
        <w:rPr>
          <w:color w:val="000000" w:themeColor="text1"/>
          <w:sz w:val="22"/>
          <w:szCs w:val="22"/>
        </w:rPr>
      </w:pPr>
      <w:r w:rsidRPr="00DD4902">
        <w:rPr>
          <w:color w:val="000000" w:themeColor="text1"/>
          <w:sz w:val="22"/>
          <w:szCs w:val="22"/>
        </w:rPr>
        <w:t xml:space="preserve">Ministère de la santé et de l’Hygiène Publique – BKF : Arrêté N°2023 /MSHP/CAB portant attribution, organisation et fonctionnement du Secrétariat Technique chargé de la Multisectorialité de la nutrition (ST/Nut) </w:t>
      </w:r>
    </w:p>
    <w:p w14:paraId="32A7F983" w14:textId="303432E9" w:rsidR="002230DC" w:rsidRDefault="00892619" w:rsidP="002230DC">
      <w:pPr>
        <w:pStyle w:val="NormalWeb"/>
        <w:numPr>
          <w:ilvl w:val="0"/>
          <w:numId w:val="6"/>
        </w:numPr>
        <w:rPr>
          <w:color w:val="000000" w:themeColor="text1"/>
          <w:sz w:val="22"/>
          <w:szCs w:val="22"/>
        </w:rPr>
      </w:pPr>
      <w:r w:rsidRPr="00DD4902">
        <w:rPr>
          <w:color w:val="000000" w:themeColor="text1"/>
          <w:sz w:val="22"/>
          <w:szCs w:val="22"/>
        </w:rPr>
        <w:t>Présidence de la République de Côte d’Ivoire : Décret N°2014-433 du 16 juillet 2014 portant création, attribution, organisation et fonctionnement du Conseil National de la Nutrition (CNN), 2014</w:t>
      </w:r>
      <w:r w:rsidR="002230DC">
        <w:rPr>
          <w:color w:val="000000" w:themeColor="text1"/>
          <w:sz w:val="22"/>
          <w:szCs w:val="22"/>
        </w:rPr>
        <w:t>. Repérable au :</w:t>
      </w:r>
      <w:r w:rsidR="002230DC" w:rsidRPr="002230DC">
        <w:t xml:space="preserve"> </w:t>
      </w:r>
      <w:hyperlink r:id="rId13" w:history="1">
        <w:r w:rsidR="002230DC" w:rsidRPr="0087269E">
          <w:rPr>
            <w:rStyle w:val="Hyperlien"/>
            <w:sz w:val="22"/>
            <w:szCs w:val="22"/>
          </w:rPr>
          <w:t>https://www.pnmin.gouv.ci/fichier/doc/DECRET_SUN.pdf</w:t>
        </w:r>
      </w:hyperlink>
    </w:p>
    <w:p w14:paraId="758AD617" w14:textId="30F1431A" w:rsidR="00892619" w:rsidRPr="002230DC" w:rsidRDefault="00892619" w:rsidP="002230DC">
      <w:pPr>
        <w:pStyle w:val="NormalWeb"/>
        <w:numPr>
          <w:ilvl w:val="0"/>
          <w:numId w:val="6"/>
        </w:numPr>
        <w:rPr>
          <w:color w:val="000000" w:themeColor="text1"/>
          <w:sz w:val="22"/>
          <w:szCs w:val="22"/>
        </w:rPr>
      </w:pPr>
      <w:r w:rsidRPr="002230DC">
        <w:rPr>
          <w:color w:val="000000" w:themeColor="text1"/>
          <w:sz w:val="22"/>
          <w:szCs w:val="22"/>
        </w:rPr>
        <w:t>Présidence de la République de Côte d’Ivoire : Décret N°2019-569 du 26 juin 2019 portant création, attribution, organisation et fonctionnement du Conseil National pour la Nutrition, l’Alimentation et le Développement de la Petite Enfance (CONNAPE), 2019</w:t>
      </w:r>
    </w:p>
    <w:p w14:paraId="6A442CBC" w14:textId="77777777" w:rsidR="00892619" w:rsidRPr="00DD4902" w:rsidRDefault="00892619" w:rsidP="0033460B">
      <w:pPr>
        <w:pStyle w:val="Paragraphedeliste"/>
        <w:numPr>
          <w:ilvl w:val="0"/>
          <w:numId w:val="6"/>
        </w:numPr>
        <w:spacing w:before="100" w:beforeAutospacing="1" w:after="100" w:afterAutospacing="1"/>
        <w:rPr>
          <w:color w:val="000000" w:themeColor="text1"/>
          <w:sz w:val="22"/>
          <w:szCs w:val="22"/>
        </w:rPr>
      </w:pPr>
      <w:r w:rsidRPr="00DD4902">
        <w:rPr>
          <w:color w:val="000000" w:themeColor="text1"/>
          <w:sz w:val="22"/>
          <w:szCs w:val="22"/>
        </w:rPr>
        <w:t>Présidence de la République du Sénégal : Décret N°2001- 770 du 05 octobre 2001 relative à la Cellule de lutte contre la malnutrition (CLM), 2001</w:t>
      </w:r>
    </w:p>
    <w:p w14:paraId="54751637" w14:textId="77777777" w:rsidR="00892619" w:rsidRPr="00DD4902" w:rsidRDefault="00892619" w:rsidP="0033460B">
      <w:pPr>
        <w:pStyle w:val="Paragraphedeliste"/>
        <w:numPr>
          <w:ilvl w:val="0"/>
          <w:numId w:val="6"/>
        </w:numPr>
        <w:spacing w:before="100" w:beforeAutospacing="1" w:after="100" w:afterAutospacing="1"/>
        <w:rPr>
          <w:color w:val="000000" w:themeColor="text1"/>
          <w:sz w:val="22"/>
          <w:szCs w:val="22"/>
        </w:rPr>
      </w:pPr>
      <w:r w:rsidRPr="00DD4902">
        <w:rPr>
          <w:color w:val="000000" w:themeColor="text1"/>
          <w:sz w:val="22"/>
          <w:szCs w:val="22"/>
        </w:rPr>
        <w:t>Présidence de la République du Sénégal : Décret N°2020-1802 portant création et fixant les règles d’organisation et de fonctionnement du Conseil National de Développement de la Nutrition, 2020</w:t>
      </w:r>
    </w:p>
    <w:p w14:paraId="1BC45681" w14:textId="7479292B" w:rsidR="00246844" w:rsidRDefault="002230DC" w:rsidP="002230DC">
      <w:pPr>
        <w:pStyle w:val="Paragraphedeliste"/>
        <w:numPr>
          <w:ilvl w:val="0"/>
          <w:numId w:val="6"/>
        </w:numPr>
        <w:spacing w:before="100" w:beforeAutospacing="1" w:after="100" w:afterAutospacing="1"/>
        <w:jc w:val="both"/>
        <w:rPr>
          <w:color w:val="000000" w:themeColor="text1"/>
          <w:sz w:val="22"/>
          <w:szCs w:val="22"/>
        </w:rPr>
      </w:pPr>
      <w:r w:rsidRPr="00CD53FA">
        <w:rPr>
          <w:color w:val="000000" w:themeColor="text1"/>
          <w:sz w:val="22"/>
          <w:szCs w:val="22"/>
        </w:rPr>
        <w:t>République Togolaise : Arrêté interministériel N°0023/2017/MPD/MSPS /MAEH/MASPFA portant création, attribution, composition et fonctionnement d’une</w:t>
      </w:r>
      <w:r w:rsidRPr="00CD53FA">
        <w:rPr>
          <w:b/>
          <w:bCs/>
          <w:color w:val="000000" w:themeColor="text1"/>
          <w:sz w:val="22"/>
          <w:szCs w:val="22"/>
        </w:rPr>
        <w:t xml:space="preserve"> Task Force</w:t>
      </w:r>
      <w:r w:rsidRPr="00CD53FA">
        <w:rPr>
          <w:color w:val="000000" w:themeColor="text1"/>
          <w:sz w:val="22"/>
          <w:szCs w:val="22"/>
        </w:rPr>
        <w:t xml:space="preserve"> multisectorielle pour le renforcement de la nutrition au Togo</w:t>
      </w:r>
      <w:r>
        <w:rPr>
          <w:color w:val="000000" w:themeColor="text1"/>
          <w:sz w:val="22"/>
          <w:szCs w:val="22"/>
        </w:rPr>
        <w:t xml:space="preserve">. </w:t>
      </w:r>
    </w:p>
    <w:p w14:paraId="672D4896" w14:textId="3521E1A2" w:rsidR="00F66161" w:rsidRPr="00617C9B" w:rsidRDefault="00F66161" w:rsidP="00F66161">
      <w:pPr>
        <w:pStyle w:val="Paragraphedeliste"/>
        <w:numPr>
          <w:ilvl w:val="0"/>
          <w:numId w:val="6"/>
        </w:numPr>
        <w:spacing w:before="100" w:beforeAutospacing="1" w:after="100" w:afterAutospacing="1"/>
        <w:jc w:val="both"/>
        <w:rPr>
          <w:sz w:val="22"/>
          <w:szCs w:val="22"/>
        </w:rPr>
      </w:pPr>
      <w:r w:rsidRPr="00F10562">
        <w:rPr>
          <w:b/>
          <w:bCs/>
          <w:sz w:val="22"/>
          <w:szCs w:val="22"/>
        </w:rPr>
        <w:t>Pr</w:t>
      </w:r>
      <w:r>
        <w:rPr>
          <w:b/>
          <w:bCs/>
          <w:sz w:val="22"/>
          <w:szCs w:val="22"/>
        </w:rPr>
        <w:t>emier Ministre-</w:t>
      </w:r>
      <w:r w:rsidRPr="00F10562">
        <w:rPr>
          <w:b/>
          <w:bCs/>
          <w:sz w:val="22"/>
          <w:szCs w:val="22"/>
        </w:rPr>
        <w:t xml:space="preserve"> de la République de Côte d’Ivoire : </w:t>
      </w:r>
      <w:r>
        <w:rPr>
          <w:b/>
          <w:bCs/>
          <w:sz w:val="22"/>
          <w:szCs w:val="22"/>
        </w:rPr>
        <w:t xml:space="preserve">Arrêté </w:t>
      </w:r>
      <w:r w:rsidRPr="00F10562">
        <w:rPr>
          <w:sz w:val="22"/>
          <w:szCs w:val="22"/>
        </w:rPr>
        <w:t>N°</w:t>
      </w:r>
      <w:r>
        <w:rPr>
          <w:sz w:val="22"/>
          <w:szCs w:val="22"/>
        </w:rPr>
        <w:t>506/PM/CAB</w:t>
      </w:r>
      <w:r w:rsidRPr="00F10562">
        <w:rPr>
          <w:sz w:val="22"/>
          <w:szCs w:val="22"/>
        </w:rPr>
        <w:t xml:space="preserve"> du 2</w:t>
      </w:r>
      <w:r>
        <w:rPr>
          <w:sz w:val="22"/>
          <w:szCs w:val="22"/>
        </w:rPr>
        <w:t>1 SEPTEMBRE 2018</w:t>
      </w:r>
      <w:r w:rsidRPr="00F10562">
        <w:rPr>
          <w:sz w:val="22"/>
          <w:szCs w:val="22"/>
        </w:rPr>
        <w:t xml:space="preserve"> portant création, attribution, organisation et fonctionnement d</w:t>
      </w:r>
      <w:r>
        <w:rPr>
          <w:sz w:val="22"/>
          <w:szCs w:val="22"/>
        </w:rPr>
        <w:t xml:space="preserve">e l’Unité de gestion du projet de mise en place d’une Plateforme Nationale Multisectorielle d’Information pour la Nutrition, </w:t>
      </w:r>
      <w:r w:rsidRPr="00F10562">
        <w:rPr>
          <w:sz w:val="22"/>
          <w:szCs w:val="22"/>
        </w:rPr>
        <w:t>2018</w:t>
      </w:r>
      <w:r w:rsidR="00617C9B">
        <w:rPr>
          <w:sz w:val="22"/>
          <w:szCs w:val="22"/>
        </w:rPr>
        <w:t>.</w:t>
      </w:r>
    </w:p>
    <w:sectPr w:rsidR="00F66161" w:rsidRPr="00617C9B">
      <w:footerReference w:type="even" r:id="rId14"/>
      <w:footerReference w:type="defaul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13B43" w14:textId="77777777" w:rsidR="005E5088" w:rsidRDefault="005E5088" w:rsidP="006C0B96">
      <w:r>
        <w:separator/>
      </w:r>
    </w:p>
  </w:endnote>
  <w:endnote w:type="continuationSeparator" w:id="0">
    <w:p w14:paraId="4909E6C0" w14:textId="77777777" w:rsidR="005E5088" w:rsidRDefault="005E5088" w:rsidP="006C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52382224"/>
      <w:docPartObj>
        <w:docPartGallery w:val="Page Numbers (Bottom of Page)"/>
        <w:docPartUnique/>
      </w:docPartObj>
    </w:sdtPr>
    <w:sdtContent>
      <w:p w14:paraId="2F3519D6" w14:textId="0DCA44D8" w:rsidR="006C0B96" w:rsidRDefault="006C0B96" w:rsidP="00AC19C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6D17C0" w14:textId="77777777" w:rsidR="006C0B96" w:rsidRDefault="006C0B96" w:rsidP="006C0B9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74771562"/>
      <w:docPartObj>
        <w:docPartGallery w:val="Page Numbers (Bottom of Page)"/>
        <w:docPartUnique/>
      </w:docPartObj>
    </w:sdtPr>
    <w:sdtContent>
      <w:p w14:paraId="1C1EB446" w14:textId="0A776BD5" w:rsidR="006C0B96" w:rsidRDefault="006C0B96" w:rsidP="00AC19C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EE757C3" w14:textId="77777777" w:rsidR="006C0B96" w:rsidRDefault="006C0B96" w:rsidP="006C0B9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92CA6" w14:textId="77777777" w:rsidR="005E5088" w:rsidRDefault="005E5088" w:rsidP="006C0B96">
      <w:r>
        <w:separator/>
      </w:r>
    </w:p>
  </w:footnote>
  <w:footnote w:type="continuationSeparator" w:id="0">
    <w:p w14:paraId="1A940B35" w14:textId="77777777" w:rsidR="005E5088" w:rsidRDefault="005E5088" w:rsidP="006C0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13D0"/>
    <w:multiLevelType w:val="hybridMultilevel"/>
    <w:tmpl w:val="8ED4D1A2"/>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DFC1C79"/>
    <w:multiLevelType w:val="multilevel"/>
    <w:tmpl w:val="6C6245BA"/>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13BF4B65"/>
    <w:multiLevelType w:val="hybridMultilevel"/>
    <w:tmpl w:val="84042080"/>
    <w:lvl w:ilvl="0" w:tplc="0EE4B47C">
      <w:start w:val="1"/>
      <w:numFmt w:val="decimal"/>
      <w:lvlText w:val="%1."/>
      <w:lvlJc w:val="left"/>
      <w:pPr>
        <w:ind w:left="360" w:hanging="36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40FE1D7C"/>
    <w:multiLevelType w:val="hybridMultilevel"/>
    <w:tmpl w:val="493A9F86"/>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4A1B28B3"/>
    <w:multiLevelType w:val="hybridMultilevel"/>
    <w:tmpl w:val="FEB4DA9C"/>
    <w:lvl w:ilvl="0" w:tplc="378EC0AC">
      <w:start w:val="1"/>
      <w:numFmt w:val="bullet"/>
      <w:lvlText w:val=""/>
      <w:lvlJc w:val="left"/>
      <w:pPr>
        <w:ind w:left="360" w:hanging="360"/>
      </w:pPr>
      <w:rPr>
        <w:rFonts w:ascii="Wingdings" w:hAnsi="Wingdings" w:hint="default"/>
        <w:color w:val="000000" w:themeColor="text1"/>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7B2D3FD3"/>
    <w:multiLevelType w:val="hybridMultilevel"/>
    <w:tmpl w:val="E13A306A"/>
    <w:lvl w:ilvl="0" w:tplc="B0B48888">
      <w:start w:val="1"/>
      <w:numFmt w:val="bullet"/>
      <w:lvlText w:val=""/>
      <w:lvlJc w:val="left"/>
      <w:pPr>
        <w:ind w:left="360" w:hanging="360"/>
      </w:pPr>
      <w:rPr>
        <w:rFonts w:ascii="Wingdings" w:hAnsi="Wingdings" w:hint="default"/>
        <w:color w:val="000000" w:themeColor="text1"/>
        <w:sz w:val="24"/>
        <w:szCs w:val="24"/>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243299383">
    <w:abstractNumId w:val="1"/>
  </w:num>
  <w:num w:numId="2" w16cid:durableId="1226184597">
    <w:abstractNumId w:val="4"/>
  </w:num>
  <w:num w:numId="3" w16cid:durableId="42221252">
    <w:abstractNumId w:val="5"/>
  </w:num>
  <w:num w:numId="4" w16cid:durableId="848761130">
    <w:abstractNumId w:val="0"/>
  </w:num>
  <w:num w:numId="5" w16cid:durableId="803044816">
    <w:abstractNumId w:val="3"/>
  </w:num>
  <w:num w:numId="6" w16cid:durableId="1181043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35"/>
    <w:rsid w:val="0000331A"/>
    <w:rsid w:val="00004377"/>
    <w:rsid w:val="000045B4"/>
    <w:rsid w:val="00006EE4"/>
    <w:rsid w:val="0001056F"/>
    <w:rsid w:val="000122EB"/>
    <w:rsid w:val="00021B5F"/>
    <w:rsid w:val="00025952"/>
    <w:rsid w:val="000313A9"/>
    <w:rsid w:val="0003225D"/>
    <w:rsid w:val="00035443"/>
    <w:rsid w:val="000416C9"/>
    <w:rsid w:val="00042067"/>
    <w:rsid w:val="00045879"/>
    <w:rsid w:val="000465BB"/>
    <w:rsid w:val="000541D9"/>
    <w:rsid w:val="000614A8"/>
    <w:rsid w:val="00061F9B"/>
    <w:rsid w:val="00065814"/>
    <w:rsid w:val="00070091"/>
    <w:rsid w:val="000723BE"/>
    <w:rsid w:val="00077EDA"/>
    <w:rsid w:val="000804D3"/>
    <w:rsid w:val="00081CEE"/>
    <w:rsid w:val="0009030B"/>
    <w:rsid w:val="00091E1D"/>
    <w:rsid w:val="00092E77"/>
    <w:rsid w:val="0009382D"/>
    <w:rsid w:val="000A0654"/>
    <w:rsid w:val="000A2035"/>
    <w:rsid w:val="000A2927"/>
    <w:rsid w:val="000A6786"/>
    <w:rsid w:val="000B11CC"/>
    <w:rsid w:val="000B4B96"/>
    <w:rsid w:val="000B65A6"/>
    <w:rsid w:val="000B7D16"/>
    <w:rsid w:val="000C29A6"/>
    <w:rsid w:val="000C3F1A"/>
    <w:rsid w:val="000C4FFD"/>
    <w:rsid w:val="000D2410"/>
    <w:rsid w:val="000D37ED"/>
    <w:rsid w:val="000D4555"/>
    <w:rsid w:val="000D5B78"/>
    <w:rsid w:val="000D5F50"/>
    <w:rsid w:val="000D765B"/>
    <w:rsid w:val="000D7860"/>
    <w:rsid w:val="000E0A01"/>
    <w:rsid w:val="000E3400"/>
    <w:rsid w:val="000E6FF8"/>
    <w:rsid w:val="000F18EC"/>
    <w:rsid w:val="000F53F2"/>
    <w:rsid w:val="000F5CDB"/>
    <w:rsid w:val="001017DB"/>
    <w:rsid w:val="001033F6"/>
    <w:rsid w:val="0011235E"/>
    <w:rsid w:val="001160B6"/>
    <w:rsid w:val="001255AF"/>
    <w:rsid w:val="0013070E"/>
    <w:rsid w:val="00133FF8"/>
    <w:rsid w:val="0014063C"/>
    <w:rsid w:val="00144A76"/>
    <w:rsid w:val="00145D65"/>
    <w:rsid w:val="001534BE"/>
    <w:rsid w:val="00153A5F"/>
    <w:rsid w:val="001557DC"/>
    <w:rsid w:val="00161592"/>
    <w:rsid w:val="00161D5E"/>
    <w:rsid w:val="0016645E"/>
    <w:rsid w:val="00166848"/>
    <w:rsid w:val="001712FE"/>
    <w:rsid w:val="00172FE1"/>
    <w:rsid w:val="00173F05"/>
    <w:rsid w:val="00174741"/>
    <w:rsid w:val="00175124"/>
    <w:rsid w:val="0017566F"/>
    <w:rsid w:val="00176D42"/>
    <w:rsid w:val="00180870"/>
    <w:rsid w:val="00182211"/>
    <w:rsid w:val="00182CBC"/>
    <w:rsid w:val="001872EA"/>
    <w:rsid w:val="00194249"/>
    <w:rsid w:val="001A2837"/>
    <w:rsid w:val="001A2D83"/>
    <w:rsid w:val="001B0AC8"/>
    <w:rsid w:val="001B0C32"/>
    <w:rsid w:val="001B1197"/>
    <w:rsid w:val="001B3198"/>
    <w:rsid w:val="001B71DE"/>
    <w:rsid w:val="001C0FFB"/>
    <w:rsid w:val="001D1CE3"/>
    <w:rsid w:val="001E091A"/>
    <w:rsid w:val="001E11AE"/>
    <w:rsid w:val="001E2ED8"/>
    <w:rsid w:val="001E3484"/>
    <w:rsid w:val="001F038F"/>
    <w:rsid w:val="001F3484"/>
    <w:rsid w:val="001F676A"/>
    <w:rsid w:val="002034D5"/>
    <w:rsid w:val="00203B47"/>
    <w:rsid w:val="00207E4B"/>
    <w:rsid w:val="0021128C"/>
    <w:rsid w:val="00212FB6"/>
    <w:rsid w:val="00214DDB"/>
    <w:rsid w:val="002165E5"/>
    <w:rsid w:val="0021666A"/>
    <w:rsid w:val="00216DB8"/>
    <w:rsid w:val="002230DC"/>
    <w:rsid w:val="002302DB"/>
    <w:rsid w:val="00230788"/>
    <w:rsid w:val="00230FF3"/>
    <w:rsid w:val="00232214"/>
    <w:rsid w:val="002365FC"/>
    <w:rsid w:val="00240FE7"/>
    <w:rsid w:val="00243FF2"/>
    <w:rsid w:val="00246844"/>
    <w:rsid w:val="00251971"/>
    <w:rsid w:val="00276C7C"/>
    <w:rsid w:val="00282D6A"/>
    <w:rsid w:val="00283F0F"/>
    <w:rsid w:val="00286D71"/>
    <w:rsid w:val="002A6085"/>
    <w:rsid w:val="002B2B96"/>
    <w:rsid w:val="002B582E"/>
    <w:rsid w:val="002B5AA2"/>
    <w:rsid w:val="002B659F"/>
    <w:rsid w:val="002C2963"/>
    <w:rsid w:val="002C3017"/>
    <w:rsid w:val="002C3E80"/>
    <w:rsid w:val="002C478C"/>
    <w:rsid w:val="002C5AAC"/>
    <w:rsid w:val="002D2203"/>
    <w:rsid w:val="002D2DEA"/>
    <w:rsid w:val="002D395C"/>
    <w:rsid w:val="002D3AB3"/>
    <w:rsid w:val="002E11D0"/>
    <w:rsid w:val="002E1BEF"/>
    <w:rsid w:val="002F3C1A"/>
    <w:rsid w:val="002F51C5"/>
    <w:rsid w:val="002F6135"/>
    <w:rsid w:val="003004BB"/>
    <w:rsid w:val="00300DBB"/>
    <w:rsid w:val="00303AEC"/>
    <w:rsid w:val="00305FEB"/>
    <w:rsid w:val="00306969"/>
    <w:rsid w:val="00313738"/>
    <w:rsid w:val="00313CA0"/>
    <w:rsid w:val="00314CA3"/>
    <w:rsid w:val="0031704D"/>
    <w:rsid w:val="00321D21"/>
    <w:rsid w:val="00323EB9"/>
    <w:rsid w:val="00324625"/>
    <w:rsid w:val="00325EEA"/>
    <w:rsid w:val="00326009"/>
    <w:rsid w:val="00330FCA"/>
    <w:rsid w:val="00331969"/>
    <w:rsid w:val="0033460B"/>
    <w:rsid w:val="00336A0B"/>
    <w:rsid w:val="00346205"/>
    <w:rsid w:val="00355750"/>
    <w:rsid w:val="0036045D"/>
    <w:rsid w:val="003631DD"/>
    <w:rsid w:val="003632BC"/>
    <w:rsid w:val="00366AD2"/>
    <w:rsid w:val="00371C2A"/>
    <w:rsid w:val="003728A6"/>
    <w:rsid w:val="003753C9"/>
    <w:rsid w:val="00377979"/>
    <w:rsid w:val="00382A37"/>
    <w:rsid w:val="003874CA"/>
    <w:rsid w:val="00390FC3"/>
    <w:rsid w:val="003911EC"/>
    <w:rsid w:val="00391595"/>
    <w:rsid w:val="00396A8E"/>
    <w:rsid w:val="003A0220"/>
    <w:rsid w:val="003A7999"/>
    <w:rsid w:val="003B041C"/>
    <w:rsid w:val="003B1588"/>
    <w:rsid w:val="003B2608"/>
    <w:rsid w:val="003B276D"/>
    <w:rsid w:val="003B4424"/>
    <w:rsid w:val="003B580D"/>
    <w:rsid w:val="003C7784"/>
    <w:rsid w:val="003D09A4"/>
    <w:rsid w:val="003D37A2"/>
    <w:rsid w:val="003D71E1"/>
    <w:rsid w:val="003E5DB2"/>
    <w:rsid w:val="003E6242"/>
    <w:rsid w:val="003F2763"/>
    <w:rsid w:val="003F7A08"/>
    <w:rsid w:val="004077AB"/>
    <w:rsid w:val="00415336"/>
    <w:rsid w:val="00416EF4"/>
    <w:rsid w:val="00416FD0"/>
    <w:rsid w:val="00420F1A"/>
    <w:rsid w:val="00421063"/>
    <w:rsid w:val="00421DB2"/>
    <w:rsid w:val="00422AAF"/>
    <w:rsid w:val="0042388A"/>
    <w:rsid w:val="0042401D"/>
    <w:rsid w:val="00425376"/>
    <w:rsid w:val="00426A03"/>
    <w:rsid w:val="004327CB"/>
    <w:rsid w:val="00433211"/>
    <w:rsid w:val="004332C8"/>
    <w:rsid w:val="00434262"/>
    <w:rsid w:val="004368CC"/>
    <w:rsid w:val="0044424C"/>
    <w:rsid w:val="00444BD6"/>
    <w:rsid w:val="00455320"/>
    <w:rsid w:val="004571B6"/>
    <w:rsid w:val="0046262D"/>
    <w:rsid w:val="004716D8"/>
    <w:rsid w:val="00471D98"/>
    <w:rsid w:val="00475727"/>
    <w:rsid w:val="004769B2"/>
    <w:rsid w:val="00482544"/>
    <w:rsid w:val="004879DD"/>
    <w:rsid w:val="004A092F"/>
    <w:rsid w:val="004A165B"/>
    <w:rsid w:val="004A2247"/>
    <w:rsid w:val="004A519F"/>
    <w:rsid w:val="004A68E2"/>
    <w:rsid w:val="004A6F17"/>
    <w:rsid w:val="004B2F74"/>
    <w:rsid w:val="004B33BE"/>
    <w:rsid w:val="004F1F5F"/>
    <w:rsid w:val="004F584C"/>
    <w:rsid w:val="0050061C"/>
    <w:rsid w:val="005022BF"/>
    <w:rsid w:val="00507A9C"/>
    <w:rsid w:val="00510FA2"/>
    <w:rsid w:val="00511EF0"/>
    <w:rsid w:val="005130B3"/>
    <w:rsid w:val="00513A8C"/>
    <w:rsid w:val="00513D54"/>
    <w:rsid w:val="00521294"/>
    <w:rsid w:val="00527774"/>
    <w:rsid w:val="00532449"/>
    <w:rsid w:val="005356A8"/>
    <w:rsid w:val="00537E43"/>
    <w:rsid w:val="00537FD9"/>
    <w:rsid w:val="00543E99"/>
    <w:rsid w:val="00545732"/>
    <w:rsid w:val="0056313D"/>
    <w:rsid w:val="00572FE7"/>
    <w:rsid w:val="00573377"/>
    <w:rsid w:val="00574918"/>
    <w:rsid w:val="00577934"/>
    <w:rsid w:val="0058101D"/>
    <w:rsid w:val="0058460A"/>
    <w:rsid w:val="00586C21"/>
    <w:rsid w:val="00586DF6"/>
    <w:rsid w:val="005874F3"/>
    <w:rsid w:val="00593D39"/>
    <w:rsid w:val="005954C1"/>
    <w:rsid w:val="005A103A"/>
    <w:rsid w:val="005A65DA"/>
    <w:rsid w:val="005A6CF3"/>
    <w:rsid w:val="005B0A58"/>
    <w:rsid w:val="005C434F"/>
    <w:rsid w:val="005D21C2"/>
    <w:rsid w:val="005D4BBB"/>
    <w:rsid w:val="005E3BAD"/>
    <w:rsid w:val="005E4694"/>
    <w:rsid w:val="005E5088"/>
    <w:rsid w:val="005F164A"/>
    <w:rsid w:val="005F1A28"/>
    <w:rsid w:val="005F472E"/>
    <w:rsid w:val="005F7EA3"/>
    <w:rsid w:val="006030B4"/>
    <w:rsid w:val="0060350F"/>
    <w:rsid w:val="00613284"/>
    <w:rsid w:val="00616381"/>
    <w:rsid w:val="00616C63"/>
    <w:rsid w:val="00617C9B"/>
    <w:rsid w:val="00620358"/>
    <w:rsid w:val="00626CFD"/>
    <w:rsid w:val="00626D73"/>
    <w:rsid w:val="006331E3"/>
    <w:rsid w:val="006349E6"/>
    <w:rsid w:val="00634B41"/>
    <w:rsid w:val="006374B4"/>
    <w:rsid w:val="00650301"/>
    <w:rsid w:val="00650E51"/>
    <w:rsid w:val="006517B0"/>
    <w:rsid w:val="00657BAE"/>
    <w:rsid w:val="00660E53"/>
    <w:rsid w:val="00661C6C"/>
    <w:rsid w:val="00661D01"/>
    <w:rsid w:val="0066205A"/>
    <w:rsid w:val="00662A6E"/>
    <w:rsid w:val="006633DC"/>
    <w:rsid w:val="00666E4F"/>
    <w:rsid w:val="00671B85"/>
    <w:rsid w:val="006734DE"/>
    <w:rsid w:val="0067620A"/>
    <w:rsid w:val="0068648B"/>
    <w:rsid w:val="00692B50"/>
    <w:rsid w:val="00693E59"/>
    <w:rsid w:val="00695B82"/>
    <w:rsid w:val="006967E3"/>
    <w:rsid w:val="006A0E25"/>
    <w:rsid w:val="006A5849"/>
    <w:rsid w:val="006A6105"/>
    <w:rsid w:val="006B18F0"/>
    <w:rsid w:val="006B58C6"/>
    <w:rsid w:val="006B6AEE"/>
    <w:rsid w:val="006C0B96"/>
    <w:rsid w:val="006C6B98"/>
    <w:rsid w:val="006D1632"/>
    <w:rsid w:val="006D3CC6"/>
    <w:rsid w:val="006D44F2"/>
    <w:rsid w:val="006D5A2D"/>
    <w:rsid w:val="006E7B6F"/>
    <w:rsid w:val="006E7E4A"/>
    <w:rsid w:val="006F179D"/>
    <w:rsid w:val="006F21EF"/>
    <w:rsid w:val="006F2F75"/>
    <w:rsid w:val="00703597"/>
    <w:rsid w:val="007046CB"/>
    <w:rsid w:val="00707EAA"/>
    <w:rsid w:val="0071101B"/>
    <w:rsid w:val="00712A74"/>
    <w:rsid w:val="00714540"/>
    <w:rsid w:val="00726223"/>
    <w:rsid w:val="007268C9"/>
    <w:rsid w:val="00740175"/>
    <w:rsid w:val="00740BCD"/>
    <w:rsid w:val="00741718"/>
    <w:rsid w:val="00743575"/>
    <w:rsid w:val="00744278"/>
    <w:rsid w:val="00744DB0"/>
    <w:rsid w:val="00745A0A"/>
    <w:rsid w:val="0075130C"/>
    <w:rsid w:val="00751DCA"/>
    <w:rsid w:val="00751EE4"/>
    <w:rsid w:val="0075560F"/>
    <w:rsid w:val="00760029"/>
    <w:rsid w:val="00760803"/>
    <w:rsid w:val="00766C7D"/>
    <w:rsid w:val="007716F7"/>
    <w:rsid w:val="00772D87"/>
    <w:rsid w:val="00775225"/>
    <w:rsid w:val="007752EC"/>
    <w:rsid w:val="00777F65"/>
    <w:rsid w:val="00781504"/>
    <w:rsid w:val="00781C0C"/>
    <w:rsid w:val="00782E92"/>
    <w:rsid w:val="0078385C"/>
    <w:rsid w:val="00787DF4"/>
    <w:rsid w:val="00790F1E"/>
    <w:rsid w:val="007931E0"/>
    <w:rsid w:val="00794B54"/>
    <w:rsid w:val="00795FB9"/>
    <w:rsid w:val="007972EE"/>
    <w:rsid w:val="007A398C"/>
    <w:rsid w:val="007A6251"/>
    <w:rsid w:val="007B0F56"/>
    <w:rsid w:val="007C0704"/>
    <w:rsid w:val="007C0F2F"/>
    <w:rsid w:val="007C1E15"/>
    <w:rsid w:val="007C4116"/>
    <w:rsid w:val="007C5E7D"/>
    <w:rsid w:val="007C6998"/>
    <w:rsid w:val="007D03A0"/>
    <w:rsid w:val="007D1FF2"/>
    <w:rsid w:val="007D47C2"/>
    <w:rsid w:val="007E09C1"/>
    <w:rsid w:val="007E425B"/>
    <w:rsid w:val="007F0F93"/>
    <w:rsid w:val="00801761"/>
    <w:rsid w:val="00802FBA"/>
    <w:rsid w:val="008113A8"/>
    <w:rsid w:val="00812A4C"/>
    <w:rsid w:val="00814178"/>
    <w:rsid w:val="00814EE6"/>
    <w:rsid w:val="008272BE"/>
    <w:rsid w:val="0083350E"/>
    <w:rsid w:val="00834092"/>
    <w:rsid w:val="008363CF"/>
    <w:rsid w:val="00837CC3"/>
    <w:rsid w:val="008421F9"/>
    <w:rsid w:val="00842DEE"/>
    <w:rsid w:val="008546D6"/>
    <w:rsid w:val="0085549D"/>
    <w:rsid w:val="008566CA"/>
    <w:rsid w:val="00863CAF"/>
    <w:rsid w:val="00871193"/>
    <w:rsid w:val="008720AE"/>
    <w:rsid w:val="00872B81"/>
    <w:rsid w:val="00877A30"/>
    <w:rsid w:val="00880C81"/>
    <w:rsid w:val="00881626"/>
    <w:rsid w:val="00883B37"/>
    <w:rsid w:val="00887D02"/>
    <w:rsid w:val="00891A71"/>
    <w:rsid w:val="00892619"/>
    <w:rsid w:val="008A7A33"/>
    <w:rsid w:val="008A7FF2"/>
    <w:rsid w:val="008B0284"/>
    <w:rsid w:val="008B061D"/>
    <w:rsid w:val="008B132E"/>
    <w:rsid w:val="008B1459"/>
    <w:rsid w:val="008B6169"/>
    <w:rsid w:val="008C4192"/>
    <w:rsid w:val="008D2746"/>
    <w:rsid w:val="008D34FB"/>
    <w:rsid w:val="008E595B"/>
    <w:rsid w:val="008E7DE8"/>
    <w:rsid w:val="008F2166"/>
    <w:rsid w:val="008F2C7A"/>
    <w:rsid w:val="008F3E6F"/>
    <w:rsid w:val="008F4B2F"/>
    <w:rsid w:val="008F5DA0"/>
    <w:rsid w:val="008F6311"/>
    <w:rsid w:val="008F7991"/>
    <w:rsid w:val="00907BD1"/>
    <w:rsid w:val="00914427"/>
    <w:rsid w:val="00914E4D"/>
    <w:rsid w:val="00920E00"/>
    <w:rsid w:val="00922A15"/>
    <w:rsid w:val="00924046"/>
    <w:rsid w:val="00924822"/>
    <w:rsid w:val="00930FF6"/>
    <w:rsid w:val="009313BE"/>
    <w:rsid w:val="00936562"/>
    <w:rsid w:val="00940424"/>
    <w:rsid w:val="009420AB"/>
    <w:rsid w:val="00943A3F"/>
    <w:rsid w:val="00945991"/>
    <w:rsid w:val="00947292"/>
    <w:rsid w:val="00950644"/>
    <w:rsid w:val="00950D11"/>
    <w:rsid w:val="00955912"/>
    <w:rsid w:val="00955E15"/>
    <w:rsid w:val="00960372"/>
    <w:rsid w:val="009613E5"/>
    <w:rsid w:val="00965615"/>
    <w:rsid w:val="00965937"/>
    <w:rsid w:val="00967320"/>
    <w:rsid w:val="00967F55"/>
    <w:rsid w:val="009757FF"/>
    <w:rsid w:val="00976939"/>
    <w:rsid w:val="00983A6E"/>
    <w:rsid w:val="0098675D"/>
    <w:rsid w:val="00991E62"/>
    <w:rsid w:val="00996AFF"/>
    <w:rsid w:val="009977A2"/>
    <w:rsid w:val="009A37F2"/>
    <w:rsid w:val="009A4476"/>
    <w:rsid w:val="009B0E21"/>
    <w:rsid w:val="009B6373"/>
    <w:rsid w:val="009C173B"/>
    <w:rsid w:val="009C1D17"/>
    <w:rsid w:val="009C1EF4"/>
    <w:rsid w:val="009C3854"/>
    <w:rsid w:val="009C5AFA"/>
    <w:rsid w:val="009C5CD2"/>
    <w:rsid w:val="009D2E3C"/>
    <w:rsid w:val="009D6207"/>
    <w:rsid w:val="009E1BAA"/>
    <w:rsid w:val="009E35EA"/>
    <w:rsid w:val="009E71AC"/>
    <w:rsid w:val="009F4B87"/>
    <w:rsid w:val="00A00933"/>
    <w:rsid w:val="00A012BA"/>
    <w:rsid w:val="00A015AC"/>
    <w:rsid w:val="00A066DD"/>
    <w:rsid w:val="00A120AE"/>
    <w:rsid w:val="00A13814"/>
    <w:rsid w:val="00A146BD"/>
    <w:rsid w:val="00A146F0"/>
    <w:rsid w:val="00A249A1"/>
    <w:rsid w:val="00A3644F"/>
    <w:rsid w:val="00A40048"/>
    <w:rsid w:val="00A4482A"/>
    <w:rsid w:val="00A4672F"/>
    <w:rsid w:val="00A50DA6"/>
    <w:rsid w:val="00A550D2"/>
    <w:rsid w:val="00A61C7D"/>
    <w:rsid w:val="00A66088"/>
    <w:rsid w:val="00A66C08"/>
    <w:rsid w:val="00A737DF"/>
    <w:rsid w:val="00A77515"/>
    <w:rsid w:val="00A84AD0"/>
    <w:rsid w:val="00A85003"/>
    <w:rsid w:val="00A90244"/>
    <w:rsid w:val="00A92C44"/>
    <w:rsid w:val="00A9637B"/>
    <w:rsid w:val="00AA12F4"/>
    <w:rsid w:val="00AA1630"/>
    <w:rsid w:val="00AA1D94"/>
    <w:rsid w:val="00AA1EF4"/>
    <w:rsid w:val="00AA2A56"/>
    <w:rsid w:val="00AA3D04"/>
    <w:rsid w:val="00AA6308"/>
    <w:rsid w:val="00AB3C27"/>
    <w:rsid w:val="00AB7DB4"/>
    <w:rsid w:val="00AC685F"/>
    <w:rsid w:val="00AD3F3A"/>
    <w:rsid w:val="00AD5DD1"/>
    <w:rsid w:val="00AE001A"/>
    <w:rsid w:val="00AE6805"/>
    <w:rsid w:val="00AF655E"/>
    <w:rsid w:val="00AF721C"/>
    <w:rsid w:val="00AF765C"/>
    <w:rsid w:val="00B0054F"/>
    <w:rsid w:val="00B005C3"/>
    <w:rsid w:val="00B22C6C"/>
    <w:rsid w:val="00B32612"/>
    <w:rsid w:val="00B41E6D"/>
    <w:rsid w:val="00B422D8"/>
    <w:rsid w:val="00B4265A"/>
    <w:rsid w:val="00B4797F"/>
    <w:rsid w:val="00B53948"/>
    <w:rsid w:val="00B66129"/>
    <w:rsid w:val="00B6781C"/>
    <w:rsid w:val="00B7541D"/>
    <w:rsid w:val="00B76919"/>
    <w:rsid w:val="00B76D83"/>
    <w:rsid w:val="00B807AB"/>
    <w:rsid w:val="00B82A12"/>
    <w:rsid w:val="00B8749B"/>
    <w:rsid w:val="00B87EA5"/>
    <w:rsid w:val="00BA39D4"/>
    <w:rsid w:val="00BA3F9B"/>
    <w:rsid w:val="00BB3AFA"/>
    <w:rsid w:val="00BB67E6"/>
    <w:rsid w:val="00BC1A44"/>
    <w:rsid w:val="00BC2B09"/>
    <w:rsid w:val="00BC64D6"/>
    <w:rsid w:val="00BD4D20"/>
    <w:rsid w:val="00BD7EC7"/>
    <w:rsid w:val="00BE04DA"/>
    <w:rsid w:val="00BE1D4E"/>
    <w:rsid w:val="00BE4D38"/>
    <w:rsid w:val="00BF33DF"/>
    <w:rsid w:val="00BF57AB"/>
    <w:rsid w:val="00BF5D6E"/>
    <w:rsid w:val="00BF5F31"/>
    <w:rsid w:val="00BF7BA8"/>
    <w:rsid w:val="00C010DC"/>
    <w:rsid w:val="00C01749"/>
    <w:rsid w:val="00C02F47"/>
    <w:rsid w:val="00C121A3"/>
    <w:rsid w:val="00C12F82"/>
    <w:rsid w:val="00C1392A"/>
    <w:rsid w:val="00C14273"/>
    <w:rsid w:val="00C1519F"/>
    <w:rsid w:val="00C156F1"/>
    <w:rsid w:val="00C16D90"/>
    <w:rsid w:val="00C17E4B"/>
    <w:rsid w:val="00C20BD9"/>
    <w:rsid w:val="00C20E1C"/>
    <w:rsid w:val="00C27BA3"/>
    <w:rsid w:val="00C31A5A"/>
    <w:rsid w:val="00C32637"/>
    <w:rsid w:val="00C351B1"/>
    <w:rsid w:val="00C3569C"/>
    <w:rsid w:val="00C36F5A"/>
    <w:rsid w:val="00C43244"/>
    <w:rsid w:val="00C45AF4"/>
    <w:rsid w:val="00C4770F"/>
    <w:rsid w:val="00C47ED5"/>
    <w:rsid w:val="00C53752"/>
    <w:rsid w:val="00C62110"/>
    <w:rsid w:val="00C62AF2"/>
    <w:rsid w:val="00C64C08"/>
    <w:rsid w:val="00C679C3"/>
    <w:rsid w:val="00C83FDB"/>
    <w:rsid w:val="00C84E78"/>
    <w:rsid w:val="00C85F67"/>
    <w:rsid w:val="00C86B9D"/>
    <w:rsid w:val="00C87A28"/>
    <w:rsid w:val="00C929D7"/>
    <w:rsid w:val="00CA1D0A"/>
    <w:rsid w:val="00CA2160"/>
    <w:rsid w:val="00CA31D8"/>
    <w:rsid w:val="00CB13BF"/>
    <w:rsid w:val="00CB297A"/>
    <w:rsid w:val="00CB3E7D"/>
    <w:rsid w:val="00CC02E9"/>
    <w:rsid w:val="00CC1A79"/>
    <w:rsid w:val="00CC35DD"/>
    <w:rsid w:val="00CC3B2B"/>
    <w:rsid w:val="00CC3E18"/>
    <w:rsid w:val="00CC4BE2"/>
    <w:rsid w:val="00CC782C"/>
    <w:rsid w:val="00CD05EE"/>
    <w:rsid w:val="00CD59D7"/>
    <w:rsid w:val="00CD5DBE"/>
    <w:rsid w:val="00CD77DF"/>
    <w:rsid w:val="00CE0FD1"/>
    <w:rsid w:val="00CF4F3D"/>
    <w:rsid w:val="00CF61A7"/>
    <w:rsid w:val="00CF7BFA"/>
    <w:rsid w:val="00CF7C11"/>
    <w:rsid w:val="00D02492"/>
    <w:rsid w:val="00D035C3"/>
    <w:rsid w:val="00D07711"/>
    <w:rsid w:val="00D111E9"/>
    <w:rsid w:val="00D11917"/>
    <w:rsid w:val="00D120CE"/>
    <w:rsid w:val="00D14AF9"/>
    <w:rsid w:val="00D161C6"/>
    <w:rsid w:val="00D166D1"/>
    <w:rsid w:val="00D22FDC"/>
    <w:rsid w:val="00D24784"/>
    <w:rsid w:val="00D32845"/>
    <w:rsid w:val="00D346EE"/>
    <w:rsid w:val="00D36177"/>
    <w:rsid w:val="00D40BF2"/>
    <w:rsid w:val="00D45B29"/>
    <w:rsid w:val="00D63462"/>
    <w:rsid w:val="00D64A75"/>
    <w:rsid w:val="00D64F29"/>
    <w:rsid w:val="00D65F76"/>
    <w:rsid w:val="00D70888"/>
    <w:rsid w:val="00D70AFF"/>
    <w:rsid w:val="00D74D60"/>
    <w:rsid w:val="00D76D35"/>
    <w:rsid w:val="00D8520F"/>
    <w:rsid w:val="00D863D2"/>
    <w:rsid w:val="00D9018D"/>
    <w:rsid w:val="00D911A6"/>
    <w:rsid w:val="00D946A1"/>
    <w:rsid w:val="00D97E7D"/>
    <w:rsid w:val="00DA03D2"/>
    <w:rsid w:val="00DA0561"/>
    <w:rsid w:val="00DA24A7"/>
    <w:rsid w:val="00DA3048"/>
    <w:rsid w:val="00DA44EF"/>
    <w:rsid w:val="00DA5C98"/>
    <w:rsid w:val="00DB2E5C"/>
    <w:rsid w:val="00DB32B7"/>
    <w:rsid w:val="00DB5D41"/>
    <w:rsid w:val="00DB64B0"/>
    <w:rsid w:val="00DB6B38"/>
    <w:rsid w:val="00DC4B68"/>
    <w:rsid w:val="00DC783D"/>
    <w:rsid w:val="00DD1886"/>
    <w:rsid w:val="00DD229D"/>
    <w:rsid w:val="00DD3363"/>
    <w:rsid w:val="00DD4902"/>
    <w:rsid w:val="00DD5A33"/>
    <w:rsid w:val="00DE66DF"/>
    <w:rsid w:val="00DF05B9"/>
    <w:rsid w:val="00DF3AD5"/>
    <w:rsid w:val="00DF46F1"/>
    <w:rsid w:val="00DF52D7"/>
    <w:rsid w:val="00DF66C2"/>
    <w:rsid w:val="00DF7F90"/>
    <w:rsid w:val="00E00BAF"/>
    <w:rsid w:val="00E01310"/>
    <w:rsid w:val="00E03531"/>
    <w:rsid w:val="00E10DAE"/>
    <w:rsid w:val="00E13B67"/>
    <w:rsid w:val="00E15DF1"/>
    <w:rsid w:val="00E16DDA"/>
    <w:rsid w:val="00E23BE6"/>
    <w:rsid w:val="00E2514F"/>
    <w:rsid w:val="00E27A84"/>
    <w:rsid w:val="00E3167E"/>
    <w:rsid w:val="00E33935"/>
    <w:rsid w:val="00E33ADA"/>
    <w:rsid w:val="00E37C8F"/>
    <w:rsid w:val="00E52C06"/>
    <w:rsid w:val="00E54FD7"/>
    <w:rsid w:val="00E57414"/>
    <w:rsid w:val="00E6201C"/>
    <w:rsid w:val="00E62171"/>
    <w:rsid w:val="00E6237C"/>
    <w:rsid w:val="00E66AA7"/>
    <w:rsid w:val="00E6796A"/>
    <w:rsid w:val="00E71139"/>
    <w:rsid w:val="00E73469"/>
    <w:rsid w:val="00E74C43"/>
    <w:rsid w:val="00E74FE6"/>
    <w:rsid w:val="00E84C26"/>
    <w:rsid w:val="00E90F14"/>
    <w:rsid w:val="00E91905"/>
    <w:rsid w:val="00E962AF"/>
    <w:rsid w:val="00EA185B"/>
    <w:rsid w:val="00EA3E29"/>
    <w:rsid w:val="00EA7040"/>
    <w:rsid w:val="00EB1384"/>
    <w:rsid w:val="00EB541D"/>
    <w:rsid w:val="00EB753B"/>
    <w:rsid w:val="00EB7B28"/>
    <w:rsid w:val="00EC0D21"/>
    <w:rsid w:val="00EC13EE"/>
    <w:rsid w:val="00EC439E"/>
    <w:rsid w:val="00ED400A"/>
    <w:rsid w:val="00ED6E06"/>
    <w:rsid w:val="00EE7976"/>
    <w:rsid w:val="00EE79EA"/>
    <w:rsid w:val="00EF579B"/>
    <w:rsid w:val="00EF67C2"/>
    <w:rsid w:val="00EF7AD1"/>
    <w:rsid w:val="00F0038E"/>
    <w:rsid w:val="00F07BF0"/>
    <w:rsid w:val="00F1724C"/>
    <w:rsid w:val="00F2356E"/>
    <w:rsid w:val="00F27074"/>
    <w:rsid w:val="00F27ACC"/>
    <w:rsid w:val="00F30868"/>
    <w:rsid w:val="00F312BD"/>
    <w:rsid w:val="00F33C85"/>
    <w:rsid w:val="00F35BEF"/>
    <w:rsid w:val="00F3608B"/>
    <w:rsid w:val="00F43146"/>
    <w:rsid w:val="00F44F35"/>
    <w:rsid w:val="00F4636C"/>
    <w:rsid w:val="00F5184D"/>
    <w:rsid w:val="00F52C3A"/>
    <w:rsid w:val="00F546DF"/>
    <w:rsid w:val="00F61D08"/>
    <w:rsid w:val="00F62AF8"/>
    <w:rsid w:val="00F66161"/>
    <w:rsid w:val="00F66C7C"/>
    <w:rsid w:val="00F765C5"/>
    <w:rsid w:val="00F77D98"/>
    <w:rsid w:val="00F81690"/>
    <w:rsid w:val="00F83CF8"/>
    <w:rsid w:val="00F85D87"/>
    <w:rsid w:val="00F87D19"/>
    <w:rsid w:val="00F93B9A"/>
    <w:rsid w:val="00F948A8"/>
    <w:rsid w:val="00F95A67"/>
    <w:rsid w:val="00FA4824"/>
    <w:rsid w:val="00FA4BA0"/>
    <w:rsid w:val="00FA7055"/>
    <w:rsid w:val="00FB037F"/>
    <w:rsid w:val="00FB4729"/>
    <w:rsid w:val="00FC249E"/>
    <w:rsid w:val="00FC2D07"/>
    <w:rsid w:val="00FC3EDC"/>
    <w:rsid w:val="00FC787D"/>
    <w:rsid w:val="00FD0E00"/>
    <w:rsid w:val="00FD4020"/>
    <w:rsid w:val="00FD574F"/>
    <w:rsid w:val="00FD5958"/>
    <w:rsid w:val="00FD7C4C"/>
    <w:rsid w:val="00FE3501"/>
    <w:rsid w:val="00FE500F"/>
    <w:rsid w:val="00FF023D"/>
    <w:rsid w:val="00FF2AC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79751B7D"/>
  <w15:chartTrackingRefBased/>
  <w15:docId w15:val="{4F2F50D6-DBF3-F44B-97C0-A319B605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135"/>
    <w:rPr>
      <w:rFonts w:ascii="Times New Roman" w:eastAsia="Times New Roman" w:hAnsi="Times New Roman" w:cs="Times New Roman"/>
      <w:kern w:val="0"/>
      <w:lang w:eastAsia="fr-CA"/>
      <w14:ligatures w14:val="none"/>
    </w:rPr>
  </w:style>
  <w:style w:type="paragraph" w:styleId="Titre1">
    <w:name w:val="heading 1"/>
    <w:basedOn w:val="Normal"/>
    <w:next w:val="Normal"/>
    <w:link w:val="Titre1Car"/>
    <w:uiPriority w:val="9"/>
    <w:qFormat/>
    <w:rsid w:val="002F61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F61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F613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F613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F613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F613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F613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F613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F613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613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F613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F613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F613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F613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F613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F613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F613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F6135"/>
    <w:rPr>
      <w:rFonts w:eastAsiaTheme="majorEastAsia" w:cstheme="majorBidi"/>
      <w:color w:val="272727" w:themeColor="text1" w:themeTint="D8"/>
    </w:rPr>
  </w:style>
  <w:style w:type="paragraph" w:styleId="Titre">
    <w:name w:val="Title"/>
    <w:basedOn w:val="Normal"/>
    <w:next w:val="Normal"/>
    <w:link w:val="TitreCar"/>
    <w:uiPriority w:val="10"/>
    <w:qFormat/>
    <w:rsid w:val="002F613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613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F613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F613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F613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F6135"/>
    <w:rPr>
      <w:i/>
      <w:iCs/>
      <w:color w:val="404040" w:themeColor="text1" w:themeTint="BF"/>
    </w:rPr>
  </w:style>
  <w:style w:type="paragraph" w:styleId="Paragraphedeliste">
    <w:name w:val="List Paragraph"/>
    <w:aliases w:val="Style 3,Bullets,List Paragraph nowy,References,Numbered List Paragraph,List Paragraph (numbered (a)),Paragraphe  revu,Liste couleur - Accent 12,WB List Paragraph,MCHIP_list paragraph,List Paragraph1,Recommendation,TITRE 2,Style1,figu"/>
    <w:basedOn w:val="Normal"/>
    <w:link w:val="ParagraphedelisteCar"/>
    <w:uiPriority w:val="34"/>
    <w:qFormat/>
    <w:rsid w:val="002F6135"/>
    <w:pPr>
      <w:ind w:left="720"/>
      <w:contextualSpacing/>
    </w:pPr>
  </w:style>
  <w:style w:type="character" w:styleId="Accentuationintense">
    <w:name w:val="Intense Emphasis"/>
    <w:basedOn w:val="Policepardfaut"/>
    <w:uiPriority w:val="21"/>
    <w:qFormat/>
    <w:rsid w:val="002F6135"/>
    <w:rPr>
      <w:i/>
      <w:iCs/>
      <w:color w:val="2F5496" w:themeColor="accent1" w:themeShade="BF"/>
    </w:rPr>
  </w:style>
  <w:style w:type="paragraph" w:styleId="Citationintense">
    <w:name w:val="Intense Quote"/>
    <w:basedOn w:val="Normal"/>
    <w:next w:val="Normal"/>
    <w:link w:val="CitationintenseCar"/>
    <w:uiPriority w:val="30"/>
    <w:qFormat/>
    <w:rsid w:val="002F61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F6135"/>
    <w:rPr>
      <w:i/>
      <w:iCs/>
      <w:color w:val="2F5496" w:themeColor="accent1" w:themeShade="BF"/>
    </w:rPr>
  </w:style>
  <w:style w:type="character" w:styleId="Rfrenceintense">
    <w:name w:val="Intense Reference"/>
    <w:basedOn w:val="Policepardfaut"/>
    <w:uiPriority w:val="32"/>
    <w:qFormat/>
    <w:rsid w:val="002F6135"/>
    <w:rPr>
      <w:b/>
      <w:bCs/>
      <w:smallCaps/>
      <w:color w:val="2F5496" w:themeColor="accent1" w:themeShade="BF"/>
      <w:spacing w:val="5"/>
    </w:rPr>
  </w:style>
  <w:style w:type="character" w:customStyle="1" w:styleId="ParagraphedelisteCar">
    <w:name w:val="Paragraphe de liste Car"/>
    <w:aliases w:val="Style 3 Car,Bullets Car,List Paragraph nowy Car,References Car,Numbered List Paragraph Car,List Paragraph (numbered (a)) Car,Paragraphe  revu Car,Liste couleur - Accent 12 Car,WB List Paragraph Car,MCHIP_list paragraph Car"/>
    <w:link w:val="Paragraphedeliste"/>
    <w:uiPriority w:val="34"/>
    <w:qFormat/>
    <w:rsid w:val="002F6135"/>
  </w:style>
  <w:style w:type="character" w:customStyle="1" w:styleId="rynqvb">
    <w:name w:val="rynqvb"/>
    <w:basedOn w:val="Policepardfaut"/>
    <w:rsid w:val="002F6135"/>
  </w:style>
  <w:style w:type="table" w:styleId="Grilledutableau">
    <w:name w:val="Table Grid"/>
    <w:basedOn w:val="TableauNormal"/>
    <w:uiPriority w:val="39"/>
    <w:rsid w:val="002F6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Policepardfaut"/>
    <w:rsid w:val="002F6135"/>
  </w:style>
  <w:style w:type="paragraph" w:styleId="Pieddepage">
    <w:name w:val="footer"/>
    <w:basedOn w:val="Normal"/>
    <w:link w:val="PieddepageCar"/>
    <w:uiPriority w:val="99"/>
    <w:unhideWhenUsed/>
    <w:rsid w:val="006C0B96"/>
    <w:pPr>
      <w:tabs>
        <w:tab w:val="center" w:pos="4320"/>
        <w:tab w:val="right" w:pos="8640"/>
      </w:tabs>
    </w:pPr>
  </w:style>
  <w:style w:type="character" w:customStyle="1" w:styleId="PieddepageCar">
    <w:name w:val="Pied de page Car"/>
    <w:basedOn w:val="Policepardfaut"/>
    <w:link w:val="Pieddepage"/>
    <w:uiPriority w:val="99"/>
    <w:rsid w:val="006C0B96"/>
    <w:rPr>
      <w:rFonts w:ascii="Times New Roman" w:eastAsia="Times New Roman" w:hAnsi="Times New Roman" w:cs="Times New Roman"/>
      <w:kern w:val="0"/>
      <w:lang w:eastAsia="fr-CA"/>
      <w14:ligatures w14:val="none"/>
    </w:rPr>
  </w:style>
  <w:style w:type="character" w:styleId="Numrodepage">
    <w:name w:val="page number"/>
    <w:basedOn w:val="Policepardfaut"/>
    <w:uiPriority w:val="99"/>
    <w:semiHidden/>
    <w:unhideWhenUsed/>
    <w:rsid w:val="006C0B96"/>
  </w:style>
  <w:style w:type="character" w:customStyle="1" w:styleId="hwtze">
    <w:name w:val="hwtze"/>
    <w:basedOn w:val="Policepardfaut"/>
    <w:rsid w:val="00871193"/>
  </w:style>
  <w:style w:type="paragraph" w:styleId="NormalWeb">
    <w:name w:val="Normal (Web)"/>
    <w:basedOn w:val="Normal"/>
    <w:uiPriority w:val="99"/>
    <w:unhideWhenUsed/>
    <w:rsid w:val="00892619"/>
    <w:pPr>
      <w:spacing w:before="100" w:beforeAutospacing="1" w:after="100" w:afterAutospacing="1"/>
    </w:pPr>
  </w:style>
  <w:style w:type="character" w:styleId="Hyperlien">
    <w:name w:val="Hyperlink"/>
    <w:basedOn w:val="Policepardfaut"/>
    <w:uiPriority w:val="99"/>
    <w:unhideWhenUsed/>
    <w:rsid w:val="006A5849"/>
    <w:rPr>
      <w:color w:val="0563C1" w:themeColor="hyperlink"/>
      <w:u w:val="single"/>
    </w:rPr>
  </w:style>
  <w:style w:type="character" w:styleId="Mentionnonrsolue">
    <w:name w:val="Unresolved Mention"/>
    <w:basedOn w:val="Policepardfaut"/>
    <w:uiPriority w:val="99"/>
    <w:semiHidden/>
    <w:unhideWhenUsed/>
    <w:rsid w:val="006A5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520992">
      <w:bodyDiv w:val="1"/>
      <w:marLeft w:val="0"/>
      <w:marRight w:val="0"/>
      <w:marTop w:val="0"/>
      <w:marBottom w:val="0"/>
      <w:divBdr>
        <w:top w:val="none" w:sz="0" w:space="0" w:color="auto"/>
        <w:left w:val="none" w:sz="0" w:space="0" w:color="auto"/>
        <w:bottom w:val="none" w:sz="0" w:space="0" w:color="auto"/>
        <w:right w:val="none" w:sz="0" w:space="0" w:color="auto"/>
      </w:divBdr>
    </w:div>
    <w:div w:id="1561207845">
      <w:bodyDiv w:val="1"/>
      <w:marLeft w:val="0"/>
      <w:marRight w:val="0"/>
      <w:marTop w:val="0"/>
      <w:marBottom w:val="0"/>
      <w:divBdr>
        <w:top w:val="none" w:sz="0" w:space="0" w:color="auto"/>
        <w:left w:val="none" w:sz="0" w:space="0" w:color="auto"/>
        <w:bottom w:val="none" w:sz="0" w:space="0" w:color="auto"/>
        <w:right w:val="none" w:sz="0" w:space="0" w:color="auto"/>
      </w:divBdr>
      <w:divsChild>
        <w:div w:id="1567380900">
          <w:marLeft w:val="0"/>
          <w:marRight w:val="0"/>
          <w:marTop w:val="0"/>
          <w:marBottom w:val="0"/>
          <w:divBdr>
            <w:top w:val="none" w:sz="0" w:space="0" w:color="auto"/>
            <w:left w:val="none" w:sz="0" w:space="0" w:color="auto"/>
            <w:bottom w:val="none" w:sz="0" w:space="0" w:color="auto"/>
            <w:right w:val="none" w:sz="0" w:space="0" w:color="auto"/>
          </w:divBdr>
        </w:div>
        <w:div w:id="1314725075">
          <w:marLeft w:val="0"/>
          <w:marRight w:val="0"/>
          <w:marTop w:val="0"/>
          <w:marBottom w:val="0"/>
          <w:divBdr>
            <w:top w:val="none" w:sz="0" w:space="0" w:color="auto"/>
            <w:left w:val="none" w:sz="0" w:space="0" w:color="auto"/>
            <w:bottom w:val="none" w:sz="0" w:space="0" w:color="auto"/>
            <w:right w:val="none" w:sz="0" w:space="0" w:color="auto"/>
          </w:divBdr>
          <w:divsChild>
            <w:div w:id="1906257345">
              <w:marLeft w:val="0"/>
              <w:marRight w:val="0"/>
              <w:marTop w:val="0"/>
              <w:marBottom w:val="0"/>
              <w:divBdr>
                <w:top w:val="none" w:sz="0" w:space="0" w:color="auto"/>
                <w:left w:val="none" w:sz="0" w:space="0" w:color="auto"/>
                <w:bottom w:val="none" w:sz="0" w:space="0" w:color="auto"/>
                <w:right w:val="none" w:sz="0" w:space="0" w:color="auto"/>
              </w:divBdr>
              <w:divsChild>
                <w:div w:id="1417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bymilkaction.org/wp-content/uploads/2022/09/Draft_-CT_decret-SLM-decret_10022021_VF.pdf" TargetMode="External"/><Relationship Id="rId13" Type="http://schemas.openxmlformats.org/officeDocument/2006/relationships/hyperlink" Target="https://www.pnmin.gouv.ci/fichier/doc/DECRET_SUN.pdf" TargetMode="External"/><Relationship Id="rId3" Type="http://schemas.openxmlformats.org/officeDocument/2006/relationships/settings" Target="settings.xml"/><Relationship Id="rId7" Type="http://schemas.openxmlformats.org/officeDocument/2006/relationships/hyperlink" Target="https://www.ibfan.org/wp-content/uploads/2023/05/Cote-dIvoire-2013-French-Code-Regulations-DECRET-REGLEMENTATION-COMM-SUBSTIT-LAIT-MATERNEL.pdf" TargetMode="External"/><Relationship Id="rId12" Type="http://schemas.openxmlformats.org/officeDocument/2006/relationships/hyperlink" Target="https://www.fao.org/faolex/results/details/fr/c/LEX-FAOC07870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gg.gouv.bj/pdf/web/viewer.html?file=/doc/decret-2009-245/rea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faolex.fao.org/docs/pdf/bkf198240.pdf" TargetMode="External"/><Relationship Id="rId4" Type="http://schemas.openxmlformats.org/officeDocument/2006/relationships/webSettings" Target="webSettings.xml"/><Relationship Id="rId9" Type="http://schemas.openxmlformats.org/officeDocument/2006/relationships/hyperlink" Target="https://jo.gouv.tg/sites/default/files/JO/JOS_26_06_2020%20-%2065%20E%20ANNEE%20N%C2%B021.pdf"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2737</Words>
  <Characters>15056</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Soliba-Julien Manga</dc:creator>
  <cp:keywords/>
  <dc:description/>
  <cp:lastModifiedBy>Soliba-Julien Manga</cp:lastModifiedBy>
  <cp:revision>14</cp:revision>
  <dcterms:created xsi:type="dcterms:W3CDTF">2024-05-10T20:06:00Z</dcterms:created>
  <dcterms:modified xsi:type="dcterms:W3CDTF">2026-02-26T14:13:00Z</dcterms:modified>
</cp:coreProperties>
</file>