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8364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</w:p>
    <w:p w14:paraId="1B2469D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t>Supplementary Materials for</w:t>
      </w:r>
    </w:p>
    <w:p w14:paraId="454FF0B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091BFC5E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szCs w:val="24"/>
        </w:rPr>
        <w:t>Integrated Multi-omics Reveals Key Molecular Drivers and Therapeutic Strategies in a Spontaneous Cutaneous Squamous Cell Carcinoma Model of Macaques</w:t>
      </w:r>
    </w:p>
    <w:p w14:paraId="05E95600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Pan</w:t>
      </w:r>
      <w:r>
        <w:rPr>
          <w:rFonts w:hint="default" w:ascii="Times New Roman" w:hAnsi="Times New Roman" w:eastAsia="宋体" w:cs="Times New Roman"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/>
          <w:iCs/>
          <w:szCs w:val="24"/>
          <w:lang w:eastAsia="zh-CN"/>
        </w:rPr>
        <w:t>et al</w:t>
      </w:r>
      <w:r>
        <w:rPr>
          <w:rFonts w:hint="default" w:ascii="Times New Roman" w:hAnsi="Times New Roman" w:cs="Times New Roman"/>
          <w:szCs w:val="24"/>
          <w:lang w:eastAsia="zh-CN"/>
        </w:rPr>
        <w:t>.</w:t>
      </w:r>
    </w:p>
    <w:p w14:paraId="13DBD27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t xml:space="preserve">Correspondence </w:t>
      </w:r>
      <w:r>
        <w:rPr>
          <w:rFonts w:hint="default" w:ascii="Times New Roman" w:hAnsi="Times New Roman" w:cs="Times New Roman"/>
          <w:szCs w:val="24"/>
          <w:lang w:eastAsia="zh-CN"/>
        </w:rPr>
        <w:t>author</w:t>
      </w:r>
      <w:r>
        <w:rPr>
          <w:rFonts w:hint="default" w:ascii="Times New Roman" w:hAnsi="Times New Roman" w:cs="Times New Roman"/>
          <w:szCs w:val="24"/>
        </w:rPr>
        <w:t>: heyonghan@mail.kiz.ac.cn</w:t>
      </w:r>
      <w:r>
        <w:rPr>
          <w:rFonts w:hint="default" w:ascii="Times New Roman" w:hAnsi="Times New Roman" w:cs="Times New Roman"/>
          <w:szCs w:val="24"/>
          <w:lang w:eastAsia="zh-CN"/>
        </w:rPr>
        <w:t>;</w:t>
      </w:r>
      <w:r>
        <w:rPr>
          <w:rFonts w:hint="default" w:ascii="Times New Roman" w:hAnsi="Times New Roman" w:cs="Times New Roman"/>
          <w:szCs w:val="24"/>
        </w:rPr>
        <w:t xml:space="preserve"> </w:t>
      </w:r>
    </w:p>
    <w:p w14:paraId="624C460F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t>lvlongbao@mail.kiz.ac.cn</w:t>
      </w:r>
    </w:p>
    <w:p w14:paraId="0DE96A40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147C580E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szCs w:val="24"/>
        </w:rPr>
      </w:pPr>
      <w:bookmarkStart w:id="0" w:name="_GoBack"/>
      <w:bookmarkEnd w:id="0"/>
    </w:p>
    <w:p w14:paraId="36FA87E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szCs w:val="24"/>
        </w:rPr>
      </w:pPr>
      <w:r>
        <w:rPr>
          <w:rFonts w:hint="default" w:ascii="Times New Roman" w:hAnsi="Times New Roman" w:cs="Times New Roman"/>
          <w:b/>
          <w:szCs w:val="24"/>
        </w:rPr>
        <w:t>This PDF file includes:</w:t>
      </w:r>
    </w:p>
    <w:p w14:paraId="5E3E3F0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654B4B65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 w:eastAsiaTheme="minorEastAsia"/>
          <w:szCs w:val="24"/>
          <w:lang w:val="en-US" w:eastAsia="zh-CN"/>
        </w:rPr>
      </w:pPr>
      <w:r>
        <w:rPr>
          <w:rFonts w:hint="default" w:ascii="Times New Roman" w:hAnsi="Times New Roman" w:cs="Times New Roman"/>
          <w:szCs w:val="24"/>
        </w:rPr>
        <w:t>Figures. S1 to S</w:t>
      </w:r>
      <w:r>
        <w:rPr>
          <w:rFonts w:hint="default" w:ascii="Times New Roman" w:hAnsi="Times New Roman" w:cs="Times New Roman"/>
          <w:szCs w:val="24"/>
          <w:lang w:val="en-US" w:eastAsia="zh-CN"/>
        </w:rPr>
        <w:t>8</w:t>
      </w:r>
    </w:p>
    <w:p w14:paraId="2CF0B8D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t>Tables S1 to S4</w:t>
      </w:r>
    </w:p>
    <w:p w14:paraId="682D54B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/>
          <w:b w:val="0"/>
          <w:bCs w:val="0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Cs w:val="24"/>
          <w:lang w:eastAsia="zh-CN"/>
        </w:rPr>
        <w:t>Uncropped Western blots</w:t>
      </w:r>
    </w:p>
    <w:p w14:paraId="4BB4380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/>
          <w:szCs w:val="24"/>
          <w:lang w:val="en-US" w:eastAsia="zh-CN"/>
        </w:rPr>
      </w:pPr>
      <w:r>
        <w:rPr>
          <w:rFonts w:hint="default" w:ascii="Times New Roman" w:hAnsi="Times New Roman" w:cs="Times New Roman"/>
          <w:szCs w:val="24"/>
          <w:lang w:val="en-US" w:eastAsia="zh-CN"/>
        </w:rPr>
        <w:t>Abbreviations used in this article</w:t>
      </w:r>
    </w:p>
    <w:p w14:paraId="5E5ACAD5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/>
          <w:szCs w:val="24"/>
        </w:rPr>
      </w:pPr>
    </w:p>
    <w:p w14:paraId="78A00F0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720"/>
        <w:textAlignment w:val="auto"/>
        <w:rPr>
          <w:rFonts w:hint="default" w:ascii="Times New Roman" w:hAnsi="Times New Roman" w:cs="Times New Roman"/>
          <w:szCs w:val="24"/>
        </w:rPr>
      </w:pPr>
    </w:p>
    <w:p w14:paraId="61B33FE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br w:type="page"/>
      </w:r>
    </w:p>
    <w:p w14:paraId="53263F3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Malgun Gothic" w:cs="Times New Roman"/>
          <w:b/>
          <w:bCs/>
          <w:color w:val="000000" w:themeColor="text1"/>
          <w:szCs w:val="24"/>
          <w:lang w:eastAsia="ko-KR"/>
          <w14:textFill>
            <w14:solidFill>
              <w14:schemeClr w14:val="tx1"/>
            </w14:solidFill>
          </w14:textFill>
        </w:rPr>
        <w:t>Supplementary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Figures</w:t>
      </w:r>
      <w:r>
        <w:rPr>
          <w:rFonts w:hint="default" w:ascii="Times New Roman" w:hAnsi="Times New Roman" w:eastAsia="Malgun Gothic" w:cs="Times New Roman"/>
          <w:b/>
          <w:bCs/>
          <w:color w:val="000000" w:themeColor="text1"/>
          <w:szCs w:val="24"/>
          <w:lang w:eastAsia="ko-KR"/>
          <w14:textFill>
            <w14:solidFill>
              <w14:schemeClr w14:val="tx1"/>
            </w14:solidFill>
          </w14:textFill>
        </w:rPr>
        <w:t xml:space="preserve"> and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Legends</w:t>
      </w:r>
    </w:p>
    <w:p w14:paraId="347D167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35548CCF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5005" cy="4334510"/>
            <wp:effectExtent l="0" t="0" r="1714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AF32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bCs/>
          <w:szCs w:val="24"/>
        </w:rPr>
        <w:t>Fig. S1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Features of spontaneous cSCC and isolated cells.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A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H&amp;E staining of skin and subcutaneous tissues (SST) and mandibular tumor. Black arrow indicates keratin pearl, a characteristic feature of squamous cell carcinoma. Scale bar: 100 μm. 4X.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B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Isolation and cultivation of tumor cells.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C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Growth curve of cSCC cells.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D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</w:rPr>
        <w:t>Mycoplasma detection in F5 and F30 generations of cSCC cells. Negative and Positive controls are also shown.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E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Representative karyotypic analysis of normal epithelial cells from rhesus</w:t>
      </w:r>
      <w:r>
        <w:rPr>
          <w:rFonts w:hint="default" w:ascii="Times New Roman" w:hAnsi="Times New Roman" w:cs="Times New Roman"/>
          <w:szCs w:val="24"/>
          <w:lang w:eastAsia="zh-CN"/>
        </w:rPr>
        <w:t xml:space="preserve"> </w:t>
      </w:r>
      <w:r>
        <w:rPr>
          <w:rFonts w:hint="default" w:ascii="Times New Roman" w:hAnsi="Times New Roman" w:cs="Times New Roman"/>
          <w:szCs w:val="24"/>
        </w:rPr>
        <w:t>(diploid chromosome number: 42) and karyotypic aberrations in primary tumor cell from rhesus spontaneous cSCC lesions (chromosome counts: 50).</w:t>
      </w:r>
    </w:p>
    <w:p w14:paraId="5EC48A12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25359AFD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410200" cy="7512050"/>
            <wp:effectExtent l="0" t="0" r="0" b="12700"/>
            <wp:docPr id="16" name="图片 16" descr="附图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图1-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50EB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bCs/>
          <w:szCs w:val="24"/>
        </w:rPr>
        <w:t>Fig. S2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Features of spontaneous cSCC and isolated cells.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A </w:t>
      </w:r>
      <w:r>
        <w:rPr>
          <w:rFonts w:hint="default" w:ascii="Times New Roman" w:hAnsi="Times New Roman" w:cs="Times New Roman"/>
          <w:szCs w:val="24"/>
          <w:lang w:eastAsia="zh-CN"/>
        </w:rPr>
        <w:t>to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 C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Circos plots of large-scale structural variations in cSCC genomes. The plot depicts pervasive translocations and inversions across three cSCC tissue samples (CA-11454, CA-14422, CA-14397).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D </w:t>
      </w:r>
      <w:r>
        <w:rPr>
          <w:rFonts w:hint="default" w:ascii="Times New Roman" w:hAnsi="Times New Roman" w:cs="Times New Roman"/>
          <w:szCs w:val="24"/>
          <w:lang w:eastAsia="zh-CN"/>
        </w:rPr>
        <w:t>to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 F</w:t>
      </w:r>
      <w:r>
        <w:rPr>
          <w:rFonts w:hint="default" w:ascii="Times New Roman" w:hAnsi="Times New Roman" w:cs="Times New Roman"/>
          <w:szCs w:val="24"/>
          <w:lang w:eastAsia="zh-CN"/>
        </w:rPr>
        <w:t>)</w:t>
      </w:r>
      <w:r>
        <w:rPr>
          <w:rFonts w:hint="default" w:ascii="Times New Roman" w:hAnsi="Times New Roman" w:cs="Times New Roman"/>
          <w:szCs w:val="24"/>
        </w:rPr>
        <w:t xml:space="preserve"> Chromosome-level copy number variation (CNV) profiles of cSCC samples. The profiles reveal widespread genomic imbalances, with recurrent copy number gains on chromosome 8 evident across tumor samples (CA-11454, CA-14397, CA-14422).</w:t>
      </w:r>
    </w:p>
    <w:p w14:paraId="48E548C0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0C34AB92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925820" cy="2007870"/>
            <wp:effectExtent l="0" t="0" r="0" b="0"/>
            <wp:docPr id="5" name="图片 5" descr="附图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图-04"/>
                    <pic:cNvPicPr>
                      <a:picLocks noChangeAspect="1"/>
                    </pic:cNvPicPr>
                  </pic:nvPicPr>
                  <pic:blipFill>
                    <a:blip r:embed="rId8"/>
                    <a:srcRect b="7559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7E61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bCs/>
          <w:szCs w:val="24"/>
        </w:rPr>
        <w:t>Fig. S3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Results of tumor single-cell transcriptome sequencing analysis. </w:t>
      </w:r>
      <w:r>
        <w:rPr>
          <w:rFonts w:hint="default" w:ascii="Times New Roman" w:hAnsi="Times New Roman" w:cs="Times New Roman"/>
          <w:szCs w:val="24"/>
        </w:rPr>
        <w:t>Bubble plot showing major cell populations and their canonical marker gene expression.</w:t>
      </w:r>
    </w:p>
    <w:p w14:paraId="067EE120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08C2FDD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szCs w:val="24"/>
        </w:rPr>
        <w:drawing>
          <wp:inline distT="0" distB="0" distL="114300" distR="114300">
            <wp:extent cx="5787390" cy="4582160"/>
            <wp:effectExtent l="0" t="0" r="3810" b="8890"/>
            <wp:docPr id="6" name="图片 6" descr="附图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图-05"/>
                    <pic:cNvPicPr>
                      <a:picLocks noChangeAspect="1"/>
                    </pic:cNvPicPr>
                  </pic:nvPicPr>
                  <pic:blipFill>
                    <a:blip r:embed="rId9"/>
                    <a:srcRect b="43008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593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Cs w:val="24"/>
        </w:rPr>
      </w:pPr>
      <w:r>
        <w:rPr>
          <w:rFonts w:hint="default" w:ascii="Times New Roman" w:hAnsi="Times New Roman" w:cs="Times New Roman"/>
          <w:b/>
          <w:bCs/>
          <w:szCs w:val="24"/>
        </w:rPr>
        <w:t>Fig. S4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.</w:t>
      </w:r>
      <w:r>
        <w:rPr>
          <w:rFonts w:hint="default" w:ascii="Times New Roman" w:hAnsi="Times New Roman" w:cs="Times New Roman"/>
          <w:b/>
          <w:bCs/>
          <w:szCs w:val="24"/>
        </w:rPr>
        <w:t xml:space="preserve"> GO enrichment analysis of the macaque cSCC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4"/>
        </w:rPr>
        <w:t>proteome.</w:t>
      </w:r>
    </w:p>
    <w:p w14:paraId="7E3615C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3235BA0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szCs w:val="24"/>
          <w:lang w:eastAsia="zh-CN"/>
        </w:rPr>
        <w:drawing>
          <wp:inline distT="0" distB="0" distL="114300" distR="114300">
            <wp:extent cx="5912485" cy="3569970"/>
            <wp:effectExtent l="0" t="0" r="12065" b="11430"/>
            <wp:docPr id="17" name="图片 17" descr="附图1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图1-06"/>
                    <pic:cNvPicPr>
                      <a:picLocks noChangeAspect="1"/>
                    </pic:cNvPicPr>
                  </pic:nvPicPr>
                  <pic:blipFill>
                    <a:blip r:embed="rId10"/>
                    <a:srcRect b="56517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2A02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Fig. S5. Expression of MYO10 in head and neck squamous cell carcinoma (HNSC) and its functional impact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A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 xml:space="preserve">) Expression of </w:t>
      </w:r>
      <w:r>
        <w:rPr>
          <w:rFonts w:hint="default" w:ascii="Times New Roman" w:hAnsi="Times New Roman" w:cs="Times New Roman"/>
          <w:b w:val="0"/>
          <w:bCs w:val="0"/>
          <w:i/>
          <w:iCs/>
          <w:lang w:eastAsia="zh-CN"/>
        </w:rPr>
        <w:t>MYO10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 xml:space="preserve"> in HNSC based on individual cancer stages.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B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 xml:space="preserve">) mRNA expression of </w:t>
      </w:r>
      <w:r>
        <w:rPr>
          <w:rFonts w:hint="default" w:ascii="Times New Roman" w:hAnsi="Times New Roman" w:cs="Times New Roman"/>
          <w:b w:val="0"/>
          <w:bCs w:val="0"/>
          <w:i/>
          <w:iCs/>
          <w:lang w:eastAsia="zh-CN"/>
        </w:rPr>
        <w:t>MYO10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 xml:space="preserve"> in HNSC based on nodal metastasis status.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 xml:space="preserve">C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and</w:t>
      </w:r>
      <w:r>
        <w:rPr>
          <w:rFonts w:hint="default" w:ascii="Times New Roman" w:hAnsi="Times New Roman" w:cs="Times New Roman"/>
          <w:lang w:eastAsia="zh-CN"/>
        </w:rPr>
        <w:t xml:space="preserve"> D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 Effects of MYO10 overexpression on the morphology and proliferation of HDF cells.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HDF: human dermal fibroblasts. Scale bar: 100 μm.</w:t>
      </w:r>
    </w:p>
    <w:p w14:paraId="20C4A8A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6708D6A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77C1C9E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szCs w:val="24"/>
          <w:lang w:eastAsia="zh-CN"/>
        </w:rPr>
        <w:drawing>
          <wp:inline distT="0" distB="0" distL="114300" distR="114300">
            <wp:extent cx="5925820" cy="4652645"/>
            <wp:effectExtent l="0" t="0" r="0" b="0"/>
            <wp:docPr id="18" name="图片 18" descr="附图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图1-07"/>
                    <pic:cNvPicPr>
                      <a:picLocks noChangeAspect="1"/>
                    </pic:cNvPicPr>
                  </pic:nvPicPr>
                  <pic:blipFill>
                    <a:blip r:embed="rId11"/>
                    <a:srcRect b="4344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022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Fig. S6. Paclitaxel treatment and its effects on tumor development in nude mice. </w:t>
      </w:r>
      <w:r>
        <w:rPr>
          <w:rFonts w:hint="default" w:ascii="Times New Roman" w:hAnsi="Times New Roman" w:cs="Times New Roman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A</w:t>
      </w:r>
      <w:r>
        <w:rPr>
          <w:rFonts w:hint="default" w:ascii="Times New Roman" w:hAnsi="Times New Roman" w:cs="Times New Roman"/>
          <w:szCs w:val="24"/>
          <w:lang w:eastAsia="zh-CN"/>
        </w:rPr>
        <w:t>) H&amp;E staining of tumor developed in nude mice. Black arrow indicates keratin pearl, a characteristic feature of squamous cell carcinoma. Scale bar: 100 μm. (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B</w:t>
      </w:r>
      <w:r>
        <w:rPr>
          <w:rFonts w:hint="default" w:ascii="Times New Roman" w:hAnsi="Times New Roman" w:cs="Times New Roman"/>
          <w:szCs w:val="24"/>
          <w:lang w:eastAsia="zh-CN"/>
        </w:rPr>
        <w:t xml:space="preserve">) IHC detection of p63, CK5/6, and Ki67 in transplanted tumors in nude mice. Scale bar: 100 μm. </w:t>
      </w:r>
    </w:p>
    <w:p w14:paraId="6872E6BA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941060" cy="5232400"/>
            <wp:effectExtent l="0" t="0" r="254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FCBB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 xml:space="preserve">Fig. S7. Paclitaxel treatment and its effects on tumor development in nude mice.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A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Macroscopic views of xenograft tumors from mice treated with vehicle or paclitaxel, illustrating the impact of treatment on tumor size. (</w:t>
      </w:r>
      <w:r>
        <w:rPr>
          <w:rFonts w:hint="default" w:ascii="Times New Roman" w:hAnsi="Times New Roman" w:cs="Times New Roman"/>
          <w:lang w:eastAsia="zh-CN"/>
        </w:rPr>
        <w:t>B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Organ weight measurements in nude mice after paclitaxel treatment. Data are expressed as mean ± SEM (n = 5 mice per group). No significant differences were observed.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C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 xml:space="preserve"> to </w:t>
      </w:r>
      <w:r>
        <w:rPr>
          <w:rFonts w:hint="default" w:ascii="Times New Roman" w:hAnsi="Times New Roman" w:cs="Times New Roman"/>
          <w:lang w:eastAsia="zh-CN"/>
        </w:rPr>
        <w:t>N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 Blood routine examination indicators of nude mice after paclitaxel treatment. No significant differences were observed.</w:t>
      </w:r>
    </w:p>
    <w:p w14:paraId="4CADDBCE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lang w:eastAsia="zh-CN"/>
        </w:rPr>
      </w:pPr>
    </w:p>
    <w:p w14:paraId="5389C217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lang w:eastAsia="zh-CN"/>
        </w:rPr>
      </w:pPr>
    </w:p>
    <w:p w14:paraId="57327A9F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935980" cy="3333750"/>
            <wp:effectExtent l="0" t="0" r="762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ADBF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 xml:space="preserve">Fig. S8. Systemic safety and tolerability of paclitaxel treatment in a macaque model.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A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 Body weight of the rhesus macaque before and after treatment initiation. A slight decrease was observed following paclitaxel administration, though substantial weight loss had already occurred before treatment.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B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 Body temperature recordings throughout the treatment period. No obvious variations were detected.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C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Cardiovascular vital signs (CVS) were monitored during treatment. All parameters remained stable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with no notable changes.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>D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Serum creatine kinase (CK) levels following paclitaxel treatment. Values remained within the normal reference range for rhesus macaques (116.00–845.60 U/L), despite a mild elevation post-treatment.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(</w:t>
      </w:r>
      <w:r>
        <w:rPr>
          <w:rFonts w:hint="default" w:ascii="Times New Roman" w:hAnsi="Times New Roman" w:cs="Times New Roman"/>
          <w:lang w:eastAsia="zh-CN"/>
        </w:rPr>
        <w:t xml:space="preserve">E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and</w:t>
      </w:r>
      <w:r>
        <w:rPr>
          <w:rFonts w:hint="default" w:ascii="Times New Roman" w:hAnsi="Times New Roman" w:cs="Times New Roman"/>
          <w:lang w:eastAsia="zh-CN"/>
        </w:rPr>
        <w:t xml:space="preserve"> F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Hematological parameters were assessed after paclitaxel administration. All blood cell counts remained within normal physiological ranges.</w:t>
      </w:r>
    </w:p>
    <w:p w14:paraId="2BB010A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szCs w:val="24"/>
          <w:lang w:eastAsia="zh-CN"/>
        </w:rPr>
        <w:br w:type="page"/>
      </w:r>
    </w:p>
    <w:tbl>
      <w:tblPr>
        <w:tblStyle w:val="88"/>
        <w:tblW w:w="91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0"/>
        <w:gridCol w:w="1620"/>
        <w:gridCol w:w="1400"/>
        <w:gridCol w:w="880"/>
        <w:gridCol w:w="2200"/>
        <w:gridCol w:w="2260"/>
      </w:tblGrid>
      <w:tr w14:paraId="1EFD8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9180" w:type="dxa"/>
            <w:gridSpan w:val="6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65BBF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 xml:space="preserve">Table </w:t>
            </w:r>
            <w:r>
              <w:rPr>
                <w:rFonts w:hint="default" w:ascii="Times New Roman" w:hAnsi="Times New Roman" w:cs="Times New Roman"/>
                <w:b/>
                <w:bCs/>
                <w:lang w:eastAsia="zh-CN"/>
              </w:rPr>
              <w:t>S</w:t>
            </w:r>
            <w:r>
              <w:rPr>
                <w:rFonts w:hint="default" w:ascii="Times New Roman" w:hAnsi="Times New Roman" w:cs="Times New Roman"/>
                <w:b/>
                <w:bCs/>
              </w:rPr>
              <w:t>1.</w:t>
            </w:r>
            <w:r>
              <w:rPr>
                <w:rFonts w:hint="default" w:ascii="Times New Roman" w:hAnsi="Times New Roman" w:cs="Times New Roman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Epidemiological</w:t>
            </w:r>
            <w:r>
              <w:rPr>
                <w:rFonts w:hint="default" w:ascii="Times New Roman" w:hAnsi="Times New Roman" w:cs="Times New Roman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characteristics</w:t>
            </w:r>
            <w:r>
              <w:rPr>
                <w:rFonts w:hint="default" w:ascii="Times New Roman" w:hAnsi="Times New Roman" w:cs="Times New Roman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of</w:t>
            </w:r>
            <w:r>
              <w:rPr>
                <w:rFonts w:hint="default" w:ascii="Times New Roman" w:hAnsi="Times New Roman" w:cs="Times New Roman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affected</w:t>
            </w:r>
            <w:r>
              <w:rPr>
                <w:rFonts w:hint="default" w:ascii="Times New Roman" w:hAnsi="Times New Roman" w:cs="Times New Roman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macaques.</w:t>
            </w:r>
          </w:p>
          <w:p w14:paraId="33C73BA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left"/>
              <w:rPr>
                <w:rFonts w:hint="default" w:ascii="Times New Roman" w:hAnsi="Times New Roman" w:cs="Times New Roman"/>
              </w:rPr>
            </w:pPr>
          </w:p>
        </w:tc>
      </w:tr>
      <w:tr w14:paraId="235E7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8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DA6AA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16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B155B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Total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macaques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(n)</w:t>
            </w:r>
          </w:p>
        </w:tc>
        <w:tc>
          <w:tcPr>
            <w:tcW w:w="14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CB5CD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Affected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(n)</w:t>
            </w:r>
          </w:p>
        </w:tc>
        <w:tc>
          <w:tcPr>
            <w:tcW w:w="88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EB6D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Deaths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(n)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69ED8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Incidence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rate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(per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million)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569A7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Mortality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rate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(per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million)</w:t>
            </w:r>
          </w:p>
        </w:tc>
      </w:tr>
      <w:tr w14:paraId="33320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8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70513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6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6C142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1553</w:t>
            </w:r>
          </w:p>
        </w:tc>
        <w:tc>
          <w:tcPr>
            <w:tcW w:w="14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44A38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8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F756F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41E3C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2575.66 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C64D5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1931.75 </w:t>
            </w:r>
          </w:p>
        </w:tc>
      </w:tr>
      <w:tr w14:paraId="695A5C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8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6AAF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Male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6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1175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1199</w:t>
            </w:r>
          </w:p>
        </w:tc>
        <w:tc>
          <w:tcPr>
            <w:tcW w:w="14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AF5A1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23339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C743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834.03 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A567C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834.03 </w:t>
            </w:r>
          </w:p>
        </w:tc>
      </w:tr>
      <w:tr w14:paraId="1D8437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8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85355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Total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62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669B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2752</w:t>
            </w:r>
          </w:p>
        </w:tc>
        <w:tc>
          <w:tcPr>
            <w:tcW w:w="14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EC349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7EF35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86850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1816.86 </w:t>
            </w:r>
          </w:p>
        </w:tc>
        <w:tc>
          <w:tcPr>
            <w:tcW w:w="2200" w:type="dxa"/>
            <w:tcBorders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71E2A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 xml:space="preserve">1453.49 </w:t>
            </w:r>
          </w:p>
        </w:tc>
      </w:tr>
    </w:tbl>
    <w:p w14:paraId="33597B5B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tbl>
      <w:tblPr>
        <w:tblStyle w:val="88"/>
        <w:tblW w:w="91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70"/>
        <w:gridCol w:w="1893"/>
        <w:gridCol w:w="1955"/>
        <w:gridCol w:w="2161"/>
        <w:gridCol w:w="2120"/>
      </w:tblGrid>
      <w:tr w14:paraId="322B2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199" w:type="dxa"/>
            <w:gridSpan w:val="5"/>
            <w:tcBorders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E1627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 xml:space="preserve">Table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>S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2.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Timeline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from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tumor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onset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to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death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for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macaques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with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spontaneous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kern w:val="32"/>
                <w:sz w:val="24"/>
                <w:szCs w:val="24"/>
                <w:lang w:val="en-US" w:eastAsia="en-US" w:bidi="ar-SA"/>
              </w:rPr>
              <w:t>cSCC.</w:t>
            </w:r>
          </w:p>
        </w:tc>
      </w:tr>
      <w:tr w14:paraId="4BF07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1070" w:type="dxa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5EF0A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Macaque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ID</w:t>
            </w:r>
          </w:p>
        </w:tc>
        <w:tc>
          <w:tcPr>
            <w:tcW w:w="1893" w:type="dxa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C3D98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onset</w:t>
            </w:r>
          </w:p>
        </w:tc>
        <w:tc>
          <w:tcPr>
            <w:tcW w:w="1955" w:type="dxa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4D8A6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Age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at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onset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(year,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human-equivalent*)</w:t>
            </w:r>
          </w:p>
        </w:tc>
        <w:tc>
          <w:tcPr>
            <w:tcW w:w="2161" w:type="dxa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C222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death</w:t>
            </w:r>
          </w:p>
        </w:tc>
        <w:tc>
          <w:tcPr>
            <w:tcW w:w="2120" w:type="dxa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23444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Time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from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diagnosis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death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(d)</w:t>
            </w:r>
          </w:p>
        </w:tc>
      </w:tr>
      <w:tr w14:paraId="005BB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70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8DEC6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07350</w:t>
            </w:r>
          </w:p>
        </w:tc>
        <w:tc>
          <w:tcPr>
            <w:tcW w:w="1893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1565E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2022.01.08</w:t>
            </w:r>
          </w:p>
        </w:tc>
        <w:tc>
          <w:tcPr>
            <w:tcW w:w="1955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1F04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52.5</w:t>
            </w:r>
          </w:p>
        </w:tc>
        <w:tc>
          <w:tcPr>
            <w:tcW w:w="2161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2A24D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2022.09.05</w:t>
            </w:r>
          </w:p>
        </w:tc>
        <w:tc>
          <w:tcPr>
            <w:tcW w:w="2120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73DC5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241</w:t>
            </w:r>
          </w:p>
        </w:tc>
      </w:tr>
      <w:tr w14:paraId="421E5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7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FCE0A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07090</w:t>
            </w:r>
          </w:p>
        </w:tc>
        <w:tc>
          <w:tcPr>
            <w:tcW w:w="1893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1C5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2024.10.21</w:t>
            </w:r>
          </w:p>
        </w:tc>
        <w:tc>
          <w:tcPr>
            <w:tcW w:w="1955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03A3E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59.5</w:t>
            </w:r>
          </w:p>
        </w:tc>
        <w:tc>
          <w:tcPr>
            <w:tcW w:w="216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50248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2024.12.03</w:t>
            </w:r>
          </w:p>
        </w:tc>
        <w:tc>
          <w:tcPr>
            <w:tcW w:w="212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AFEA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44</w:t>
            </w:r>
          </w:p>
        </w:tc>
      </w:tr>
      <w:tr w14:paraId="3C3DA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7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4456C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11454</w:t>
            </w:r>
          </w:p>
        </w:tc>
        <w:tc>
          <w:tcPr>
            <w:tcW w:w="1893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9F7E0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2023.10.09</w:t>
            </w:r>
          </w:p>
        </w:tc>
        <w:tc>
          <w:tcPr>
            <w:tcW w:w="1955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12D27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42</w:t>
            </w:r>
          </w:p>
        </w:tc>
        <w:tc>
          <w:tcPr>
            <w:tcW w:w="216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C4370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2024.01.30</w:t>
            </w:r>
          </w:p>
        </w:tc>
        <w:tc>
          <w:tcPr>
            <w:tcW w:w="212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F48F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114</w:t>
            </w:r>
          </w:p>
        </w:tc>
      </w:tr>
      <w:tr w14:paraId="391B9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7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B3E6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14397</w:t>
            </w:r>
          </w:p>
        </w:tc>
        <w:tc>
          <w:tcPr>
            <w:tcW w:w="1893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B273D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2022.10.28</w:t>
            </w:r>
          </w:p>
        </w:tc>
        <w:tc>
          <w:tcPr>
            <w:tcW w:w="1955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81C47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28</w:t>
            </w:r>
          </w:p>
        </w:tc>
        <w:tc>
          <w:tcPr>
            <w:tcW w:w="216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F14B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2023.01.04</w:t>
            </w:r>
          </w:p>
        </w:tc>
        <w:tc>
          <w:tcPr>
            <w:tcW w:w="2120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1842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68</w:t>
            </w:r>
          </w:p>
        </w:tc>
      </w:tr>
      <w:tr w14:paraId="1C5B2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70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832B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14422</w:t>
            </w:r>
          </w:p>
        </w:tc>
        <w:tc>
          <w:tcPr>
            <w:tcW w:w="1893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5B74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2024.04.10</w:t>
            </w:r>
          </w:p>
        </w:tc>
        <w:tc>
          <w:tcPr>
            <w:tcW w:w="1955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6657D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35</w:t>
            </w:r>
          </w:p>
        </w:tc>
        <w:tc>
          <w:tcPr>
            <w:tcW w:w="2161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D1D65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2024.09.20</w:t>
            </w:r>
          </w:p>
        </w:tc>
        <w:tc>
          <w:tcPr>
            <w:tcW w:w="2120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249F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D0D0D"/>
                <w:sz w:val="20"/>
                <w:szCs w:val="20"/>
              </w:rPr>
              <w:t>164</w:t>
            </w:r>
          </w:p>
        </w:tc>
      </w:tr>
    </w:tbl>
    <w:p w14:paraId="75C3F524">
      <w:pPr>
        <w:pStyle w:val="105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szCs w:val="24"/>
        </w:rPr>
        <w:t>*Human-equivalent age was calculated by multiplying macaque age by 3.</w:t>
      </w:r>
      <w:r>
        <w:rPr>
          <w:rFonts w:hint="default" w:ascii="Times New Roman" w:hAnsi="Times New Roman" w:cs="Times New Roman"/>
          <w:szCs w:val="24"/>
          <w:lang w:eastAsia="zh-CN"/>
        </w:rPr>
        <w:t>0.</w:t>
      </w:r>
    </w:p>
    <w:p w14:paraId="2191C6DE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  <w:lang w:eastAsia="zh-CN"/>
        </w:rPr>
        <w:t>S</w:t>
      </w:r>
      <w:r>
        <w:rPr>
          <w:rFonts w:hint="default" w:ascii="Times New Roman" w:hAnsi="Times New Roman" w:cs="Times New Roman"/>
        </w:rPr>
        <w:t>3.</w:t>
      </w:r>
      <w:r>
        <w:rPr>
          <w:rFonts w:hint="default" w:ascii="Times New Roman" w:hAnsi="Times New Roman" w:cs="Times New Roman"/>
          <w:lang w:eastAsia="zh-CN"/>
        </w:rPr>
        <w:t xml:space="preserve"> List of </w:t>
      </w:r>
      <w:r>
        <w:rPr>
          <w:rFonts w:hint="default" w:ascii="Times New Roman" w:hAnsi="Times New Roman" w:cs="Times New Roman"/>
        </w:rPr>
        <w:t>qPCR primers used in this study</w:t>
      </w:r>
      <w:r>
        <w:rPr>
          <w:rFonts w:hint="default" w:ascii="Times New Roman" w:hAnsi="Times New Roman" w:cs="Times New Roman"/>
          <w:lang w:eastAsia="zh-CN"/>
        </w:rPr>
        <w:t>.</w:t>
      </w:r>
    </w:p>
    <w:p w14:paraId="67954E3F">
      <w:pPr>
        <w:spacing w:line="225" w:lineRule="exact"/>
        <w:rPr>
          <w:rFonts w:hint="default" w:ascii="Times New Roman" w:hAnsi="Times New Roman" w:cs="Times New Roman"/>
        </w:rPr>
      </w:pPr>
    </w:p>
    <w:tbl>
      <w:tblPr>
        <w:tblStyle w:val="148"/>
        <w:tblW w:w="6897" w:type="dxa"/>
        <w:tblInd w:w="51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4771"/>
      </w:tblGrid>
      <w:tr w14:paraId="541CA9B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6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441A9FB2">
            <w:pPr>
              <w:pStyle w:val="147"/>
              <w:spacing w:before="149" w:line="196" w:lineRule="auto"/>
              <w:ind w:left="61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Primers</w:t>
            </w:r>
          </w:p>
        </w:tc>
        <w:tc>
          <w:tcPr>
            <w:tcW w:w="4771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1011C2B3">
            <w:pPr>
              <w:pStyle w:val="147"/>
              <w:spacing w:before="91" w:line="257" w:lineRule="exact"/>
              <w:ind w:left="147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1"/>
                <w:position w:val="3"/>
                <w:sz w:val="24"/>
                <w:szCs w:val="24"/>
              </w:rPr>
              <w:t>Sequence (5'</w:t>
            </w:r>
            <w:r>
              <w:rPr>
                <w:rFonts w:hint="default" w:ascii="Times New Roman" w:hAnsi="Times New Roman" w:cs="Times New Roman"/>
                <w:b/>
                <w:bCs/>
                <w:spacing w:val="3"/>
                <w:position w:val="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pacing w:val="-1"/>
                <w:position w:val="3"/>
                <w:sz w:val="24"/>
                <w:szCs w:val="24"/>
              </w:rPr>
              <w:t>to</w:t>
            </w:r>
            <w:r>
              <w:rPr>
                <w:rFonts w:hint="default" w:ascii="Times New Roman" w:hAnsi="Times New Roman" w:cs="Times New Roman"/>
                <w:b/>
                <w:bCs/>
                <w:spacing w:val="7"/>
                <w:position w:val="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pacing w:val="-1"/>
                <w:position w:val="3"/>
                <w:sz w:val="24"/>
                <w:szCs w:val="24"/>
              </w:rPr>
              <w:t>3')</w:t>
            </w:r>
          </w:p>
        </w:tc>
      </w:tr>
      <w:tr w14:paraId="37DF7E4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126" w:type="dxa"/>
            <w:tcBorders>
              <w:top w:val="single" w:color="000000" w:sz="4" w:space="0"/>
            </w:tcBorders>
            <w:vAlign w:val="top"/>
          </w:tcPr>
          <w:p w14:paraId="45970089">
            <w:pPr>
              <w:pStyle w:val="147"/>
              <w:spacing w:before="123" w:line="196" w:lineRule="auto"/>
              <w:ind w:left="638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rATM-F</w:t>
            </w:r>
          </w:p>
        </w:tc>
        <w:tc>
          <w:tcPr>
            <w:tcW w:w="4771" w:type="dxa"/>
            <w:tcBorders>
              <w:top w:val="single" w:color="000000" w:sz="4" w:space="0"/>
            </w:tcBorders>
            <w:vAlign w:val="top"/>
          </w:tcPr>
          <w:p w14:paraId="27E23030">
            <w:pPr>
              <w:pStyle w:val="147"/>
              <w:spacing w:before="121" w:line="198" w:lineRule="auto"/>
              <w:ind w:left="96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ATTTGCTGCCGTCAACTAGAA</w:t>
            </w:r>
          </w:p>
        </w:tc>
      </w:tr>
      <w:tr w14:paraId="0BC3C9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126" w:type="dxa"/>
            <w:vAlign w:val="top"/>
          </w:tcPr>
          <w:p w14:paraId="3C4A0984">
            <w:pPr>
              <w:pStyle w:val="147"/>
              <w:spacing w:before="128" w:line="196" w:lineRule="auto"/>
              <w:ind w:left="628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rATM-R</w:t>
            </w:r>
          </w:p>
        </w:tc>
        <w:tc>
          <w:tcPr>
            <w:tcW w:w="4771" w:type="dxa"/>
            <w:vAlign w:val="top"/>
          </w:tcPr>
          <w:p w14:paraId="6874532E">
            <w:pPr>
              <w:pStyle w:val="147"/>
              <w:spacing w:before="126" w:line="198" w:lineRule="auto"/>
              <w:ind w:left="894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GATCTCGAATCAGGCGCTTAAA</w:t>
            </w:r>
          </w:p>
        </w:tc>
      </w:tr>
      <w:tr w14:paraId="6A45A6B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126" w:type="dxa"/>
            <w:vAlign w:val="top"/>
          </w:tcPr>
          <w:p w14:paraId="3B3F48D1">
            <w:pPr>
              <w:pStyle w:val="147"/>
              <w:spacing w:before="129" w:line="196" w:lineRule="auto"/>
              <w:ind w:left="648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rATR-F</w:t>
            </w:r>
          </w:p>
        </w:tc>
        <w:tc>
          <w:tcPr>
            <w:tcW w:w="4771" w:type="dxa"/>
            <w:vAlign w:val="top"/>
          </w:tcPr>
          <w:p w14:paraId="4EB3BA49">
            <w:pPr>
              <w:pStyle w:val="147"/>
              <w:spacing w:before="127" w:line="198" w:lineRule="auto"/>
              <w:ind w:left="944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GGCCAAAGGCAGTTGTATTGA</w:t>
            </w:r>
          </w:p>
        </w:tc>
      </w:tr>
      <w:tr w14:paraId="115FEF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126" w:type="dxa"/>
            <w:vAlign w:val="top"/>
          </w:tcPr>
          <w:p w14:paraId="4D053BBD">
            <w:pPr>
              <w:pStyle w:val="147"/>
              <w:spacing w:before="131" w:line="196" w:lineRule="auto"/>
              <w:ind w:left="638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rATR-R</w:t>
            </w:r>
          </w:p>
        </w:tc>
        <w:tc>
          <w:tcPr>
            <w:tcW w:w="4771" w:type="dxa"/>
            <w:vAlign w:val="top"/>
          </w:tcPr>
          <w:p w14:paraId="6391C813">
            <w:pPr>
              <w:pStyle w:val="147"/>
              <w:spacing w:before="129" w:line="198" w:lineRule="auto"/>
              <w:ind w:left="814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GTGAGTACCCCAAAAATAGCAGG</w:t>
            </w:r>
          </w:p>
        </w:tc>
      </w:tr>
      <w:tr w14:paraId="2205BA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126" w:type="dxa"/>
            <w:vAlign w:val="top"/>
          </w:tcPr>
          <w:p w14:paraId="573C8DC1">
            <w:pPr>
              <w:pStyle w:val="147"/>
              <w:spacing w:before="75" w:line="246" w:lineRule="exact"/>
              <w:ind w:left="70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position w:val="1"/>
                <w:sz w:val="24"/>
                <w:szCs w:val="24"/>
              </w:rPr>
              <w:t>rIL6-F</w:t>
            </w:r>
          </w:p>
        </w:tc>
        <w:tc>
          <w:tcPr>
            <w:tcW w:w="4771" w:type="dxa"/>
            <w:vAlign w:val="top"/>
          </w:tcPr>
          <w:p w14:paraId="07F51C65">
            <w:pPr>
              <w:pStyle w:val="147"/>
              <w:spacing w:before="130" w:line="198" w:lineRule="auto"/>
              <w:ind w:left="8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ACTGACCTCTTCAGAACGAAT</w:t>
            </w: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TG</w:t>
            </w:r>
          </w:p>
        </w:tc>
      </w:tr>
      <w:tr w14:paraId="6FB7F1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26" w:type="dxa"/>
            <w:vAlign w:val="top"/>
          </w:tcPr>
          <w:p w14:paraId="2FA0C28E">
            <w:pPr>
              <w:pStyle w:val="147"/>
              <w:spacing w:before="77" w:line="246" w:lineRule="exact"/>
              <w:ind w:left="69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position w:val="1"/>
                <w:sz w:val="24"/>
                <w:szCs w:val="24"/>
              </w:rPr>
              <w:t>rIL6-R</w:t>
            </w:r>
          </w:p>
        </w:tc>
        <w:tc>
          <w:tcPr>
            <w:tcW w:w="4771" w:type="dxa"/>
            <w:vAlign w:val="top"/>
          </w:tcPr>
          <w:p w14:paraId="7BEB957A">
            <w:pPr>
              <w:pStyle w:val="147"/>
              <w:spacing w:before="132" w:line="198" w:lineRule="auto"/>
              <w:ind w:left="82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CCTGAACCTTCCAAAGATGGCTG</w:t>
            </w:r>
          </w:p>
        </w:tc>
      </w:tr>
      <w:tr w14:paraId="2918C3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126" w:type="dxa"/>
            <w:vAlign w:val="top"/>
          </w:tcPr>
          <w:p w14:paraId="71849A16">
            <w:pPr>
              <w:pStyle w:val="147"/>
              <w:spacing w:before="134" w:line="196" w:lineRule="auto"/>
              <w:ind w:left="571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rTNF-α-F</w:t>
            </w:r>
          </w:p>
        </w:tc>
        <w:tc>
          <w:tcPr>
            <w:tcW w:w="4771" w:type="dxa"/>
            <w:vAlign w:val="top"/>
          </w:tcPr>
          <w:p w14:paraId="6AB6C251">
            <w:pPr>
              <w:pStyle w:val="147"/>
              <w:spacing w:before="133" w:line="198" w:lineRule="auto"/>
              <w:ind w:left="898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CCCCTCTCTAATCAGCCCTCTG</w:t>
            </w:r>
          </w:p>
        </w:tc>
      </w:tr>
      <w:tr w14:paraId="1D0D9F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126" w:type="dxa"/>
            <w:tcBorders>
              <w:bottom w:val="single" w:color="000000" w:sz="4" w:space="0"/>
            </w:tcBorders>
            <w:vAlign w:val="top"/>
          </w:tcPr>
          <w:p w14:paraId="26103C7D">
            <w:pPr>
              <w:pStyle w:val="147"/>
              <w:spacing w:before="135" w:line="196" w:lineRule="auto"/>
              <w:ind w:left="561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rTNF-α-R</w:t>
            </w:r>
          </w:p>
        </w:tc>
        <w:tc>
          <w:tcPr>
            <w:tcW w:w="4771" w:type="dxa"/>
            <w:tcBorders>
              <w:bottom w:val="single" w:color="000000" w:sz="4" w:space="0"/>
            </w:tcBorders>
            <w:vAlign w:val="top"/>
          </w:tcPr>
          <w:p w14:paraId="30074709">
            <w:pPr>
              <w:pStyle w:val="147"/>
              <w:spacing w:before="134" w:line="198" w:lineRule="auto"/>
              <w:ind w:left="90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>GAGGACCTGGGAGTAGATGAG</w:t>
            </w:r>
          </w:p>
        </w:tc>
      </w:tr>
    </w:tbl>
    <w:p w14:paraId="188804FF">
      <w:pPr>
        <w:rPr>
          <w:rFonts w:hint="default" w:ascii="Times New Roman" w:hAnsi="Times New Roman" w:cs="Times New Roman"/>
          <w:sz w:val="21"/>
        </w:rPr>
      </w:pPr>
    </w:p>
    <w:p w14:paraId="71782F46">
      <w:pPr>
        <w:rPr>
          <w:rFonts w:hint="default" w:ascii="Times New Roman" w:hAnsi="Times New Roman" w:eastAsia="Arial" w:cs="Times New Roman"/>
          <w:sz w:val="21"/>
          <w:szCs w:val="21"/>
        </w:rPr>
      </w:pPr>
    </w:p>
    <w:p w14:paraId="1F8AB69C">
      <w:pPr>
        <w:rPr>
          <w:rFonts w:hint="default" w:ascii="Times New Roman" w:hAnsi="Times New Roman" w:eastAsia="Arial" w:cs="Times New Roman"/>
          <w:sz w:val="21"/>
          <w:szCs w:val="21"/>
        </w:rPr>
      </w:pPr>
      <w:r>
        <w:rPr>
          <w:rFonts w:hint="default" w:ascii="Times New Roman" w:hAnsi="Times New Roman" w:eastAsia="Arial" w:cs="Times New Roman"/>
          <w:sz w:val="21"/>
          <w:szCs w:val="21"/>
        </w:rPr>
        <w:br w:type="page"/>
      </w:r>
    </w:p>
    <w:p w14:paraId="54EABFC0">
      <w:pPr>
        <w:pStyle w:val="102"/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  <w:lang w:eastAsia="zh-CN"/>
        </w:rPr>
        <w:t>S4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eastAsia="zh-CN"/>
        </w:rPr>
        <w:t xml:space="preserve"> Antibodies used in this study.</w:t>
      </w:r>
    </w:p>
    <w:tbl>
      <w:tblPr>
        <w:tblStyle w:val="88"/>
        <w:tblW w:w="87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72"/>
        <w:gridCol w:w="1994"/>
        <w:gridCol w:w="1117"/>
        <w:gridCol w:w="2031"/>
        <w:gridCol w:w="1041"/>
        <w:gridCol w:w="1302"/>
      </w:tblGrid>
      <w:tr w14:paraId="36D84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7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16AC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Name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this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article</w:t>
            </w:r>
          </w:p>
        </w:tc>
        <w:tc>
          <w:tcPr>
            <w:tcW w:w="199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06E18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Product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1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8C181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Experiment</w:t>
            </w:r>
          </w:p>
        </w:tc>
        <w:tc>
          <w:tcPr>
            <w:tcW w:w="203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9481B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Manufacturer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information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04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84BF2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Item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130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0E4F7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Dilution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ratio</w:t>
            </w:r>
          </w:p>
        </w:tc>
      </w:tr>
      <w:tr w14:paraId="69A88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72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8B041E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Caspase-3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994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42A307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Caspase-3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Rabbit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mAb</w:t>
            </w:r>
          </w:p>
        </w:tc>
        <w:tc>
          <w:tcPr>
            <w:tcW w:w="1117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D51116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F8C4BE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Abclonal,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Wuhan,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041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52B916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A19654</w:t>
            </w:r>
          </w:p>
        </w:tc>
        <w:tc>
          <w:tcPr>
            <w:tcW w:w="1302" w:type="dxa"/>
            <w:tcBorders>
              <w:top w:val="single" w:color="auto" w:sz="4" w:space="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94DA04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7E315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2DD7DD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cCaspase3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B67C35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Cleaved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Caspase-3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(Asp175)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0ADDF7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037DB4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Cell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Signaling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Technology,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E2688F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9661S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93D6A2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53E69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B06D47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PARP/cPARP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933C3D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PARP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EA3062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443147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Cell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Signaling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Technology,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7E5585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9542S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F18019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47101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3551A4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β-actin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F49EDE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β-Actin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Rabbit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Monoclonal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FAF9F6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95188B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Beyotime,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Tianjin,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34CAD3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AF5003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9646EB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56585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83ADD1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γ-H2AX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D88FF7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Phospho-Histone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H2AX-S139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Rabbit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mAb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AE716F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CCC44E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Abclonal,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Wuhan,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F10CA5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AP0687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653E12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3BD8E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B442DA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MYO10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3E8556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MYO10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Rabbit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Polyclonal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C7E0D0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BCA13C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Huabio,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Shanghai,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E05D1E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ER60875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6EFC7D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5D131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50DF7F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P-p65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4241C4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NFκB-p65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(phospho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Ser468)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Polyclonal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62B136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WB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DB2415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UpingBiO,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Hangzhou,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CHINA)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A750BD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YP-Ab-01269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AB5511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1:1000</w:t>
            </w:r>
          </w:p>
        </w:tc>
      </w:tr>
      <w:tr w14:paraId="5695B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CB283E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SCCA1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80CFD6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Anti-SerpinB3/SCCA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F9E316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A8D288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E113D5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ab154971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B7CA81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1：100</w:t>
            </w:r>
          </w:p>
        </w:tc>
      </w:tr>
      <w:tr w14:paraId="44B52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017E6D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Ki67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DA4C23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Anti-Ki67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AEFD4C4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0310DB1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E5F8DB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ab245113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20FDDF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1：100</w:t>
            </w:r>
          </w:p>
        </w:tc>
      </w:tr>
      <w:tr w14:paraId="78F93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1D8B40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F2FF4D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Anti-pan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Cytokeratin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3A723A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48ACEF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FBA0CB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ab7753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top"/>
          </w:tcPr>
          <w:p w14:paraId="0524BCA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1：560</w:t>
            </w:r>
          </w:p>
        </w:tc>
      </w:tr>
      <w:tr w14:paraId="681FC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A66A8F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Vimentin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3A48C4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Anti-Vimentin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E0A999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3FA269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54AFF3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ab92547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top"/>
          </w:tcPr>
          <w:p w14:paraId="0C10C16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1：250</w:t>
            </w:r>
          </w:p>
        </w:tc>
      </w:tr>
      <w:tr w14:paraId="0794EB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5C391C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Goat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Anti-Rabbit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76E59A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Goat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Anti-Rabbit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IgG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H&amp;L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733E0E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A31333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C4E975F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ab150079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top"/>
          </w:tcPr>
          <w:p w14:paraId="4D191CE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1:200</w:t>
            </w:r>
          </w:p>
        </w:tc>
      </w:tr>
      <w:tr w14:paraId="0C435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EEEE44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Goat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Anti-Mouse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B28A61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Goat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Anti-Mouse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IgG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H&amp;L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1E40D08D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IF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39096F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Abcam，Cambridge,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MA,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43BB7B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ab150113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top"/>
          </w:tcPr>
          <w:p w14:paraId="51E1201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1:200</w:t>
            </w:r>
          </w:p>
        </w:tc>
      </w:tr>
      <w:tr w14:paraId="4572C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164C23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Ki67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852AB88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Anti-Ki67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93E5C37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IHC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02F9FF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MXB，Fuzhou，China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1C3C1B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MXR002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1111E7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RTU</w:t>
            </w:r>
          </w:p>
        </w:tc>
      </w:tr>
      <w:tr w14:paraId="68A182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2DAAC1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P63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2AEF188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Anti-P63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9E5296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IHC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321745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MXB，Fuzhou，China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A86174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MX013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1A21BF6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RTU</w:t>
            </w:r>
          </w:p>
        </w:tc>
      </w:tr>
      <w:tr w14:paraId="4E776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27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9429C6C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CK5/6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60185F89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Anti-Cytokeratin5/6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antibody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7F36C4D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IHC</w:t>
            </w:r>
          </w:p>
        </w:tc>
        <w:tc>
          <w:tcPr>
            <w:tcW w:w="20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4DD6E5C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MXB，Fuzhou，China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5F5AAE43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MX040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03EBA0D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RTU</w:t>
            </w:r>
          </w:p>
        </w:tc>
      </w:tr>
      <w:tr w14:paraId="18CA4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1272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7314FA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MaxVision-HRP</w:t>
            </w:r>
          </w:p>
        </w:tc>
        <w:tc>
          <w:tcPr>
            <w:tcW w:w="1994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5BA8DE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MaxVision-HRP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Mouse/Rabbit</w:t>
            </w:r>
          </w:p>
        </w:tc>
        <w:tc>
          <w:tcPr>
            <w:tcW w:w="1117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82C882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IHC</w:t>
            </w:r>
          </w:p>
        </w:tc>
        <w:tc>
          <w:tcPr>
            <w:tcW w:w="2031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9C8450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MXB，Fuzhou，China</w:t>
            </w:r>
          </w:p>
        </w:tc>
        <w:tc>
          <w:tcPr>
            <w:tcW w:w="1041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2DE0E5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KIT-5030</w:t>
            </w:r>
          </w:p>
        </w:tc>
        <w:tc>
          <w:tcPr>
            <w:tcW w:w="1302" w:type="dxa"/>
            <w:tcBorders>
              <w:top w:val="nil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26ACB">
            <w:pPr>
              <w:pStyle w:val="81"/>
              <w:keepNext w:val="0"/>
              <w:keepLines w:val="0"/>
              <w:widowControl/>
              <w:suppressLineNumbers w:val="0"/>
              <w:kinsoku/>
              <w:wordWrap/>
              <w:overflowPunct/>
              <w:spacing w:beforeAutospacing="1" w:afterAutospacing="1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RTU</w:t>
            </w:r>
          </w:p>
        </w:tc>
      </w:tr>
    </w:tbl>
    <w:p w14:paraId="7CC3A9C5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</w:rPr>
        <w:t>RTU: Ready-to-Use</w:t>
      </w:r>
      <w:r>
        <w:rPr>
          <w:rFonts w:hint="default" w:ascii="Times New Roman" w:hAnsi="Times New Roman" w:cs="Times New Roman"/>
          <w:b w:val="0"/>
          <w:bCs w:val="0"/>
          <w:lang w:eastAsia="zh-CN"/>
        </w:rPr>
        <w:t>.</w:t>
      </w:r>
    </w:p>
    <w:p w14:paraId="5163858A">
      <w:pPr>
        <w:rPr>
          <w:rFonts w:hint="default" w:ascii="Times New Roman" w:hAnsi="Times New Roman" w:cs="Times New Roman"/>
          <w:b w:val="0"/>
          <w:bCs w:val="0"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  <w:lang w:eastAsia="zh-CN"/>
        </w:rPr>
        <w:br w:type="page"/>
      </w:r>
    </w:p>
    <w:p w14:paraId="0FC83F13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</w:p>
    <w:p w14:paraId="34E9D7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Uncropped Western blots for Fig. 4F</w:t>
      </w:r>
    </w:p>
    <w:p w14:paraId="4BE52DEC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22B0487A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szCs w:val="24"/>
          <w:lang w:eastAsia="zh-CN"/>
        </w:rPr>
        <w:drawing>
          <wp:inline distT="0" distB="0" distL="114300" distR="114300">
            <wp:extent cx="5996940" cy="5527040"/>
            <wp:effectExtent l="0" t="0" r="3810" b="16510"/>
            <wp:docPr id="11" name="图片 11" descr="附图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图-11"/>
                    <pic:cNvPicPr>
                      <a:picLocks noChangeAspect="1"/>
                    </pic:cNvPicPr>
                  </pic:nvPicPr>
                  <pic:blipFill>
                    <a:blip r:embed="rId14"/>
                    <a:srcRect t="4207" r="10469" b="36349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0F6B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</w:rPr>
      </w:pPr>
    </w:p>
    <w:p w14:paraId="60986C6A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4B643765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Uncropped Western blots for Fig.5, A</w:t>
      </w:r>
      <w:r>
        <w:rPr>
          <w:rFonts w:hint="default" w:ascii="Times New Roman" w:hAnsi="Times New Roman" w:cs="Times New Roman"/>
          <w:szCs w:val="24"/>
          <w:lang w:eastAsia="zh-CN"/>
        </w:rPr>
        <w:t xml:space="preserve"> and </w:t>
      </w: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 xml:space="preserve">I </w:t>
      </w:r>
      <w:r>
        <w:rPr>
          <w:rFonts w:hint="default" w:ascii="Times New Roman" w:hAnsi="Times New Roman" w:cs="Times New Roman"/>
          <w:szCs w:val="24"/>
          <w:lang w:eastAsia="zh-CN"/>
        </w:rPr>
        <w:drawing>
          <wp:inline distT="0" distB="0" distL="114300" distR="114300">
            <wp:extent cx="5661660" cy="3853180"/>
            <wp:effectExtent l="0" t="0" r="15240" b="13970"/>
            <wp:docPr id="12" name="图片 12" descr="附图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图-12"/>
                    <pic:cNvPicPr>
                      <a:picLocks noChangeAspect="1"/>
                    </pic:cNvPicPr>
                  </pic:nvPicPr>
                  <pic:blipFill>
                    <a:blip r:embed="rId15"/>
                    <a:srcRect t="11046" b="3993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C83E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6CEEB274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6373745E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4C6FA0C8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26570730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0D6FF2C8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0E0ACE6B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43B86382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0015E192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1E62652B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78E7FF93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</w:p>
    <w:p w14:paraId="607A1F3D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Uncropped Western blots for Fig. 6E</w:t>
      </w:r>
    </w:p>
    <w:p w14:paraId="5CD1C6B2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drawing>
          <wp:inline distT="0" distB="0" distL="114300" distR="114300">
            <wp:extent cx="5339715" cy="3489325"/>
            <wp:effectExtent l="0" t="0" r="13335" b="15875"/>
            <wp:docPr id="24" name="图片 24" descr="附图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图1-15"/>
                    <pic:cNvPicPr>
                      <a:picLocks noChangeAspect="1"/>
                    </pic:cNvPicPr>
                  </pic:nvPicPr>
                  <pic:blipFill>
                    <a:blip r:embed="rId16"/>
                    <a:srcRect t="5002" b="47927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12D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</w:p>
    <w:p w14:paraId="7C496B2B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lang w:eastAsia="zh-CN"/>
        </w:rPr>
        <w:t>Uncropped Western blots for Fig. 7F</w:t>
      </w:r>
    </w:p>
    <w:p w14:paraId="6B783340">
      <w:pPr>
        <w:pStyle w:val="10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Cs w:val="24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43500" cy="3419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D31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</w:rPr>
      </w:pPr>
    </w:p>
    <w:p w14:paraId="2486109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  <w:t>Abbreviations</w:t>
      </w:r>
    </w:p>
    <w:p w14:paraId="19A9B56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cSCC: Cutaneous squamous cell carcinoma</w:t>
      </w:r>
    </w:p>
    <w:p w14:paraId="1ED11A5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UV: Ultraviolet</w:t>
      </w:r>
    </w:p>
    <w:p w14:paraId="2A79EF7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SNVs: Single-nucleotide variants</w:t>
      </w:r>
    </w:p>
    <w:p w14:paraId="21C5A78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indels: Insertions and deletions</w:t>
      </w:r>
    </w:p>
    <w:p w14:paraId="33D6947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CNVs: Copy-number alterations</w:t>
      </w:r>
    </w:p>
    <w:p w14:paraId="277EFFF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WGS: Whole-genome sequencing</w:t>
      </w:r>
    </w:p>
    <w:p w14:paraId="0637450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ANT: Adjacent non-tumor tissues</w:t>
      </w:r>
    </w:p>
    <w:p w14:paraId="5C89E89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ANT-C: Cells isolated from adjacent non-tumor tissues</w:t>
      </w:r>
    </w:p>
    <w:p w14:paraId="210F631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 xml:space="preserve">MSCC: Macaque </w:t>
      </w:r>
      <w:r>
        <w:rPr>
          <w:rFonts w:hint="default" w:ascii="Times New Roman" w:hAnsi="Times New Roman" w:cs="Times New Roman"/>
          <w:sz w:val="24"/>
        </w:rPr>
        <w:t>cutaneous squamous cell carcinoma</w: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 xml:space="preserve"> (tissues)</w:t>
      </w:r>
    </w:p>
    <w:p w14:paraId="518DF92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MSCC-C: Macaque cutaneous squamous cell carcinoma cells</w:t>
      </w:r>
    </w:p>
    <w:p w14:paraId="759C06A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scRNA-seq: Single-cell RNA sequencing</w:t>
      </w:r>
    </w:p>
    <w:p w14:paraId="30B2A14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UMAP: Uniform Manifold Approximation and Projection</w:t>
      </w:r>
    </w:p>
    <w:p w14:paraId="09336FE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DEGs: Differentially expressed genes</w:t>
      </w:r>
    </w:p>
    <w:p w14:paraId="59EDAAC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PCA: Principal component analysis</w:t>
      </w:r>
    </w:p>
    <w:p w14:paraId="24410D0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SNN: Shared nearest neighbor</w:t>
      </w:r>
    </w:p>
    <w:p w14:paraId="7D1B262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qPCR: Quantitative Real-Time PCR</w:t>
      </w:r>
    </w:p>
    <w:p w14:paraId="261013F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SASP: Senescence-associated secretory phenotype</w:t>
      </w:r>
    </w:p>
    <w:p w14:paraId="096E5D2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RT: Reverse transcription</w:t>
      </w:r>
    </w:p>
    <w:p w14:paraId="496C822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SDS-PAGE: Sodium dodecyl sulfate–polyacrylamide gel electrophoresis</w:t>
      </w:r>
    </w:p>
    <w:p w14:paraId="2CC4002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PVDF: Polyvinylidene fluoride</w:t>
      </w:r>
    </w:p>
    <w:p w14:paraId="1AC7DE2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TBS-T: Tris-buffered saline with Tween-20</w:t>
      </w:r>
    </w:p>
    <w:p w14:paraId="4FDABA5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H&amp;E: Hematoxylin and eosin</w:t>
      </w:r>
    </w:p>
    <w:p w14:paraId="10B7450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DAB: 3,3′-diaminobenzidine</w:t>
      </w:r>
    </w:p>
    <w:p w14:paraId="74F26A9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BSA: Bovine serum albumin</w:t>
      </w:r>
    </w:p>
    <w:p w14:paraId="1991BA9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DAPI: 4′,6-diamidino-2-phenylindole</w:t>
      </w:r>
    </w:p>
    <w:p w14:paraId="0882E0E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TUNEL: Terminal deoxynucleotidyl transferase dUTP nick end labeling</w:t>
      </w:r>
    </w:p>
    <w:p w14:paraId="3CCAFD0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TdT: Terminal deoxynucleotidyl transferase</w:t>
      </w:r>
    </w:p>
    <w:p w14:paraId="583292C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DIA: Data-independent acquisition</w:t>
      </w:r>
    </w:p>
    <w:p w14:paraId="7041BE1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UHPLC: Ultra-high-performance liquid chromatography</w:t>
      </w:r>
    </w:p>
    <w:p w14:paraId="389AD15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MS1: Mass spectrometry level 1</w:t>
      </w:r>
    </w:p>
    <w:p w14:paraId="5CCEC24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SPF: Specific pathogen-free</w:t>
      </w:r>
    </w:p>
    <w:p w14:paraId="6AAEEA9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IV: Intravenous</w:t>
      </w:r>
    </w:p>
    <w:p w14:paraId="7812C82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IM: Intramuscular</w:t>
      </w:r>
    </w:p>
    <w:p w14:paraId="0F331B6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MRI: Magnetic resonance imaging</w:t>
      </w:r>
    </w:p>
    <w:p w14:paraId="3267304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TR: Repetition time</w:t>
      </w:r>
    </w:p>
    <w:p w14:paraId="3AD4ABC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TE: Echo time</w:t>
      </w:r>
    </w:p>
    <w:p w14:paraId="65D5222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ANOVA: Analysis of variance</w:t>
      </w:r>
    </w:p>
    <w:p w14:paraId="084EA92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SD: Standard deviation</w:t>
      </w:r>
    </w:p>
    <w:p w14:paraId="3C8C238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SEM: Standard error of the mean</w:t>
      </w:r>
    </w:p>
    <w:p w14:paraId="0E6508B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CK5/6: Cytokeratin 5/6</w:t>
      </w:r>
    </w:p>
    <w:p w14:paraId="28A1A6A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SCCA1: Squamous Cell Carcinoma Antigen 1</w:t>
      </w:r>
    </w:p>
    <w:p w14:paraId="69B22BE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NF-κB: Nuclear factor kappa-light-chain-enhancer of activated B cells</w:t>
      </w:r>
    </w:p>
    <w:p w14:paraId="4F481E1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HNSC: Head and neck squamous cell carcinoma</w:t>
      </w:r>
    </w:p>
    <w:p w14:paraId="528FD2F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IC50: Half-maximal inhibitory concentration</w:t>
      </w:r>
    </w:p>
    <w:p w14:paraId="06C05D9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VEH: Vehicle</w:t>
      </w:r>
    </w:p>
    <w:p w14:paraId="5F4DB5D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ALT: Alanine aminotransferase</w:t>
      </w:r>
    </w:p>
    <w:p w14:paraId="3202B0A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AST: Aspartate aminotransferase</w:t>
      </w:r>
    </w:p>
    <w:p w14:paraId="6F030DC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CRE2: Creatinine</w:t>
      </w:r>
    </w:p>
    <w:p w14:paraId="1CDCE0D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BUN: Blood urea nitrogen</w:t>
      </w:r>
    </w:p>
    <w:p w14:paraId="6AD24CA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CK: Creatine kinase</w:t>
      </w:r>
    </w:p>
    <w:p w14:paraId="5800852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ELISA: Enzyme-linked immunosorbent assay</w:t>
      </w:r>
    </w:p>
    <w:p w14:paraId="7ACAC19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GO: Gene Ontology</w:t>
      </w:r>
    </w:p>
    <w:p w14:paraId="3371853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KEGG: Kyoto Encyclopedia of Genes and Genomes</w:t>
      </w:r>
    </w:p>
    <w:p w14:paraId="74EA5F2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GSEA: Gene set enrichment analysis</w:t>
      </w:r>
    </w:p>
    <w:p w14:paraId="384D9E5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ssGSEA: Single-sample gene set enrichment analysis</w:t>
      </w:r>
    </w:p>
    <w:p w14:paraId="3923065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TCGA: The Cancer Genome Atlas</w:t>
      </w:r>
    </w:p>
    <w:p w14:paraId="0182EF5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sz w:val="24"/>
        </w:rPr>
      </w:pPr>
    </w:p>
    <w:p w14:paraId="14324B31">
      <w:pPr>
        <w:pStyle w:val="10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lang w:eastAsia="zh-CN"/>
        </w:rPr>
      </w:pPr>
    </w:p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6ED0F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3A603FC4"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2922B">
    <w:pPr>
      <w:jc w:val="right"/>
      <w:rPr>
        <w:sz w:val="20"/>
      </w:rPr>
    </w:pPr>
  </w:p>
  <w:p w14:paraId="423820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Natur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dartdz0exxrie2ts5p5ra25teff00xvwsd&quot;&gt;CSCC-Library&lt;record-ids&gt;&lt;item&gt;70&lt;/item&gt;&lt;item&gt;76&lt;/item&gt;&lt;/record-ids&gt;&lt;/item&gt;&lt;/Libraries&gt;"/>
  </w:docVars>
  <w:rsids>
    <w:rsidRoot w:val="002C030F"/>
    <w:rsid w:val="0001143C"/>
    <w:rsid w:val="00015F74"/>
    <w:rsid w:val="0003675D"/>
    <w:rsid w:val="00060E71"/>
    <w:rsid w:val="00062A0E"/>
    <w:rsid w:val="00065EBD"/>
    <w:rsid w:val="00076F5E"/>
    <w:rsid w:val="00083B44"/>
    <w:rsid w:val="000850DC"/>
    <w:rsid w:val="000B7107"/>
    <w:rsid w:val="000C2771"/>
    <w:rsid w:val="000D46F4"/>
    <w:rsid w:val="000F0DCE"/>
    <w:rsid w:val="000F6BE3"/>
    <w:rsid w:val="00105232"/>
    <w:rsid w:val="00112C5B"/>
    <w:rsid w:val="00114193"/>
    <w:rsid w:val="00115A38"/>
    <w:rsid w:val="0011687B"/>
    <w:rsid w:val="00121040"/>
    <w:rsid w:val="00124F82"/>
    <w:rsid w:val="00154742"/>
    <w:rsid w:val="0016337A"/>
    <w:rsid w:val="00164269"/>
    <w:rsid w:val="00193CCC"/>
    <w:rsid w:val="00194635"/>
    <w:rsid w:val="001A1BDE"/>
    <w:rsid w:val="001A4DC3"/>
    <w:rsid w:val="001F0876"/>
    <w:rsid w:val="001F167C"/>
    <w:rsid w:val="001F5E91"/>
    <w:rsid w:val="002077B9"/>
    <w:rsid w:val="00225739"/>
    <w:rsid w:val="0025772F"/>
    <w:rsid w:val="00262D72"/>
    <w:rsid w:val="00294FBB"/>
    <w:rsid w:val="002A498A"/>
    <w:rsid w:val="002A5A8E"/>
    <w:rsid w:val="002B3205"/>
    <w:rsid w:val="002C030F"/>
    <w:rsid w:val="00300BDD"/>
    <w:rsid w:val="00331D75"/>
    <w:rsid w:val="00355362"/>
    <w:rsid w:val="00363E44"/>
    <w:rsid w:val="00373861"/>
    <w:rsid w:val="00377508"/>
    <w:rsid w:val="0038582A"/>
    <w:rsid w:val="00394ABD"/>
    <w:rsid w:val="00395E86"/>
    <w:rsid w:val="003A2FD8"/>
    <w:rsid w:val="003B40E6"/>
    <w:rsid w:val="003E5CD1"/>
    <w:rsid w:val="003E74FB"/>
    <w:rsid w:val="003F6E14"/>
    <w:rsid w:val="00405336"/>
    <w:rsid w:val="004410B4"/>
    <w:rsid w:val="00443769"/>
    <w:rsid w:val="004571D5"/>
    <w:rsid w:val="00461D81"/>
    <w:rsid w:val="0046356B"/>
    <w:rsid w:val="0047364B"/>
    <w:rsid w:val="00477182"/>
    <w:rsid w:val="004779CB"/>
    <w:rsid w:val="004A237D"/>
    <w:rsid w:val="004A3C55"/>
    <w:rsid w:val="004E10FC"/>
    <w:rsid w:val="004E42D8"/>
    <w:rsid w:val="004E7BA2"/>
    <w:rsid w:val="004F7EDF"/>
    <w:rsid w:val="005001AC"/>
    <w:rsid w:val="00515E3B"/>
    <w:rsid w:val="00526202"/>
    <w:rsid w:val="00527D71"/>
    <w:rsid w:val="005507A0"/>
    <w:rsid w:val="005520A8"/>
    <w:rsid w:val="00555380"/>
    <w:rsid w:val="005607DD"/>
    <w:rsid w:val="00570FF4"/>
    <w:rsid w:val="0058758A"/>
    <w:rsid w:val="0059745F"/>
    <w:rsid w:val="005A558C"/>
    <w:rsid w:val="005B53CC"/>
    <w:rsid w:val="005E28F8"/>
    <w:rsid w:val="005E6513"/>
    <w:rsid w:val="005F3E41"/>
    <w:rsid w:val="005F673C"/>
    <w:rsid w:val="00631F8F"/>
    <w:rsid w:val="00635081"/>
    <w:rsid w:val="00651114"/>
    <w:rsid w:val="00652902"/>
    <w:rsid w:val="00664560"/>
    <w:rsid w:val="00670299"/>
    <w:rsid w:val="00691985"/>
    <w:rsid w:val="00692587"/>
    <w:rsid w:val="006937AA"/>
    <w:rsid w:val="006A1B64"/>
    <w:rsid w:val="006F5C01"/>
    <w:rsid w:val="007072C0"/>
    <w:rsid w:val="007108F5"/>
    <w:rsid w:val="00713E5B"/>
    <w:rsid w:val="00714B25"/>
    <w:rsid w:val="0072075B"/>
    <w:rsid w:val="007402FC"/>
    <w:rsid w:val="007411A1"/>
    <w:rsid w:val="007446A1"/>
    <w:rsid w:val="00793072"/>
    <w:rsid w:val="007A38FA"/>
    <w:rsid w:val="007E2B5A"/>
    <w:rsid w:val="00807D35"/>
    <w:rsid w:val="008218C4"/>
    <w:rsid w:val="00821F38"/>
    <w:rsid w:val="00830E38"/>
    <w:rsid w:val="00864147"/>
    <w:rsid w:val="00867A98"/>
    <w:rsid w:val="00870867"/>
    <w:rsid w:val="00885C9B"/>
    <w:rsid w:val="0089586A"/>
    <w:rsid w:val="008C1B34"/>
    <w:rsid w:val="008D5D2A"/>
    <w:rsid w:val="008E7925"/>
    <w:rsid w:val="008F557D"/>
    <w:rsid w:val="00906747"/>
    <w:rsid w:val="00914B63"/>
    <w:rsid w:val="00933262"/>
    <w:rsid w:val="009354F3"/>
    <w:rsid w:val="00936C97"/>
    <w:rsid w:val="009447DC"/>
    <w:rsid w:val="009534FC"/>
    <w:rsid w:val="00961BA5"/>
    <w:rsid w:val="009743A9"/>
    <w:rsid w:val="009A5287"/>
    <w:rsid w:val="009B2AC5"/>
    <w:rsid w:val="009B7984"/>
    <w:rsid w:val="009E6997"/>
    <w:rsid w:val="009F4BED"/>
    <w:rsid w:val="009F7D93"/>
    <w:rsid w:val="00A14A51"/>
    <w:rsid w:val="00A32AC0"/>
    <w:rsid w:val="00A3403B"/>
    <w:rsid w:val="00A45EFC"/>
    <w:rsid w:val="00A51A12"/>
    <w:rsid w:val="00A627D4"/>
    <w:rsid w:val="00A74DA2"/>
    <w:rsid w:val="00A77C37"/>
    <w:rsid w:val="00A82ABB"/>
    <w:rsid w:val="00AA6454"/>
    <w:rsid w:val="00AB399E"/>
    <w:rsid w:val="00AC59D0"/>
    <w:rsid w:val="00AD16B1"/>
    <w:rsid w:val="00AD3E7C"/>
    <w:rsid w:val="00AD499C"/>
    <w:rsid w:val="00B31018"/>
    <w:rsid w:val="00B36869"/>
    <w:rsid w:val="00B43B31"/>
    <w:rsid w:val="00B47CFA"/>
    <w:rsid w:val="00B57F00"/>
    <w:rsid w:val="00B77B2A"/>
    <w:rsid w:val="00B82C22"/>
    <w:rsid w:val="00B93DBA"/>
    <w:rsid w:val="00B9440A"/>
    <w:rsid w:val="00BB2D2A"/>
    <w:rsid w:val="00BB4FD1"/>
    <w:rsid w:val="00BB6BC2"/>
    <w:rsid w:val="00BC3E04"/>
    <w:rsid w:val="00BD58CF"/>
    <w:rsid w:val="00BF0C92"/>
    <w:rsid w:val="00C04CC1"/>
    <w:rsid w:val="00C05E94"/>
    <w:rsid w:val="00C4096C"/>
    <w:rsid w:val="00C41EF5"/>
    <w:rsid w:val="00C50C6D"/>
    <w:rsid w:val="00C600D9"/>
    <w:rsid w:val="00C65ABF"/>
    <w:rsid w:val="00C92B22"/>
    <w:rsid w:val="00CC1384"/>
    <w:rsid w:val="00CC743F"/>
    <w:rsid w:val="00CD3720"/>
    <w:rsid w:val="00CD4AAF"/>
    <w:rsid w:val="00CF1848"/>
    <w:rsid w:val="00CF5C2F"/>
    <w:rsid w:val="00D04BCF"/>
    <w:rsid w:val="00D143D9"/>
    <w:rsid w:val="00D26447"/>
    <w:rsid w:val="00D5511B"/>
    <w:rsid w:val="00D6287B"/>
    <w:rsid w:val="00D636A0"/>
    <w:rsid w:val="00D766F1"/>
    <w:rsid w:val="00D91684"/>
    <w:rsid w:val="00DC4BC7"/>
    <w:rsid w:val="00DE0611"/>
    <w:rsid w:val="00E247E9"/>
    <w:rsid w:val="00E24F0B"/>
    <w:rsid w:val="00E257C8"/>
    <w:rsid w:val="00E41512"/>
    <w:rsid w:val="00E41EE8"/>
    <w:rsid w:val="00E4519A"/>
    <w:rsid w:val="00E853D5"/>
    <w:rsid w:val="00E91FA4"/>
    <w:rsid w:val="00E9773B"/>
    <w:rsid w:val="00EA5ED6"/>
    <w:rsid w:val="00EA6F42"/>
    <w:rsid w:val="00EC13A3"/>
    <w:rsid w:val="00EC7C85"/>
    <w:rsid w:val="00ED7390"/>
    <w:rsid w:val="00F01367"/>
    <w:rsid w:val="00F125EE"/>
    <w:rsid w:val="00F12E98"/>
    <w:rsid w:val="00F22029"/>
    <w:rsid w:val="00F31BAF"/>
    <w:rsid w:val="00F42580"/>
    <w:rsid w:val="00F515FB"/>
    <w:rsid w:val="00F630EA"/>
    <w:rsid w:val="00F7007E"/>
    <w:rsid w:val="00F73193"/>
    <w:rsid w:val="00F74F09"/>
    <w:rsid w:val="00F74F95"/>
    <w:rsid w:val="00F80705"/>
    <w:rsid w:val="00FA1481"/>
    <w:rsid w:val="00FF04E3"/>
    <w:rsid w:val="00FF6C69"/>
    <w:rsid w:val="0A425268"/>
    <w:rsid w:val="139F5206"/>
    <w:rsid w:val="19990C1F"/>
    <w:rsid w:val="1AC3192E"/>
    <w:rsid w:val="1E1D2844"/>
    <w:rsid w:val="1E5B093F"/>
    <w:rsid w:val="1F2509EC"/>
    <w:rsid w:val="223A1214"/>
    <w:rsid w:val="22DD35F0"/>
    <w:rsid w:val="23871683"/>
    <w:rsid w:val="242457F8"/>
    <w:rsid w:val="25F81C5A"/>
    <w:rsid w:val="2C661D6C"/>
    <w:rsid w:val="2F9A5F97"/>
    <w:rsid w:val="304B1687"/>
    <w:rsid w:val="342E5B54"/>
    <w:rsid w:val="344F0BC8"/>
    <w:rsid w:val="3C214CAC"/>
    <w:rsid w:val="3C5C14DF"/>
    <w:rsid w:val="44D058DF"/>
    <w:rsid w:val="45C32288"/>
    <w:rsid w:val="46963997"/>
    <w:rsid w:val="46A54DB8"/>
    <w:rsid w:val="48E77983"/>
    <w:rsid w:val="4BA25F1F"/>
    <w:rsid w:val="4DB80964"/>
    <w:rsid w:val="55894983"/>
    <w:rsid w:val="58945C1B"/>
    <w:rsid w:val="5A832EDF"/>
    <w:rsid w:val="5BAA6413"/>
    <w:rsid w:val="5D751E2B"/>
    <w:rsid w:val="5DC20352"/>
    <w:rsid w:val="5F1130DD"/>
    <w:rsid w:val="61F176E8"/>
    <w:rsid w:val="62722706"/>
    <w:rsid w:val="647C4470"/>
    <w:rsid w:val="65AF1879"/>
    <w:rsid w:val="65B2260A"/>
    <w:rsid w:val="66D460EA"/>
    <w:rsid w:val="67132A4C"/>
    <w:rsid w:val="6BEB5D54"/>
    <w:rsid w:val="72EF7E69"/>
    <w:rsid w:val="743A2E1C"/>
    <w:rsid w:val="77194ADA"/>
    <w:rsid w:val="78B05025"/>
    <w:rsid w:val="79605689"/>
    <w:rsid w:val="7C560D7D"/>
    <w:rsid w:val="7CBD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lang w:val="en-US" w:eastAsia="en-US" w:bidi="ar-SA"/>
    </w:rPr>
  </w:style>
  <w:style w:type="paragraph" w:styleId="3">
    <w:name w:val="heading 1"/>
    <w:basedOn w:val="1"/>
    <w:next w:val="1"/>
    <w:link w:val="95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6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7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8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99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100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1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1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 w:eastAsiaTheme="minorEastAsia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4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1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20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7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38"/>
    <w:semiHidden/>
    <w:qFormat/>
    <w:uiPriority w:val="0"/>
  </w:style>
  <w:style w:type="paragraph" w:styleId="31">
    <w:name w:val="Body Text 3"/>
    <w:basedOn w:val="1"/>
    <w:link w:val="110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6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08"/>
    <w:semiHidden/>
    <w:qFormat/>
    <w:uiPriority w:val="0"/>
    <w:pPr>
      <w:spacing w:after="120"/>
    </w:pPr>
  </w:style>
  <w:style w:type="paragraph" w:styleId="35">
    <w:name w:val="Body Text Indent"/>
    <w:basedOn w:val="1"/>
    <w:link w:val="112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6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35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19"/>
    <w:semiHidden/>
    <w:qFormat/>
    <w:uiPriority w:val="0"/>
  </w:style>
  <w:style w:type="paragraph" w:styleId="51">
    <w:name w:val="Body Text Indent 2"/>
    <w:basedOn w:val="1"/>
    <w:link w:val="114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2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6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3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5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9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40"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4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5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09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2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7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1"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18"/>
    <w:semiHidden/>
    <w:qFormat/>
    <w:uiPriority w:val="0"/>
    <w:rPr>
      <w:b/>
      <w:bCs/>
    </w:rPr>
  </w:style>
  <w:style w:type="paragraph" w:styleId="86">
    <w:name w:val="Body Text First Indent"/>
    <w:basedOn w:val="34"/>
    <w:link w:val="111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3"/>
    <w:semiHidden/>
    <w:qFormat/>
    <w:uiPriority w:val="0"/>
    <w:pPr>
      <w:ind w:firstLine="210"/>
    </w:pPr>
  </w:style>
  <w:style w:type="table" w:styleId="89">
    <w:name w:val="Table Grid"/>
    <w:basedOn w:val="8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page number"/>
    <w:basedOn w:val="90"/>
    <w:semiHidden/>
    <w:qFormat/>
    <w:uiPriority w:val="0"/>
  </w:style>
  <w:style w:type="character" w:styleId="92">
    <w:name w:val="FollowedHyperlink"/>
    <w:semiHidden/>
    <w:unhideWhenUsed/>
    <w:qFormat/>
    <w:uiPriority w:val="0"/>
    <w:rPr>
      <w:color w:val="800080"/>
      <w:u w:val="single"/>
    </w:rPr>
  </w:style>
  <w:style w:type="character" w:styleId="93">
    <w:name w:val="Hyperlink"/>
    <w:semiHidden/>
    <w:qFormat/>
    <w:uiPriority w:val="0"/>
    <w:rPr>
      <w:color w:val="0000FF"/>
      <w:u w:val="single"/>
    </w:rPr>
  </w:style>
  <w:style w:type="character" w:styleId="94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5">
    <w:name w:val="标题 1 字符"/>
    <w:link w:val="3"/>
    <w:semiHidden/>
    <w:qFormat/>
    <w:uiPriority w:val="0"/>
    <w:rPr>
      <w:b/>
      <w:bCs/>
      <w:kern w:val="32"/>
      <w:sz w:val="24"/>
      <w:szCs w:val="24"/>
    </w:rPr>
  </w:style>
  <w:style w:type="character" w:customStyle="1" w:styleId="96">
    <w:name w:val="标题 2 字符"/>
    <w:link w:val="4"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7">
    <w:name w:val="标题 5 字符"/>
    <w:link w:val="7"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98">
    <w:name w:val="标题 6 字符"/>
    <w:link w:val="8"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99">
    <w:name w:val="标题 7 字符"/>
    <w:link w:val="9"/>
    <w:semiHidden/>
    <w:qFormat/>
    <w:uiPriority w:val="0"/>
    <w:rPr>
      <w:rFonts w:ascii="Calibri" w:hAnsi="Calibri"/>
      <w:sz w:val="24"/>
      <w:szCs w:val="24"/>
    </w:rPr>
  </w:style>
  <w:style w:type="character" w:customStyle="1" w:styleId="100">
    <w:name w:val="标题 8 字符"/>
    <w:link w:val="10"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1">
    <w:name w:val="标题 9 字符"/>
    <w:link w:val="11"/>
    <w:semiHidden/>
    <w:qFormat/>
    <w:uiPriority w:val="0"/>
    <w:rPr>
      <w:rFonts w:ascii="Cambria" w:hAnsi="Cambria"/>
      <w:sz w:val="22"/>
      <w:szCs w:val="22"/>
    </w:rPr>
  </w:style>
  <w:style w:type="paragraph" w:customStyle="1" w:styleId="102">
    <w:name w:val="SM Heading"/>
    <w:basedOn w:val="3"/>
    <w:qFormat/>
    <w:uiPriority w:val="0"/>
  </w:style>
  <w:style w:type="paragraph" w:customStyle="1" w:styleId="103">
    <w:name w:val="SM Subheading"/>
    <w:basedOn w:val="1"/>
    <w:qFormat/>
    <w:uiPriority w:val="0"/>
    <w:rPr>
      <w:u w:val="words"/>
    </w:rPr>
  </w:style>
  <w:style w:type="paragraph" w:customStyle="1" w:styleId="104">
    <w:name w:val="SM Text"/>
    <w:basedOn w:val="1"/>
    <w:qFormat/>
    <w:uiPriority w:val="0"/>
    <w:pPr>
      <w:ind w:firstLine="480"/>
    </w:pPr>
  </w:style>
  <w:style w:type="paragraph" w:customStyle="1" w:styleId="105">
    <w:name w:val="SM caption"/>
    <w:basedOn w:val="104"/>
    <w:qFormat/>
    <w:uiPriority w:val="0"/>
    <w:pPr>
      <w:ind w:firstLine="0"/>
    </w:pPr>
  </w:style>
  <w:style w:type="character" w:customStyle="1" w:styleId="106">
    <w:name w:val="批注框文本 字符"/>
    <w:link w:val="54"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7">
    <w:name w:val="Bibliography1"/>
    <w:basedOn w:val="1"/>
    <w:next w:val="1"/>
    <w:semiHidden/>
    <w:qFormat/>
    <w:uiPriority w:val="37"/>
  </w:style>
  <w:style w:type="character" w:customStyle="1" w:styleId="108">
    <w:name w:val="正文文本 字符"/>
    <w:link w:val="34"/>
    <w:semiHidden/>
    <w:qFormat/>
    <w:uiPriority w:val="0"/>
    <w:rPr>
      <w:sz w:val="24"/>
    </w:rPr>
  </w:style>
  <w:style w:type="character" w:customStyle="1" w:styleId="109">
    <w:name w:val="正文文本 2 字符"/>
    <w:link w:val="76"/>
    <w:semiHidden/>
    <w:qFormat/>
    <w:uiPriority w:val="0"/>
    <w:rPr>
      <w:sz w:val="24"/>
    </w:rPr>
  </w:style>
  <w:style w:type="character" w:customStyle="1" w:styleId="110">
    <w:name w:val="正文文本 3 字符"/>
    <w:link w:val="31"/>
    <w:semiHidden/>
    <w:qFormat/>
    <w:uiPriority w:val="0"/>
    <w:rPr>
      <w:sz w:val="16"/>
      <w:szCs w:val="16"/>
    </w:rPr>
  </w:style>
  <w:style w:type="character" w:customStyle="1" w:styleId="111">
    <w:name w:val="正文文本首行缩进 字符"/>
    <w:link w:val="86"/>
    <w:semiHidden/>
    <w:qFormat/>
    <w:uiPriority w:val="0"/>
    <w:rPr>
      <w:sz w:val="24"/>
    </w:rPr>
  </w:style>
  <w:style w:type="character" w:customStyle="1" w:styleId="112">
    <w:name w:val="正文文本缩进 字符"/>
    <w:link w:val="35"/>
    <w:semiHidden/>
    <w:qFormat/>
    <w:uiPriority w:val="0"/>
    <w:rPr>
      <w:sz w:val="24"/>
    </w:rPr>
  </w:style>
  <w:style w:type="character" w:customStyle="1" w:styleId="113">
    <w:name w:val="正文文本首行缩进 2 字符"/>
    <w:link w:val="87"/>
    <w:semiHidden/>
    <w:qFormat/>
    <w:uiPriority w:val="0"/>
    <w:rPr>
      <w:sz w:val="24"/>
    </w:rPr>
  </w:style>
  <w:style w:type="character" w:customStyle="1" w:styleId="114">
    <w:name w:val="正文文本缩进 2 字符"/>
    <w:link w:val="51"/>
    <w:semiHidden/>
    <w:qFormat/>
    <w:uiPriority w:val="0"/>
    <w:rPr>
      <w:sz w:val="24"/>
    </w:rPr>
  </w:style>
  <w:style w:type="character" w:customStyle="1" w:styleId="115">
    <w:name w:val="正文文本缩进 3 字符"/>
    <w:link w:val="70"/>
    <w:semiHidden/>
    <w:qFormat/>
    <w:uiPriority w:val="0"/>
    <w:rPr>
      <w:sz w:val="16"/>
      <w:szCs w:val="16"/>
    </w:rPr>
  </w:style>
  <w:style w:type="character" w:customStyle="1" w:styleId="116">
    <w:name w:val="结束语 字符"/>
    <w:link w:val="32"/>
    <w:semiHidden/>
    <w:qFormat/>
    <w:uiPriority w:val="0"/>
    <w:rPr>
      <w:sz w:val="24"/>
    </w:rPr>
  </w:style>
  <w:style w:type="character" w:customStyle="1" w:styleId="117">
    <w:name w:val="批注文字 字符"/>
    <w:basedOn w:val="90"/>
    <w:link w:val="28"/>
    <w:semiHidden/>
    <w:qFormat/>
    <w:uiPriority w:val="0"/>
  </w:style>
  <w:style w:type="character" w:customStyle="1" w:styleId="118">
    <w:name w:val="批注主题 字符"/>
    <w:link w:val="85"/>
    <w:semiHidden/>
    <w:qFormat/>
    <w:uiPriority w:val="0"/>
    <w:rPr>
      <w:b/>
      <w:bCs/>
    </w:rPr>
  </w:style>
  <w:style w:type="character" w:customStyle="1" w:styleId="119">
    <w:name w:val="日期 字符"/>
    <w:link w:val="50"/>
    <w:semiHidden/>
    <w:qFormat/>
    <w:uiPriority w:val="0"/>
    <w:rPr>
      <w:sz w:val="24"/>
    </w:rPr>
  </w:style>
  <w:style w:type="character" w:customStyle="1" w:styleId="120">
    <w:name w:val="文档结构图 字符"/>
    <w:link w:val="26"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1">
    <w:name w:val="电子邮件签名 字符"/>
    <w:link w:val="19"/>
    <w:semiHidden/>
    <w:qFormat/>
    <w:uiPriority w:val="0"/>
    <w:rPr>
      <w:sz w:val="24"/>
    </w:rPr>
  </w:style>
  <w:style w:type="character" w:customStyle="1" w:styleId="122">
    <w:name w:val="尾注文本 字符"/>
    <w:basedOn w:val="90"/>
    <w:link w:val="52"/>
    <w:semiHidden/>
    <w:qFormat/>
    <w:uiPriority w:val="0"/>
  </w:style>
  <w:style w:type="character" w:customStyle="1" w:styleId="123">
    <w:name w:val="页脚 字符"/>
    <w:link w:val="55"/>
    <w:semiHidden/>
    <w:qFormat/>
    <w:uiPriority w:val="0"/>
    <w:rPr>
      <w:sz w:val="24"/>
    </w:rPr>
  </w:style>
  <w:style w:type="character" w:customStyle="1" w:styleId="124">
    <w:name w:val="脚注文本 字符"/>
    <w:basedOn w:val="90"/>
    <w:link w:val="67"/>
    <w:semiHidden/>
    <w:qFormat/>
    <w:uiPriority w:val="0"/>
  </w:style>
  <w:style w:type="character" w:customStyle="1" w:styleId="125">
    <w:name w:val="页眉 字符"/>
    <w:link w:val="57"/>
    <w:semiHidden/>
    <w:qFormat/>
    <w:uiPriority w:val="0"/>
    <w:rPr>
      <w:sz w:val="24"/>
    </w:rPr>
  </w:style>
  <w:style w:type="character" w:customStyle="1" w:styleId="126">
    <w:name w:val="HTML 地址 字符"/>
    <w:link w:val="41"/>
    <w:semiHidden/>
    <w:qFormat/>
    <w:uiPriority w:val="0"/>
    <w:rPr>
      <w:i/>
      <w:iCs/>
      <w:sz w:val="24"/>
    </w:rPr>
  </w:style>
  <w:style w:type="character" w:customStyle="1" w:styleId="127">
    <w:name w:val="HTML 预设格式 字符"/>
    <w:link w:val="80"/>
    <w:semiHidden/>
    <w:qFormat/>
    <w:uiPriority w:val="0"/>
    <w:rPr>
      <w:rFonts w:ascii="Courier New" w:hAnsi="Courier New" w:cs="Courier New"/>
    </w:rPr>
  </w:style>
  <w:style w:type="paragraph" w:styleId="128">
    <w:name w:val="Intense Quote"/>
    <w:basedOn w:val="1"/>
    <w:next w:val="1"/>
    <w:link w:val="129"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29">
    <w:name w:val="明显引用 字符"/>
    <w:link w:val="128"/>
    <w:semiHidden/>
    <w:qFormat/>
    <w:uiPriority w:val="30"/>
    <w:rPr>
      <w:b/>
      <w:bCs/>
      <w:i/>
      <w:iCs/>
      <w:color w:val="4F81BD"/>
      <w:sz w:val="24"/>
    </w:rPr>
  </w:style>
  <w:style w:type="paragraph" w:styleId="130">
    <w:name w:val="List Paragraph"/>
    <w:basedOn w:val="1"/>
    <w:semiHidden/>
    <w:qFormat/>
    <w:uiPriority w:val="34"/>
    <w:pPr>
      <w:ind w:left="720"/>
    </w:pPr>
  </w:style>
  <w:style w:type="character" w:customStyle="1" w:styleId="131">
    <w:name w:val="宏文本 字符"/>
    <w:link w:val="2"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2">
    <w:name w:val="信息标题 字符"/>
    <w:link w:val="79"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3">
    <w:name w:val="No Spacing"/>
    <w:semiHidden/>
    <w:qFormat/>
    <w:uiPriority w:val="1"/>
    <w:rPr>
      <w:rFonts w:ascii="Times New Roman" w:hAnsi="Times New Roman" w:cs="Times New Roman" w:eastAsiaTheme="minorEastAsia"/>
      <w:sz w:val="24"/>
      <w:lang w:val="en-US" w:eastAsia="en-US" w:bidi="ar-SA"/>
    </w:rPr>
  </w:style>
  <w:style w:type="character" w:customStyle="1" w:styleId="134">
    <w:name w:val="注释标题 字符"/>
    <w:link w:val="16"/>
    <w:semiHidden/>
    <w:qFormat/>
    <w:uiPriority w:val="0"/>
    <w:rPr>
      <w:sz w:val="24"/>
    </w:rPr>
  </w:style>
  <w:style w:type="character" w:customStyle="1" w:styleId="135">
    <w:name w:val="纯文本 字符"/>
    <w:link w:val="45"/>
    <w:semiHidden/>
    <w:qFormat/>
    <w:uiPriority w:val="0"/>
    <w:rPr>
      <w:rFonts w:ascii="Courier New" w:hAnsi="Courier New" w:cs="Courier New"/>
    </w:rPr>
  </w:style>
  <w:style w:type="paragraph" w:styleId="136">
    <w:name w:val="Quote"/>
    <w:basedOn w:val="1"/>
    <w:next w:val="1"/>
    <w:link w:val="137"/>
    <w:semiHidden/>
    <w:qFormat/>
    <w:uiPriority w:val="29"/>
    <w:rPr>
      <w:i/>
      <w:iCs/>
      <w:color w:val="000000"/>
    </w:rPr>
  </w:style>
  <w:style w:type="character" w:customStyle="1" w:styleId="137">
    <w:name w:val="引用 字符"/>
    <w:link w:val="136"/>
    <w:semiHidden/>
    <w:qFormat/>
    <w:uiPriority w:val="29"/>
    <w:rPr>
      <w:i/>
      <w:iCs/>
      <w:color w:val="000000"/>
      <w:sz w:val="24"/>
    </w:rPr>
  </w:style>
  <w:style w:type="character" w:customStyle="1" w:styleId="138">
    <w:name w:val="称呼 字符"/>
    <w:link w:val="30"/>
    <w:semiHidden/>
    <w:qFormat/>
    <w:uiPriority w:val="0"/>
    <w:rPr>
      <w:sz w:val="24"/>
    </w:rPr>
  </w:style>
  <w:style w:type="character" w:customStyle="1" w:styleId="139">
    <w:name w:val="签名 字符"/>
    <w:link w:val="58"/>
    <w:semiHidden/>
    <w:qFormat/>
    <w:uiPriority w:val="0"/>
    <w:rPr>
      <w:sz w:val="24"/>
    </w:rPr>
  </w:style>
  <w:style w:type="character" w:customStyle="1" w:styleId="140">
    <w:name w:val="副标题 字符"/>
    <w:link w:val="64"/>
    <w:semiHidden/>
    <w:qFormat/>
    <w:uiPriority w:val="0"/>
    <w:rPr>
      <w:rFonts w:ascii="Cambria" w:hAnsi="Cambria"/>
      <w:sz w:val="24"/>
      <w:szCs w:val="24"/>
    </w:rPr>
  </w:style>
  <w:style w:type="character" w:customStyle="1" w:styleId="141">
    <w:name w:val="标题 字符"/>
    <w:link w:val="84"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2">
    <w:name w:val="TOC Heading1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3">
    <w:name w:val="Unresolved Mention1"/>
    <w:basedOn w:val="90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4">
    <w:name w:val="EndNote Category Heading"/>
    <w:qFormat/>
    <w:uiPriority w:val="0"/>
    <w:pPr>
      <w:spacing w:before="120" w:after="120"/>
    </w:pPr>
    <w:rPr>
      <w:rFonts w:asciiTheme="minorHAnsi" w:hAnsiTheme="minorHAnsi" w:eastAsiaTheme="minorEastAsia" w:cstheme="minorBidi"/>
      <w:b/>
      <w:kern w:val="2"/>
      <w:sz w:val="21"/>
      <w:szCs w:val="24"/>
      <w:lang w:val="en-US" w:eastAsia="zh-CN" w:bidi="ar-SA"/>
    </w:rPr>
  </w:style>
  <w:style w:type="paragraph" w:customStyle="1" w:styleId="145">
    <w:name w:val="EndNote Bibliography"/>
    <w:qFormat/>
    <w:uiPriority w:val="0"/>
    <w:pPr>
      <w:jc w:val="both"/>
    </w:pPr>
    <w:rPr>
      <w:rFonts w:ascii="Calibri" w:hAnsi="Calibri" w:cs="Calibri" w:eastAsiaTheme="minorEastAsia"/>
      <w:kern w:val="2"/>
      <w:szCs w:val="24"/>
      <w:lang w:val="en-US" w:eastAsia="zh-CN" w:bidi="ar-SA"/>
    </w:rPr>
  </w:style>
  <w:style w:type="paragraph" w:customStyle="1" w:styleId="146">
    <w:name w:val="EndNote Bibliography Title"/>
    <w:qFormat/>
    <w:uiPriority w:val="0"/>
    <w:pPr>
      <w:jc w:val="center"/>
    </w:pPr>
    <w:rPr>
      <w:rFonts w:ascii="Calibri" w:hAnsi="Calibri" w:cs="Calibri" w:eastAsiaTheme="minorEastAsia"/>
      <w:lang w:val="en-US" w:eastAsia="en-US" w:bidi="ar-SA"/>
    </w:rPr>
  </w:style>
  <w:style w:type="paragraph" w:customStyle="1" w:styleId="147">
    <w:name w:val="Table Text"/>
    <w:basedOn w:val="1"/>
    <w:semiHidden/>
    <w:qFormat/>
    <w:uiPriority w:val="0"/>
    <w:rPr>
      <w:rFonts w:ascii="Arial" w:hAnsi="Arial" w:eastAsia="Arial" w:cs="Arial"/>
      <w:sz w:val="18"/>
      <w:szCs w:val="18"/>
      <w:lang w:val="en-US" w:eastAsia="en-US" w:bidi="ar-SA"/>
    </w:rPr>
  </w:style>
  <w:style w:type="table" w:customStyle="1" w:styleId="14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16</Pages>
  <Words>1188</Words>
  <Characters>7363</Characters>
  <Lines>30</Lines>
  <Paragraphs>8</Paragraphs>
  <TotalTime>5</TotalTime>
  <ScaleCrop>false</ScaleCrop>
  <LinksUpToDate>false</LinksUpToDate>
  <CharactersWithSpaces>8263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2025-10-02T09:59:00Z</dcterms:created>
  <dc:creator>Brooks Hanson</dc:creator>
  <cp:lastModifiedBy>PYZ</cp:lastModifiedBy>
  <cp:lastPrinted>2018-01-11T19:53:00Z</cp:lastPrinted>
  <dcterms:modified xsi:type="dcterms:W3CDTF">2026-02-27T10:24:18Z</dcterms:modified>
  <dc:title>Supporting Online Material for</dc:title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90FC2F3F272A4BEB9DE537131163F98D_13</vt:lpwstr>
  </property>
  <property fmtid="{D5CDD505-2E9C-101B-9397-08002B2CF9AE}" pid="4" name="KSOTemplateDocerSaveRecord">
    <vt:lpwstr>eyJoZGlkIjoiYzU3MmQzYTRjMmUzOWZlMmNmZDAwMDQ1YzVjM2JlNGYiLCJ1c2VySWQiOiIzNjE0NzU3MzUifQ==</vt:lpwstr>
  </property>
  <property fmtid="{D5CDD505-2E9C-101B-9397-08002B2CF9AE}" pid="5" name="GrammarlyDocumentId">
    <vt:lpwstr>ede7ffc0-7317-4498-bb00-e9f36d41dc3a</vt:lpwstr>
  </property>
</Properties>
</file>