
<file path=[Content_Types].xml><?xml version="1.0" encoding="utf-8"?>
<Types xmlns="http://schemas.openxmlformats.org/package/2006/content-types">
  <Default Extension="xml" ContentType="application/xml"/>
  <Default Extension="emf" ContentType="image/x-emf"/>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Times New Roman" w:hAnsi="Times New Roman" w:cs="Times New Roman"/>
          <w:b/>
          <w:sz w:val="24"/>
          <w:szCs w:val="24"/>
        </w:rPr>
      </w:pPr>
      <w:bookmarkStart w:id="0" w:name="OLE_LINK3"/>
      <w:bookmarkStart w:id="37" w:name="_GoBack"/>
      <w:bookmarkEnd w:id="37"/>
      <w:r>
        <w:rPr>
          <w:rFonts w:ascii="Times New Roman" w:hAnsi="Times New Roman" w:cs="Times New Roman"/>
          <w:b/>
          <w:sz w:val="24"/>
          <w:szCs w:val="24"/>
        </w:rPr>
        <w:t>Supporting Information</w:t>
      </w:r>
    </w:p>
    <w:p>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t>1</w:t>
      </w:r>
      <w:r>
        <w:rPr>
          <w:rFonts w:ascii="Times New Roman" w:hAnsi="Times New Roman" w:cs="Times New Roman"/>
          <w:b/>
          <w:sz w:val="24"/>
          <w:szCs w:val="24"/>
        </w:rPr>
        <w:tab/>
      </w:r>
      <w:r>
        <w:rPr>
          <w:rFonts w:ascii="Times New Roman" w:hAnsi="Times New Roman" w:cs="Times New Roman"/>
          <w:b/>
          <w:sz w:val="24"/>
          <w:szCs w:val="24"/>
        </w:rPr>
        <w:t>Experimental section</w:t>
      </w:r>
    </w:p>
    <w:p>
      <w:pPr>
        <w:spacing w:line="480" w:lineRule="auto"/>
        <w:rPr>
          <w:rFonts w:ascii="Times New Roman" w:hAnsi="Times New Roman" w:cs="Times New Roman"/>
          <w:bCs/>
          <w:i/>
          <w:sz w:val="24"/>
          <w:szCs w:val="24"/>
        </w:rPr>
      </w:pPr>
      <w:r>
        <w:rPr>
          <w:rFonts w:ascii="Times New Roman" w:hAnsi="Times New Roman" w:cs="Times New Roman"/>
          <w:b/>
          <w:bCs/>
          <w:sz w:val="24"/>
          <w:szCs w:val="24"/>
        </w:rPr>
        <w:t>1.1</w:t>
      </w:r>
      <w:r>
        <w:rPr>
          <w:rFonts w:ascii="Times New Roman" w:hAnsi="Times New Roman" w:cs="Times New Roman"/>
          <w:b/>
          <w:bCs/>
          <w:sz w:val="24"/>
          <w:szCs w:val="24"/>
        </w:rPr>
        <w:tab/>
      </w:r>
      <w:r>
        <w:rPr>
          <w:rFonts w:ascii="Times New Roman" w:hAnsi="Times New Roman" w:cs="Times New Roman"/>
          <w:b/>
          <w:bCs/>
          <w:sz w:val="24"/>
          <w:szCs w:val="24"/>
        </w:rPr>
        <w:t>Preparation of PGNSs</w:t>
      </w:r>
      <w:r>
        <w:rPr>
          <w:rFonts w:ascii="Times New Roman" w:hAnsi="Times New Roman" w:cs="Times New Roman"/>
          <w:bCs/>
          <w:i/>
          <w:sz w:val="24"/>
          <w:szCs w:val="24"/>
        </w:rPr>
        <w:t xml:space="preserve"> </w:t>
      </w:r>
    </w:p>
    <w:p>
      <w:pPr>
        <w:spacing w:line="480" w:lineRule="auto"/>
        <w:ind w:firstLine="360"/>
        <w:rPr>
          <w:rFonts w:ascii="Times New Roman" w:hAnsi="Times New Roman" w:cs="Times New Roman"/>
          <w:sz w:val="24"/>
          <w:szCs w:val="24"/>
        </w:rPr>
      </w:pPr>
      <w:r>
        <w:rPr>
          <w:rFonts w:ascii="Times New Roman" w:hAnsi="Times New Roman" w:cs="Times New Roman"/>
          <w:sz w:val="24"/>
          <w:szCs w:val="24"/>
        </w:rPr>
        <w:t>The preparation of PGNSs was conducted as previously described</w:t>
      </w:r>
      <w:r>
        <w:fldChar w:fldCharType="begin"/>
      </w:r>
      <w:r>
        <w:instrText xml:space="preserve"> HYPERLINK \l "_ENREF_1" \o "Wang, 2019 #92" </w:instrText>
      </w:r>
      <w:r>
        <w:fldChar w:fldCharType="separate"/>
      </w:r>
      <w:r>
        <w:rPr>
          <w:rFonts w:ascii="Times New Roman" w:hAnsi="Times New Roman" w:cs="Times New Roman"/>
          <w:sz w:val="24"/>
          <w:szCs w:val="24"/>
        </w:rPr>
        <w:fldChar w:fldCharType="begin">
          <w:fldData xml:space="preserve">PEVuZE5vdGU+PENpdGU+PEF1dGhvcj5XYW5nPC9BdXRob3I+PFllYXI+MjAxOTwvWWVhcj48UmVj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PEVuZE5vdGU+PENpdGU+PEF1dGhvcj5XYW5nPC9BdXRob3I+PFllYXI+MjAxOTwvWWVhcj48UmVj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end"/>
      </w:r>
      <w:r>
        <w:rPr>
          <w:rFonts w:ascii="Times New Roman" w:hAnsi="Times New Roman" w:cs="Times New Roman"/>
          <w:sz w:val="24"/>
          <w:szCs w:val="24"/>
        </w:rPr>
        <w:t>. Briefly, a total of 100 μL of 0.4 M aqueous cobalt chloride (CoCl</w:t>
      </w:r>
      <w:r>
        <w:rPr>
          <w:rFonts w:ascii="Times New Roman" w:hAnsi="Times New Roman" w:cs="Times New Roman"/>
          <w:sz w:val="24"/>
          <w:szCs w:val="24"/>
          <w:vertAlign w:val="subscript"/>
        </w:rPr>
        <w:t>2</w:t>
      </w:r>
      <w:r>
        <w:rPr>
          <w:rFonts w:ascii="Times New Roman" w:hAnsi="Times New Roman" w:cs="Times New Roman"/>
          <w:sz w:val="24"/>
          <w:szCs w:val="24"/>
        </w:rPr>
        <w:t>), 2 mL of 0.05 M aqueous sodium citrate and 100 mL of a 20% poly-N-vinylpyrrolidone (PVP K30) solution were added to 100 mL of ultrapure water in a three-necked round-bottom flask. The solution was pumped down for 10 min to extract the air and 1 mL of freshly prepared 0.1 M sodium borohydride (NaBH</w:t>
      </w:r>
      <w:r>
        <w:rPr>
          <w:rFonts w:ascii="Times New Roman" w:hAnsi="Times New Roman" w:cs="Times New Roman"/>
          <w:sz w:val="24"/>
          <w:szCs w:val="24"/>
          <w:vertAlign w:val="subscript"/>
        </w:rPr>
        <w:t>4</w:t>
      </w:r>
      <w:r>
        <w:rPr>
          <w:rFonts w:ascii="Times New Roman" w:hAnsi="Times New Roman" w:cs="Times New Roman"/>
          <w:sz w:val="24"/>
          <w:szCs w:val="24"/>
        </w:rPr>
        <w:t>) was added to the solution and stirred for 15 min once the solution turned gray, then pumping was stopped and a total of 300 μL of 25 mM HAuCl</w:t>
      </w:r>
      <w:r>
        <w:rPr>
          <w:rFonts w:ascii="Times New Roman" w:hAnsi="Times New Roman" w:cs="Times New Roman"/>
          <w:sz w:val="24"/>
          <w:szCs w:val="24"/>
          <w:vertAlign w:val="subscript"/>
        </w:rPr>
        <w:t>4</w:t>
      </w:r>
      <w:r>
        <w:rPr>
          <w:rFonts w:ascii="Times New Roman" w:hAnsi="Times New Roman" w:cs="Times New Roman"/>
          <w:sz w:val="24"/>
          <w:szCs w:val="24"/>
        </w:rPr>
        <w:t xml:space="preserve"> was injected. After that, the particles were exposed to air and the solution was shaken aggressively until the color completely changed to green. The prepared PGNSs were centrifuged for 20 min at 10000 rpm using the centrifuge (KDC-140HR, AnHui Ustc ZonKia Scientific Instruments Co., LTD). The precipitate was collected and re-dispersed for further research. </w:t>
      </w:r>
    </w:p>
    <w:p>
      <w:pPr>
        <w:spacing w:line="480" w:lineRule="auto"/>
        <w:rPr>
          <w:rFonts w:ascii="Times New Roman" w:hAnsi="Times New Roman" w:cs="Times New Roman"/>
          <w:b/>
          <w:bCs/>
          <w:sz w:val="24"/>
          <w:szCs w:val="24"/>
        </w:rPr>
      </w:pPr>
      <w:r>
        <w:rPr>
          <w:rFonts w:ascii="Times New Roman" w:hAnsi="Times New Roman" w:cs="Times New Roman"/>
          <w:b/>
          <w:bCs/>
          <w:sz w:val="24"/>
          <w:szCs w:val="24"/>
        </w:rPr>
        <w:t>1.2</w:t>
      </w:r>
      <w:r>
        <w:rPr>
          <w:rFonts w:ascii="Times New Roman" w:hAnsi="Times New Roman" w:cs="Times New Roman"/>
          <w:b/>
          <w:bCs/>
          <w:sz w:val="24"/>
          <w:szCs w:val="24"/>
        </w:rPr>
        <w:tab/>
      </w:r>
      <w:r>
        <w:rPr>
          <w:rFonts w:ascii="Times New Roman" w:hAnsi="Times New Roman" w:cs="Times New Roman"/>
          <w:b/>
          <w:bCs/>
          <w:sz w:val="24"/>
          <w:szCs w:val="24"/>
        </w:rPr>
        <w:t xml:space="preserve">Preparation of mPEG-PGNSs </w:t>
      </w:r>
    </w:p>
    <w:p>
      <w:pPr>
        <w:spacing w:line="480" w:lineRule="auto"/>
        <w:ind w:firstLine="360"/>
        <w:rPr>
          <w:rFonts w:ascii="Times New Roman" w:hAnsi="Times New Roman" w:cs="Times New Roman"/>
          <w:b/>
          <w:bCs/>
          <w:sz w:val="24"/>
          <w:szCs w:val="24"/>
        </w:rPr>
      </w:pPr>
      <w:r>
        <w:rPr>
          <w:rFonts w:ascii="Times New Roman" w:hAnsi="Times New Roman" w:cs="Times New Roman"/>
          <w:sz w:val="24"/>
          <w:szCs w:val="24"/>
        </w:rPr>
        <w:t>The preparation of mPEG-PGNSs was conducted as previously described</w:t>
      </w:r>
      <w:r>
        <w:fldChar w:fldCharType="begin"/>
      </w:r>
      <w:r>
        <w:instrText xml:space="preserve"> HYPERLINK \l "_ENREF_1" \o "Wang, 2019 #92" </w:instrText>
      </w:r>
      <w:r>
        <w:fldChar w:fldCharType="separate"/>
      </w:r>
      <w:r>
        <w:rPr>
          <w:rFonts w:ascii="Times New Roman" w:hAnsi="Times New Roman" w:cs="Times New Roman"/>
          <w:sz w:val="24"/>
          <w:szCs w:val="24"/>
        </w:rPr>
        <w:fldChar w:fldCharType="begin">
          <w:fldData xml:space="preserve">PEVuZE5vdGU+PENpdGU+PEF1dGhvcj5XYW5nPC9BdXRob3I+PFllYXI+MjAxOTwvWWVhcj48UmVj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PEVuZE5vdGU+PENpdGU+PEF1dGhvcj5XYW5nPC9BdXRob3I+PFllYXI+MjAxOTwvWWVhcj48UmVj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end"/>
      </w:r>
      <w:r>
        <w:rPr>
          <w:rFonts w:ascii="Times New Roman" w:hAnsi="Times New Roman" w:cs="Times New Roman"/>
          <w:sz w:val="24"/>
          <w:szCs w:val="24"/>
        </w:rPr>
        <w:t xml:space="preserve"> mPEG-SH was covalently grafted to the surface of the Au nanoparticles. An excess of methoxypoly(ethylene glycol)thiol (mPEG-SH, Mw = 5000) was added to the PGNSs synthesized above and the solution was stirred for 8 h to allow for the sulfhydryl group, which is known to have a strong affinity for Au, to react with PGNSs. The excess mPEG-SH was removed during centrifugation at 10,000 rpm for about 30 min, when the precipitated mPEG-PGNSs were collected and re-dispersed for further research. </w:t>
      </w:r>
    </w:p>
    <w:p>
      <w:pPr>
        <w:spacing w:line="480" w:lineRule="auto"/>
        <w:rPr>
          <w:rFonts w:ascii="Times New Roman" w:hAnsi="Times New Roman" w:cs="Times New Roman"/>
          <w:b/>
          <w:bCs/>
          <w:sz w:val="24"/>
          <w:szCs w:val="24"/>
        </w:rPr>
      </w:pPr>
      <w:r>
        <w:rPr>
          <w:rFonts w:ascii="Times New Roman" w:hAnsi="Times New Roman" w:cs="Times New Roman"/>
          <w:b/>
          <w:bCs/>
          <w:sz w:val="24"/>
          <w:szCs w:val="24"/>
        </w:rPr>
        <w:t>1.3</w:t>
      </w:r>
      <w:r>
        <w:rPr>
          <w:rFonts w:ascii="Times New Roman" w:hAnsi="Times New Roman" w:cs="Times New Roman"/>
          <w:b/>
          <w:bCs/>
          <w:sz w:val="24"/>
          <w:szCs w:val="24"/>
        </w:rPr>
        <w:tab/>
      </w:r>
      <w:r>
        <w:rPr>
          <w:rFonts w:ascii="Times New Roman" w:hAnsi="Times New Roman" w:cs="Times New Roman"/>
          <w:b/>
          <w:bCs/>
          <w:sz w:val="24"/>
          <w:szCs w:val="24"/>
        </w:rPr>
        <w:t xml:space="preserve">Preparation of dual modified </w:t>
      </w:r>
      <w:r>
        <w:rPr>
          <w:rFonts w:ascii="Times New Roman" w:hAnsi="Times New Roman" w:cs="Times New Roman"/>
          <w:b/>
          <w:sz w:val="24"/>
          <w:szCs w:val="24"/>
        </w:rPr>
        <w:t>mPEG/HER-PGNSs</w:t>
      </w:r>
      <w:r>
        <w:rPr>
          <w:rFonts w:ascii="Times New Roman" w:hAnsi="Times New Roman" w:cs="Times New Roman"/>
          <w:b/>
          <w:bCs/>
          <w:sz w:val="24"/>
          <w:szCs w:val="24"/>
        </w:rPr>
        <w:t xml:space="preserve"> </w:t>
      </w:r>
    </w:p>
    <w:p>
      <w:pPr>
        <w:spacing w:line="480" w:lineRule="auto"/>
        <w:ind w:firstLine="360"/>
        <w:rPr>
          <w:rFonts w:ascii="Times New Roman" w:hAnsi="Times New Roman" w:cs="Times New Roman"/>
          <w:sz w:val="24"/>
          <w:szCs w:val="24"/>
        </w:rPr>
      </w:pPr>
      <w:r>
        <w:rPr>
          <w:rFonts w:ascii="Times New Roman" w:hAnsi="Times New Roman" w:cs="Times New Roman"/>
          <w:sz w:val="24"/>
          <w:szCs w:val="24"/>
        </w:rPr>
        <w:t>Herceptin dissolved in PBS was added into the mPEG-PGNSs previously prepared, after stirring overnight at room temperature, and the mPEG/HER-PGNSs were obtained through centrifugation for 20 min at a speed of 10,000 rpm using a centrifuge. The unconjugated Herceptin in the supernatant was detected with a BCA Protein Assay Kit (JiangSu KeyGen Biotech Company) and the connection ratio of Herceptin to Au was calculated with the details described in the supporting information.</w:t>
      </w:r>
    </w:p>
    <w:p>
      <w:pPr>
        <w:spacing w:line="480" w:lineRule="auto"/>
        <w:rPr>
          <w:rFonts w:ascii="Times New Roman" w:hAnsi="Times New Roman" w:cs="Times New Roman"/>
          <w:b/>
          <w:bCs/>
          <w:sz w:val="24"/>
          <w:szCs w:val="24"/>
        </w:rPr>
      </w:pPr>
      <w:r>
        <w:rPr>
          <w:rFonts w:ascii="Times New Roman" w:hAnsi="Times New Roman" w:cs="Times New Roman"/>
          <w:b/>
          <w:bCs/>
          <w:sz w:val="24"/>
          <w:szCs w:val="24"/>
        </w:rPr>
        <w:t>1.4</w:t>
      </w:r>
      <w:r>
        <w:rPr>
          <w:rFonts w:ascii="Times New Roman" w:hAnsi="Times New Roman" w:cs="Times New Roman"/>
          <w:b/>
          <w:bCs/>
          <w:sz w:val="24"/>
          <w:szCs w:val="24"/>
        </w:rPr>
        <w:tab/>
      </w:r>
      <w:r>
        <w:rPr>
          <w:rFonts w:ascii="Times New Roman" w:hAnsi="Times New Roman" w:cs="Times New Roman"/>
          <w:b/>
          <w:bCs/>
          <w:sz w:val="24"/>
          <w:szCs w:val="24"/>
        </w:rPr>
        <w:t xml:space="preserve">Preparation of DM1-PGNSs </w:t>
      </w:r>
    </w:p>
    <w:p>
      <w:pPr>
        <w:spacing w:line="480" w:lineRule="auto"/>
        <w:ind w:firstLine="360"/>
        <w:rPr>
          <w:rFonts w:ascii="Times New Roman" w:hAnsi="Times New Roman" w:cs="Times New Roman"/>
          <w:sz w:val="24"/>
          <w:szCs w:val="24"/>
        </w:rPr>
      </w:pPr>
      <w:r>
        <w:rPr>
          <w:rFonts w:ascii="Times New Roman" w:hAnsi="Times New Roman" w:cs="Times New Roman"/>
          <w:sz w:val="24"/>
          <w:szCs w:val="24"/>
        </w:rPr>
        <w:t>DM1-PGNSs were prepared through a direct-stirring reaction</w:t>
      </w:r>
      <w:r>
        <w:fldChar w:fldCharType="begin"/>
      </w:r>
      <w:r>
        <w:instrText xml:space="preserve"> HYPERLINK \l "_ENREF_2" \o "Yang, 2017 #99" </w:instrText>
      </w:r>
      <w:r>
        <w:fldChar w:fldCharType="separate"/>
      </w:r>
      <w:r>
        <w:rPr>
          <w:rFonts w:ascii="Times New Roman" w:hAnsi="Times New Roman" w:cs="Times New Roman"/>
          <w:sz w:val="24"/>
          <w:szCs w:val="24"/>
        </w:rPr>
        <w:fldChar w:fldCharType="begin">
          <w:fldData xml:space="preserve">PEVuZE5vdGU+PENpdGU+PEF1dGhvcj5ZYW5nPC9BdXRob3I+PFllYXI+MjAxNzwvWWVhcj48UmVj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PEVuZE5vdGU+PENpdGU+PEF1dGhvcj5ZYW5nPC9BdXRob3I+PFllYXI+MjAxNzwvWWVhcj48UmVj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 Briefly, DM1 at a concentration of 1 mg mL</w:t>
      </w:r>
      <w:r>
        <w:rPr>
          <w:rFonts w:ascii="Times New Roman" w:hAnsi="Times New Roman" w:cs="Times New Roman"/>
          <w:sz w:val="24"/>
          <w:szCs w:val="24"/>
          <w:vertAlign w:val="superscript"/>
        </w:rPr>
        <w:t>-1</w:t>
      </w:r>
      <w:r>
        <w:rPr>
          <w:rFonts w:ascii="Times New Roman" w:hAnsi="Times New Roman" w:cs="Times New Roman"/>
          <w:sz w:val="24"/>
          <w:szCs w:val="24"/>
        </w:rPr>
        <w:t>was added to the PGNSs at a concentration of 100 μg mL</w:t>
      </w:r>
      <w:r>
        <w:rPr>
          <w:rFonts w:ascii="Times New Roman" w:hAnsi="Times New Roman" w:cs="Times New Roman"/>
          <w:sz w:val="24"/>
          <w:szCs w:val="24"/>
          <w:vertAlign w:val="superscript"/>
        </w:rPr>
        <w:t>-1</w:t>
      </w:r>
      <w:r>
        <w:rPr>
          <w:rFonts w:ascii="Times New Roman" w:hAnsi="Times New Roman" w:cs="Times New Roman"/>
          <w:sz w:val="24"/>
          <w:szCs w:val="24"/>
        </w:rPr>
        <w:t>, after stirring for 8 h at room temperature and the solution was centrifuged for 20 min at a speed of 10,000 rpm to remove free DM1 from the supernatant, then the DM1-PGNSs were obtained in the precipitate. The amount of free DM1 in the supernatant was determined by high performance liquid chromatography (HPLC) at 252 nm. DM1 loading capacity (LC) was estimated using the indirect method by determining the amount of unbound DM1 in the supernatant according to the equation 1:</w:t>
      </w:r>
    </w:p>
    <w:p>
      <w:pPr>
        <w:spacing w:line="480" w:lineRule="auto"/>
        <w:jc w:val="center"/>
        <w:rPr>
          <w:rFonts w:ascii="Times New Roman" w:hAnsi="Times New Roman" w:cs="Times New Roman"/>
          <w:b/>
          <w:bCs/>
          <w:sz w:val="24"/>
          <w:szCs w:val="24"/>
        </w:rPr>
      </w:pPr>
      <m:oMath>
        <m:r>
          <m:rPr>
            <m:sty m:val="bi"/>
          </m:rPr>
          <w:rPr>
            <w:rFonts w:ascii="Cambria Math" w:hAnsi="Cambria Math" w:eastAsia="Cambria Math" w:cs="Times New Roman"/>
            <w:sz w:val="24"/>
            <w:szCs w:val="24"/>
          </w:rPr>
          <m:t>LC</m:t>
        </m:r>
        <m:r>
          <m:rPr>
            <m:sty m:val="b"/>
          </m:rPr>
          <w:rPr>
            <w:rFonts w:ascii="Cambria Math" w:hAnsi="Cambria Math" w:eastAsia="Cambria Math" w:cs="Times New Roman"/>
            <w:sz w:val="24"/>
            <w:szCs w:val="24"/>
          </w:rPr>
          <m:t>=</m:t>
        </m:r>
        <m:f>
          <m:fPr>
            <m:ctrlPr>
              <w:rPr>
                <w:rFonts w:ascii="Cambria Math" w:hAnsi="Cambria Math" w:eastAsia="Cambria Math" w:cs="Times New Roman"/>
                <w:b/>
                <w:bCs/>
                <w:sz w:val="24"/>
                <w:szCs w:val="24"/>
              </w:rPr>
            </m:ctrlPr>
          </m:fPr>
          <m:num>
            <m:r>
              <m:rPr>
                <m:sty m:val="b"/>
              </m:rPr>
              <w:rPr>
                <w:rFonts w:ascii="Cambria Math" w:hAnsi="Cambria Math" w:eastAsia="Cambria Math" w:cs="Times New Roman"/>
                <w:sz w:val="24"/>
                <w:szCs w:val="24"/>
              </w:rPr>
              <m:t xml:space="preserve">total DM1 added-DM1 in supernatant </m:t>
            </m:r>
            <m:ctrlPr>
              <w:rPr>
                <w:rFonts w:ascii="Cambria Math" w:hAnsi="Cambria Math" w:eastAsia="Cambria Math" w:cs="Times New Roman"/>
                <w:b/>
                <w:bCs/>
                <w:sz w:val="24"/>
                <w:szCs w:val="24"/>
              </w:rPr>
            </m:ctrlPr>
          </m:num>
          <m:den>
            <m:r>
              <m:rPr>
                <m:sty m:val="b"/>
              </m:rPr>
              <w:rPr>
                <w:rFonts w:ascii="Cambria Math" w:hAnsi="Cambria Math" w:eastAsia="Cambria Math" w:cs="Times New Roman"/>
                <w:sz w:val="24"/>
                <w:szCs w:val="24"/>
              </w:rPr>
              <m:t>total Au used+total DM1 added-DM1 in supernatant</m:t>
            </m:r>
            <m:ctrlPr>
              <w:rPr>
                <w:rFonts w:ascii="Cambria Math" w:hAnsi="Cambria Math" w:eastAsia="Cambria Math" w:cs="Times New Roman"/>
                <w:b/>
                <w:bCs/>
                <w:sz w:val="24"/>
                <w:szCs w:val="24"/>
              </w:rPr>
            </m:ctrlPr>
          </m:den>
        </m:f>
        <m:r>
          <m:rPr>
            <m:sty m:val="bi"/>
          </m:rPr>
          <w:rPr>
            <w:rFonts w:ascii="Cambria Math" w:hAnsi="Cambria Math" w:cs="Times New Roman"/>
            <w:sz w:val="24"/>
            <w:szCs w:val="24"/>
          </w:rPr>
          <m:t>×100</m:t>
        </m:r>
      </m:oMath>
      <w:r>
        <w:rPr>
          <w:rFonts w:ascii="Times New Roman" w:hAnsi="Times New Roman" w:cs="Times New Roman"/>
          <w:b/>
          <w:sz w:val="24"/>
          <w:szCs w:val="24"/>
        </w:rPr>
        <w:t xml:space="preserve"> </w:t>
      </w:r>
      <w:r>
        <w:rPr>
          <w:rFonts w:ascii="Times New Roman" w:hAnsi="Times New Roman" w:cs="Times New Roman"/>
          <w:b/>
          <w:bCs/>
          <w:sz w:val="24"/>
          <w:szCs w:val="24"/>
        </w:rPr>
        <w:t xml:space="preserve"> (1)</w:t>
      </w:r>
    </w:p>
    <w:p>
      <w:pPr>
        <w:spacing w:line="480" w:lineRule="auto"/>
        <w:rPr>
          <w:rFonts w:ascii="Times New Roman" w:hAnsi="Times New Roman" w:cs="Times New Roman"/>
          <w:sz w:val="24"/>
          <w:szCs w:val="24"/>
        </w:rPr>
      </w:pPr>
      <w:r>
        <w:rPr>
          <w:rFonts w:ascii="Times New Roman" w:hAnsi="Times New Roman" w:cs="Times New Roman"/>
          <w:b/>
          <w:sz w:val="24"/>
          <w:szCs w:val="24"/>
        </w:rPr>
        <w:t>1.5</w:t>
      </w:r>
      <w:r>
        <w:rPr>
          <w:rFonts w:ascii="Times New Roman" w:hAnsi="Times New Roman" w:cs="Times New Roman"/>
          <w:b/>
          <w:sz w:val="24"/>
          <w:szCs w:val="24"/>
        </w:rPr>
        <w:tab/>
      </w:r>
      <w:r>
        <w:rPr>
          <w:rFonts w:ascii="Times New Roman" w:hAnsi="Times New Roman" w:cs="Times New Roman"/>
          <w:b/>
          <w:sz w:val="24"/>
          <w:szCs w:val="24"/>
        </w:rPr>
        <w:t xml:space="preserve">The detection of Au-S bond formed in </w:t>
      </w:r>
      <w:r>
        <w:rPr>
          <w:rFonts w:ascii="Times New Roman" w:hAnsi="Times New Roman" w:cs="Times New Roman"/>
          <w:b/>
          <w:bCs/>
          <w:sz w:val="24"/>
          <w:szCs w:val="24"/>
        </w:rPr>
        <w:t xml:space="preserve">mPEG-PGNSs </w:t>
      </w:r>
    </w:p>
    <w:p>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Solid powders of PGNSs and </w:t>
      </w:r>
      <w:r>
        <w:rPr>
          <w:rFonts w:ascii="Times New Roman" w:hAnsi="Times New Roman" w:cs="Times New Roman"/>
          <w:bCs/>
          <w:sz w:val="24"/>
          <w:szCs w:val="24"/>
        </w:rPr>
        <w:t>mPEG-PGNSs</w:t>
      </w:r>
      <w:r>
        <w:rPr>
          <w:rFonts w:ascii="Times New Roman" w:hAnsi="Times New Roman" w:cs="Times New Roman"/>
          <w:sz w:val="24"/>
          <w:szCs w:val="24"/>
        </w:rPr>
        <w:t xml:space="preserve"> were prepared by freeze-drying. Then, the FTIR spectra of PGNSs, mPEG-SH, and </w:t>
      </w:r>
      <w:r>
        <w:rPr>
          <w:rFonts w:ascii="Times New Roman" w:hAnsi="Times New Roman" w:cs="Times New Roman"/>
          <w:bCs/>
          <w:sz w:val="24"/>
          <w:szCs w:val="24"/>
        </w:rPr>
        <w:t>mPEG-PGNSs</w:t>
      </w:r>
      <w:r>
        <w:rPr>
          <w:rFonts w:ascii="Times New Roman" w:hAnsi="Times New Roman" w:cs="Times New Roman"/>
          <w:sz w:val="24"/>
          <w:szCs w:val="24"/>
        </w:rPr>
        <w:t xml:space="preserve"> in the range of 900–4500 cm</w:t>
      </w:r>
      <w:r>
        <w:rPr>
          <w:rFonts w:ascii="Times New Roman" w:hAnsi="Times New Roman" w:cs="Times New Roman"/>
          <w:sz w:val="24"/>
          <w:szCs w:val="24"/>
          <w:vertAlign w:val="superscript"/>
        </w:rPr>
        <w:t>−1 </w:t>
      </w:r>
      <w:r>
        <w:rPr>
          <w:rFonts w:ascii="Times New Roman" w:hAnsi="Times New Roman" w:cs="Times New Roman"/>
          <w:sz w:val="24"/>
          <w:szCs w:val="24"/>
        </w:rPr>
        <w:t>were recorded using an FTIR spectrometer (Nicolet iS10, Thermo Fisher, USA) in KBr pellets.</w:t>
      </w:r>
    </w:p>
    <w:p>
      <w:pPr>
        <w:spacing w:line="480" w:lineRule="auto"/>
        <w:rPr>
          <w:rFonts w:ascii="Times New Roman" w:hAnsi="Times New Roman" w:cs="Times New Roman"/>
          <w:bCs/>
          <w:i/>
          <w:sz w:val="24"/>
          <w:szCs w:val="24"/>
        </w:rPr>
      </w:pPr>
      <w:r>
        <w:rPr>
          <w:rFonts w:ascii="Times New Roman" w:hAnsi="Times New Roman" w:cs="Times New Roman"/>
          <w:b/>
          <w:bCs/>
          <w:sz w:val="24"/>
          <w:szCs w:val="24"/>
        </w:rPr>
        <w:t>1.6</w:t>
      </w:r>
      <w:r>
        <w:rPr>
          <w:rFonts w:ascii="Times New Roman" w:hAnsi="Times New Roman" w:cs="Times New Roman"/>
          <w:b/>
          <w:bCs/>
          <w:sz w:val="24"/>
          <w:szCs w:val="24"/>
        </w:rPr>
        <w:tab/>
      </w:r>
      <w:r>
        <w:rPr>
          <w:rFonts w:ascii="Times New Roman" w:hAnsi="Times New Roman" w:cs="Times New Roman"/>
          <w:b/>
          <w:bCs/>
          <w:sz w:val="24"/>
          <w:szCs w:val="24"/>
        </w:rPr>
        <w:t xml:space="preserve">The connection ratio between Herceptin and </w:t>
      </w:r>
      <w:bookmarkStart w:id="1" w:name="_Hlk16624913"/>
      <w:r>
        <w:rPr>
          <w:rFonts w:ascii="Times New Roman" w:hAnsi="Times New Roman" w:cs="Times New Roman"/>
          <w:b/>
          <w:bCs/>
          <w:sz w:val="24"/>
          <w:szCs w:val="24"/>
        </w:rPr>
        <w:t xml:space="preserve">Au </w:t>
      </w:r>
      <w:bookmarkEnd w:id="1"/>
      <w:r>
        <w:rPr>
          <w:rFonts w:ascii="Times New Roman" w:hAnsi="Times New Roman" w:cs="Times New Roman"/>
          <w:b/>
          <w:bCs/>
          <w:sz w:val="24"/>
          <w:szCs w:val="24"/>
        </w:rPr>
        <w:t>for mPEG/HER-PGNSs and DM1-mPEG/HER-PGNSs</w:t>
      </w:r>
      <w:bookmarkStart w:id="2" w:name="OLE_LINK87"/>
      <w:bookmarkStart w:id="3" w:name="OLE_LINK88"/>
      <w:r>
        <w:rPr>
          <w:rFonts w:ascii="Times New Roman" w:hAnsi="Times New Roman" w:cs="Times New Roman"/>
          <w:bCs/>
          <w:i/>
          <w:sz w:val="24"/>
          <w:szCs w:val="24"/>
        </w:rPr>
        <w:t xml:space="preserve"> </w:t>
      </w:r>
    </w:p>
    <w:p>
      <w:pPr>
        <w:spacing w:line="480" w:lineRule="auto"/>
        <w:ind w:firstLine="360"/>
        <w:rPr>
          <w:rFonts w:ascii="Times New Roman" w:hAnsi="Times New Roman" w:cs="Times New Roman"/>
          <w:sz w:val="24"/>
          <w:szCs w:val="24"/>
        </w:rPr>
      </w:pPr>
      <w:r>
        <w:rPr>
          <w:rFonts w:ascii="Times New Roman" w:hAnsi="Times New Roman" w:cs="Times New Roman"/>
          <w:sz w:val="24"/>
          <w:szCs w:val="24"/>
        </w:rPr>
        <w:t>The unreacted Herceptin in the supernatant was detected using the BCA Protein Assay Kit, the standard solution and the BCA working solution were prepared according to the instruction of the BCA Protein Assay Kit. Then, a standard curve of absorbance versus the concentration of protein was obtained, and the amount of unreacted Herceptin in the supernatant was determined from the curve. The connection ratio of Herceptin and PGNSs was calculated according to the following formulation (equation 2):</w:t>
      </w:r>
    </w:p>
    <w:p>
      <w:pPr>
        <w:spacing w:line="480" w:lineRule="auto"/>
        <w:jc w:val="center"/>
        <w:rPr>
          <w:rFonts w:ascii="Times New Roman" w:hAnsi="Times New Roman" w:cs="Times New Roman"/>
          <w:sz w:val="24"/>
          <w:szCs w:val="24"/>
        </w:rPr>
      </w:pPr>
      <m:oMath>
        <m:r>
          <m:rPr>
            <m:sty m:val="b"/>
          </m:rPr>
          <w:rPr>
            <w:rFonts w:ascii="Cambria Math" w:hAnsi="Cambria Math" w:cs="Times New Roman"/>
            <w:sz w:val="24"/>
            <w:szCs w:val="24"/>
          </w:rPr>
          <m:t>connection ratio</m:t>
        </m:r>
        <m:r>
          <m:rPr>
            <m:sty m:val="b"/>
          </m:rPr>
          <w:rPr>
            <w:rFonts w:ascii="Cambria Math" w:hAnsi="Cambria Math" w:eastAsia="Cambria Math" w:cs="Times New Roman"/>
            <w:sz w:val="24"/>
            <w:szCs w:val="24"/>
          </w:rPr>
          <m:t>=</m:t>
        </m:r>
        <m:r>
          <m:rPr>
            <m:sty m:val="b"/>
          </m:rPr>
          <w:rPr>
            <w:rFonts w:ascii="Cambria Math" w:hAnsi="Cambria Math" w:cs="Times New Roman"/>
            <w:sz w:val="24"/>
            <w:szCs w:val="24"/>
          </w:rPr>
          <m:t>（</m:t>
        </m:r>
        <m:r>
          <m:rPr>
            <m:sty m:val="b"/>
          </m:rPr>
          <w:rPr>
            <w:rFonts w:ascii="Cambria Math" w:hAnsi="Cambria Math" w:eastAsia="Cambria Math" w:cs="Times New Roman"/>
            <w:sz w:val="24"/>
            <w:szCs w:val="24"/>
          </w:rPr>
          <m:t>1</m:t>
        </m:r>
        <m:r>
          <m:rPr>
            <m:sty m:val="b"/>
          </m:rPr>
          <w:rPr>
            <w:rFonts w:ascii="Cambria Math" w:hAnsi="Cambria Math" w:eastAsia="微软雅黑" w:cs="Times New Roman"/>
            <w:sz w:val="24"/>
            <w:szCs w:val="24"/>
          </w:rPr>
          <m:t>-</m:t>
        </m:r>
        <m:f>
          <m:fPr>
            <m:ctrlPr>
              <w:rPr>
                <w:rFonts w:ascii="Cambria Math" w:hAnsi="Cambria Math" w:eastAsia="Cambria Math" w:cs="Times New Roman"/>
                <w:b/>
                <w:sz w:val="24"/>
                <w:szCs w:val="24"/>
              </w:rPr>
            </m:ctrlPr>
          </m:fPr>
          <m:num>
            <m:sSub>
              <m:sSubPr>
                <m:ctrlPr>
                  <w:rPr>
                    <w:rFonts w:ascii="Cambria Math" w:hAnsi="Cambria Math" w:eastAsia="Cambria Math" w:cs="Times New Roman"/>
                    <w:b/>
                    <w:sz w:val="24"/>
                    <w:szCs w:val="24"/>
                  </w:rPr>
                </m:ctrlPr>
              </m:sSubPr>
              <m:e>
                <m:r>
                  <m:rPr>
                    <m:sty m:val="bi"/>
                  </m:rPr>
                  <w:rPr>
                    <w:rFonts w:ascii="Cambria Math" w:hAnsi="Cambria Math" w:eastAsia="Cambria Math" w:cs="Times New Roman"/>
                    <w:sz w:val="24"/>
                    <w:szCs w:val="24"/>
                  </w:rPr>
                  <m:t>m</m:t>
                </m:r>
                <m:ctrlPr>
                  <w:rPr>
                    <w:rFonts w:ascii="Cambria Math" w:hAnsi="Cambria Math" w:eastAsia="Cambria Math" w:cs="Times New Roman"/>
                    <w:b/>
                    <w:sz w:val="24"/>
                    <w:szCs w:val="24"/>
                  </w:rPr>
                </m:ctrlPr>
              </m:e>
              <m:sub>
                <m:r>
                  <m:rPr>
                    <m:sty m:val="bi"/>
                  </m:rPr>
                  <w:rPr>
                    <w:rFonts w:ascii="Cambria Math" w:hAnsi="Cambria Math" w:eastAsia="Cambria Math" w:cs="Times New Roman"/>
                    <w:sz w:val="24"/>
                    <w:szCs w:val="24"/>
                  </w:rPr>
                  <m:t>s</m:t>
                </m:r>
                <m:ctrlPr>
                  <w:rPr>
                    <w:rFonts w:ascii="Cambria Math" w:hAnsi="Cambria Math" w:eastAsia="Cambria Math" w:cs="Times New Roman"/>
                    <w:b/>
                    <w:sz w:val="24"/>
                    <w:szCs w:val="24"/>
                  </w:rPr>
                </m:ctrlPr>
              </m:sub>
            </m:sSub>
            <m:ctrlPr>
              <w:rPr>
                <w:rFonts w:ascii="Cambria Math" w:hAnsi="Cambria Math" w:eastAsia="Cambria Math" w:cs="Times New Roman"/>
                <w:b/>
                <w:sz w:val="24"/>
                <w:szCs w:val="24"/>
              </w:rPr>
            </m:ctrlPr>
          </m:num>
          <m:den>
            <m:sSub>
              <m:sSubPr>
                <m:ctrlPr>
                  <w:rPr>
                    <w:rFonts w:ascii="Cambria Math" w:hAnsi="Cambria Math" w:eastAsia="Cambria Math" w:cs="Times New Roman"/>
                    <w:b/>
                    <w:sz w:val="24"/>
                    <w:szCs w:val="24"/>
                  </w:rPr>
                </m:ctrlPr>
              </m:sSubPr>
              <m:e>
                <m:r>
                  <m:rPr>
                    <m:sty m:val="bi"/>
                  </m:rPr>
                  <w:rPr>
                    <w:rFonts w:ascii="Cambria Math" w:hAnsi="Cambria Math" w:eastAsia="Cambria Math" w:cs="Times New Roman"/>
                    <w:sz w:val="24"/>
                    <w:szCs w:val="24"/>
                  </w:rPr>
                  <m:t>m</m:t>
                </m:r>
                <m:ctrlPr>
                  <w:rPr>
                    <w:rFonts w:ascii="Cambria Math" w:hAnsi="Cambria Math" w:eastAsia="Cambria Math" w:cs="Times New Roman"/>
                    <w:b/>
                    <w:sz w:val="24"/>
                    <w:szCs w:val="24"/>
                  </w:rPr>
                </m:ctrlPr>
              </m:e>
              <m:sub>
                <m:r>
                  <m:rPr>
                    <m:sty m:val="bi"/>
                  </m:rPr>
                  <w:rPr>
                    <w:rFonts w:ascii="Cambria Math" w:hAnsi="Cambria Math" w:eastAsia="Cambria Math" w:cs="Times New Roman"/>
                    <w:sz w:val="24"/>
                    <w:szCs w:val="24"/>
                  </w:rPr>
                  <m:t>t</m:t>
                </m:r>
                <m:ctrlPr>
                  <w:rPr>
                    <w:rFonts w:ascii="Cambria Math" w:hAnsi="Cambria Math" w:eastAsia="Cambria Math" w:cs="Times New Roman"/>
                    <w:b/>
                    <w:sz w:val="24"/>
                    <w:szCs w:val="24"/>
                  </w:rPr>
                </m:ctrlPr>
              </m:sub>
            </m:sSub>
            <m:ctrlPr>
              <w:rPr>
                <w:rFonts w:ascii="Cambria Math" w:hAnsi="Cambria Math" w:eastAsia="Cambria Math" w:cs="Times New Roman"/>
                <w:b/>
                <w:sz w:val="24"/>
                <w:szCs w:val="24"/>
              </w:rPr>
            </m:ctrlPr>
          </m:den>
        </m:f>
        <m:r>
          <m:rPr>
            <m:sty m:val="b"/>
          </m:rPr>
          <w:rPr>
            <w:rFonts w:ascii="Cambria Math" w:hAnsi="Cambria Math" w:cs="Times New Roman"/>
            <w:sz w:val="24"/>
            <w:szCs w:val="24"/>
          </w:rPr>
          <m:t>）</m:t>
        </m:r>
        <m:r>
          <m:rPr>
            <m:sty m:val="bi"/>
          </m:rPr>
          <w:rPr>
            <w:rFonts w:ascii="Cambria Math" w:hAnsi="Cambria Math" w:eastAsia="Cambria Math" w:cs="Times New Roman"/>
            <w:sz w:val="24"/>
            <w:szCs w:val="24"/>
          </w:rPr>
          <m:t>×100%</m:t>
        </m:r>
      </m:oMath>
      <w:r>
        <w:rPr>
          <w:rFonts w:ascii="Times New Roman" w:hAnsi="Times New Roman" w:cs="Times New Roman"/>
          <w:b/>
          <w:sz w:val="24"/>
          <w:szCs w:val="24"/>
        </w:rPr>
        <w:t xml:space="preserve">     (2)</w:t>
      </w:r>
    </w:p>
    <w:p>
      <w:pPr>
        <w:spacing w:line="480" w:lineRule="auto"/>
        <w:rPr>
          <w:rFonts w:ascii="Times New Roman" w:hAnsi="Times New Roman" w:cs="Times New Roman"/>
          <w:sz w:val="24"/>
          <w:szCs w:val="24"/>
        </w:rPr>
      </w:pPr>
      <w:r>
        <w:rPr>
          <w:rFonts w:ascii="Times New Roman" w:hAnsi="Times New Roman" w:cs="Times New Roman"/>
          <w:sz w:val="24"/>
          <w:szCs w:val="24"/>
        </w:rPr>
        <w:t>where the m</w:t>
      </w:r>
      <w:r>
        <w:rPr>
          <w:rFonts w:ascii="Times New Roman" w:hAnsi="Times New Roman" w:cs="Times New Roman"/>
          <w:sz w:val="24"/>
          <w:szCs w:val="24"/>
          <w:vertAlign w:val="subscript"/>
        </w:rPr>
        <w:t>s</w:t>
      </w:r>
      <w:r>
        <w:rPr>
          <w:rFonts w:ascii="Times New Roman" w:hAnsi="Times New Roman" w:cs="Times New Roman"/>
          <w:sz w:val="24"/>
          <w:szCs w:val="24"/>
        </w:rPr>
        <w:t xml:space="preserve"> represents the amount of the Herceptin in the supernatant and the m</w:t>
      </w:r>
      <w:r>
        <w:rPr>
          <w:rFonts w:ascii="Times New Roman" w:hAnsi="Times New Roman" w:cs="Times New Roman"/>
          <w:sz w:val="24"/>
          <w:szCs w:val="24"/>
          <w:vertAlign w:val="subscript"/>
        </w:rPr>
        <w:t>t</w:t>
      </w:r>
      <w:r>
        <w:rPr>
          <w:rFonts w:ascii="Times New Roman" w:hAnsi="Times New Roman" w:cs="Times New Roman"/>
          <w:sz w:val="24"/>
          <w:szCs w:val="24"/>
        </w:rPr>
        <w:t xml:space="preserve"> represents the total amount of Herceptin added.</w:t>
      </w:r>
    </w:p>
    <w:bookmarkEnd w:id="2"/>
    <w:bookmarkEnd w:id="3"/>
    <w:p>
      <w:pPr>
        <w:spacing w:line="480" w:lineRule="auto"/>
        <w:rPr>
          <w:rFonts w:ascii="Times New Roman" w:hAnsi="Times New Roman" w:cs="Times New Roman"/>
          <w:i/>
          <w:sz w:val="24"/>
          <w:szCs w:val="24"/>
        </w:rPr>
      </w:pPr>
      <w:r>
        <w:rPr>
          <w:rFonts w:ascii="Times New Roman" w:hAnsi="Times New Roman" w:cs="Times New Roman"/>
          <w:b/>
          <w:sz w:val="24"/>
          <w:szCs w:val="24"/>
        </w:rPr>
        <w:t>1.7</w:t>
      </w:r>
      <w:r>
        <w:rPr>
          <w:rFonts w:ascii="Times New Roman" w:hAnsi="Times New Roman" w:cs="Times New Roman"/>
          <w:b/>
          <w:sz w:val="24"/>
          <w:szCs w:val="24"/>
        </w:rPr>
        <w:tab/>
      </w:r>
      <w:r>
        <w:rPr>
          <w:rFonts w:ascii="Times New Roman" w:hAnsi="Times New Roman" w:cs="Times New Roman"/>
          <w:b/>
          <w:sz w:val="24"/>
          <w:szCs w:val="24"/>
        </w:rPr>
        <w:t xml:space="preserve">Evaluation of </w:t>
      </w:r>
      <w:r>
        <w:rPr>
          <w:rFonts w:hint="eastAsia" w:ascii="Times New Roman" w:hAnsi="Times New Roman" w:cs="Times New Roman"/>
          <w:b/>
          <w:sz w:val="24"/>
          <w:szCs w:val="24"/>
        </w:rPr>
        <w:t>Her</w:t>
      </w:r>
      <w:r>
        <w:rPr>
          <w:rFonts w:ascii="Times New Roman" w:hAnsi="Times New Roman" w:cs="Times New Roman"/>
          <w:b/>
          <w:sz w:val="24"/>
          <w:szCs w:val="24"/>
        </w:rPr>
        <w:t>-2 gene expression by real time-PCR</w:t>
      </w:r>
      <w:bookmarkEnd w:id="0"/>
      <w:bookmarkStart w:id="4" w:name="OLE_LINK2"/>
      <w:bookmarkStart w:id="5" w:name="OLE_LINK1"/>
      <w:r>
        <w:rPr>
          <w:rFonts w:ascii="Times New Roman" w:hAnsi="Times New Roman" w:cs="Times New Roman"/>
          <w:i/>
          <w:sz w:val="24"/>
          <w:szCs w:val="24"/>
        </w:rPr>
        <w:t xml:space="preserve"> </w:t>
      </w:r>
    </w:p>
    <w:p>
      <w:pPr>
        <w:spacing w:line="480" w:lineRule="auto"/>
        <w:ind w:firstLine="360"/>
        <w:rPr>
          <w:rFonts w:ascii="Times New Roman" w:hAnsi="Times New Roman" w:cs="Times New Roman"/>
          <w:sz w:val="24"/>
          <w:szCs w:val="24"/>
        </w:rPr>
      </w:pPr>
      <w:r>
        <w:rPr>
          <w:rFonts w:ascii="Times New Roman" w:hAnsi="Times New Roman" w:cs="Times New Roman"/>
          <w:sz w:val="24"/>
          <w:szCs w:val="24"/>
        </w:rPr>
        <w:t>MCF-7 cells, SK-BR-3 cells, BT474 cells and MDA-MB-453 cells were collected for RNA extraction by using TRIzol reagents (Invitrogen, USA) according to the instructions of the manufacturers. Briefly, 1mL of TRIzol reagent was added to the cell samples and pipetted until they were transparent. Then, 0.2 mL CHCl</w:t>
      </w:r>
      <w:r>
        <w:rPr>
          <w:rFonts w:ascii="Times New Roman" w:hAnsi="Times New Roman" w:cs="Times New Roman"/>
          <w:sz w:val="24"/>
          <w:szCs w:val="24"/>
          <w:vertAlign w:val="subscript"/>
        </w:rPr>
        <w:t>3</w:t>
      </w:r>
      <w:r>
        <w:rPr>
          <w:rFonts w:ascii="Times New Roman" w:hAnsi="Times New Roman" w:cs="Times New Roman"/>
          <w:sz w:val="24"/>
          <w:szCs w:val="24"/>
        </w:rPr>
        <w:t xml:space="preserve"> was added and the samples vortexed. After standing for 3 min, the samples were centrifuged for 15 min at 12000g at 4</w:t>
      </w:r>
      <w:r>
        <w:rPr>
          <w:rFonts w:ascii="Times New Roman" w:hAnsi="Times New Roman" w:eastAsia="等线" w:cs="Times New Roman"/>
          <w:sz w:val="24"/>
          <w:szCs w:val="24"/>
        </w:rPr>
        <w:t>°</w:t>
      </w:r>
      <w:r>
        <w:rPr>
          <w:rFonts w:ascii="Times New Roman" w:hAnsi="Times New Roman" w:cs="Times New Roman"/>
          <w:sz w:val="24"/>
          <w:szCs w:val="24"/>
        </w:rPr>
        <w:t>C</w:t>
      </w:r>
      <w:r>
        <w:rPr>
          <w:rFonts w:ascii="Times New Roman" w:hAnsi="Times New Roman" w:cs="Times New Roman"/>
          <w:i/>
          <w:sz w:val="24"/>
          <w:szCs w:val="24"/>
        </w:rPr>
        <w:t xml:space="preserve">. </w:t>
      </w:r>
      <w:r>
        <w:rPr>
          <w:rStyle w:val="19"/>
          <w:rFonts w:ascii="Times New Roman" w:hAnsi="Times New Roman" w:cs="Times New Roman"/>
          <w:i w:val="0"/>
          <w:sz w:val="24"/>
          <w:szCs w:val="24"/>
          <w:shd w:val="clear" w:color="auto" w:fill="FFFFFF"/>
        </w:rPr>
        <w:t>Equal</w:t>
      </w:r>
      <w:r>
        <w:rPr>
          <w:rFonts w:ascii="Times New Roman" w:hAnsi="Times New Roman" w:cs="Times New Roman"/>
          <w:i/>
          <w:sz w:val="24"/>
          <w:szCs w:val="24"/>
          <w:shd w:val="clear" w:color="auto" w:fill="FFFFFF"/>
        </w:rPr>
        <w:t> </w:t>
      </w:r>
      <w:r>
        <w:rPr>
          <w:rStyle w:val="19"/>
          <w:rFonts w:ascii="Times New Roman" w:hAnsi="Times New Roman" w:cs="Times New Roman"/>
          <w:i w:val="0"/>
          <w:sz w:val="24"/>
          <w:szCs w:val="24"/>
          <w:shd w:val="clear" w:color="auto" w:fill="FFFFFF"/>
        </w:rPr>
        <w:t>volumes</w:t>
      </w:r>
      <w:r>
        <w:rPr>
          <w:rFonts w:ascii="Times New Roman" w:hAnsi="Times New Roman" w:cs="Times New Roman"/>
          <w:i/>
          <w:sz w:val="24"/>
          <w:szCs w:val="24"/>
          <w:shd w:val="clear" w:color="auto" w:fill="FFFFFF"/>
        </w:rPr>
        <w:t> </w:t>
      </w:r>
      <w:r>
        <w:rPr>
          <w:rStyle w:val="19"/>
          <w:rFonts w:ascii="Times New Roman" w:hAnsi="Times New Roman" w:cs="Times New Roman"/>
          <w:i w:val="0"/>
          <w:sz w:val="24"/>
          <w:szCs w:val="24"/>
          <w:shd w:val="clear" w:color="auto" w:fill="FFFFFF"/>
        </w:rPr>
        <w:t xml:space="preserve">of isopropanol were added to the supernatant and centrifuged </w:t>
      </w:r>
      <w:r>
        <w:rPr>
          <w:rFonts w:ascii="Times New Roman" w:hAnsi="Times New Roman" w:cs="Times New Roman"/>
          <w:sz w:val="24"/>
          <w:szCs w:val="24"/>
        </w:rPr>
        <w:t>for 10 min at 12000 g at 4</w:t>
      </w:r>
      <w:r>
        <w:rPr>
          <w:rFonts w:ascii="Times New Roman" w:hAnsi="Times New Roman" w:eastAsia="等线" w:cs="Times New Roman"/>
          <w:sz w:val="24"/>
          <w:szCs w:val="24"/>
        </w:rPr>
        <w:t>°</w:t>
      </w:r>
      <w:r>
        <w:rPr>
          <w:rFonts w:ascii="Times New Roman" w:hAnsi="Times New Roman" w:cs="Times New Roman"/>
          <w:sz w:val="24"/>
          <w:szCs w:val="24"/>
        </w:rPr>
        <w:t xml:space="preserve">C. </w:t>
      </w:r>
      <w:bookmarkStart w:id="6" w:name="OLE_LINK4"/>
      <w:r>
        <w:rPr>
          <w:rFonts w:ascii="Times New Roman" w:hAnsi="Times New Roman" w:cs="Times New Roman"/>
          <w:sz w:val="24"/>
          <w:szCs w:val="24"/>
        </w:rPr>
        <w:t>The supernatant was discarded carefully and the pellet resuspended in 1 mL of 70% ethanol.</w:t>
      </w:r>
      <w:bookmarkEnd w:id="6"/>
      <w:r>
        <w:rPr>
          <w:rFonts w:ascii="Times New Roman" w:hAnsi="Times New Roman" w:cs="Times New Roman"/>
          <w:sz w:val="24"/>
          <w:szCs w:val="24"/>
        </w:rPr>
        <w:t xml:space="preserve"> After centrifuging twice, the RNA precipitate was dried by vacuum or air for 5 min and resuspended in 30–50 µL of RNase-free water. The RNA content and purity were determined by measuring the absorbance at 260 nm and 280 nm. cDNA synthesis was performed using a First Strand cDNA Synthesis Kit (Thermo Fisher). PCR reactions were prepared using a Real time PCR Master Mix (SYBR Green, TOYOBO, Japan). The </w:t>
      </w:r>
      <w:r>
        <w:rPr>
          <w:rFonts w:hint="eastAsia" w:ascii="Times New Roman" w:hAnsi="Times New Roman" w:cs="Times New Roman"/>
          <w:sz w:val="24"/>
          <w:szCs w:val="24"/>
        </w:rPr>
        <w:t>Her</w:t>
      </w:r>
      <w:r>
        <w:rPr>
          <w:rFonts w:ascii="Times New Roman" w:hAnsi="Times New Roman" w:cs="Times New Roman"/>
          <w:sz w:val="24"/>
          <w:szCs w:val="24"/>
        </w:rPr>
        <w:t>-2 gene expression levels (primers are listed in </w:t>
      </w:r>
      <w:bookmarkStart w:id="7" w:name="btbl1"/>
      <w:r>
        <w:rPr>
          <w:rFonts w:ascii="Times New Roman" w:hAnsi="Times New Roman" w:cs="Times New Roman"/>
          <w:sz w:val="24"/>
          <w:szCs w:val="24"/>
        </w:rPr>
        <w:t>Table S1</w:t>
      </w:r>
      <w:bookmarkEnd w:id="7"/>
      <w:r>
        <w:rPr>
          <w:rFonts w:ascii="Times New Roman" w:hAnsi="Times New Roman" w:cs="Times New Roman"/>
          <w:sz w:val="24"/>
          <w:szCs w:val="24"/>
        </w:rPr>
        <w:t>) in different cells were analyzed by real time PCR. All samples were normalized to GAPDH.</w:t>
      </w:r>
    </w:p>
    <w:p>
      <w:pPr>
        <w:spacing w:line="480" w:lineRule="auto"/>
        <w:ind w:firstLine="420"/>
        <w:jc w:val="center"/>
        <w:rPr>
          <w:rFonts w:ascii="Times New Roman" w:hAnsi="Times New Roman" w:cs="Times New Roman"/>
          <w:sz w:val="24"/>
          <w:szCs w:val="24"/>
        </w:rPr>
      </w:pPr>
      <w:r>
        <w:rPr>
          <w:rFonts w:ascii="Times New Roman" w:hAnsi="Times New Roman" w:cs="Times New Roman"/>
          <w:b/>
          <w:sz w:val="24"/>
          <w:szCs w:val="24"/>
        </w:rPr>
        <w:t xml:space="preserve">Table S1. </w:t>
      </w:r>
      <w:r>
        <w:rPr>
          <w:rFonts w:ascii="Times New Roman" w:hAnsi="Times New Roman" w:cs="Times New Roman"/>
          <w:sz w:val="24"/>
          <w:szCs w:val="24"/>
        </w:rPr>
        <w:t xml:space="preserve">Primer sequences of </w:t>
      </w:r>
      <w:r>
        <w:rPr>
          <w:rFonts w:hint="eastAsia" w:ascii="Times New Roman" w:hAnsi="Times New Roman" w:cs="Times New Roman"/>
          <w:sz w:val="24"/>
          <w:szCs w:val="24"/>
        </w:rPr>
        <w:t>Her</w:t>
      </w:r>
      <w:r>
        <w:rPr>
          <w:rFonts w:ascii="Times New Roman" w:hAnsi="Times New Roman" w:cs="Times New Roman"/>
          <w:sz w:val="24"/>
          <w:szCs w:val="24"/>
        </w:rPr>
        <w:t>-2 and GAPDH.</w:t>
      </w:r>
    </w:p>
    <w:bookmarkEnd w:id="4"/>
    <w:bookmarkEnd w:id="5"/>
    <w:tbl>
      <w:tblPr>
        <w:tblStyle w:val="17"/>
        <w:tblW w:w="9847"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9"/>
        <w:gridCol w:w="4009"/>
        <w:gridCol w:w="3969"/>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69" w:type="dxa"/>
            <w:tcBorders>
              <w:top w:val="single" w:color="auto" w:sz="8" w:space="0"/>
              <w:bottom w:val="single" w:color="auto" w:sz="4" w:space="0"/>
            </w:tcBorders>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Gene</w:t>
            </w:r>
          </w:p>
        </w:tc>
        <w:tc>
          <w:tcPr>
            <w:tcW w:w="4009" w:type="dxa"/>
            <w:tcBorders>
              <w:top w:val="single" w:color="auto" w:sz="8" w:space="0"/>
              <w:bottom w:val="single" w:color="auto" w:sz="4" w:space="0"/>
            </w:tcBorders>
            <w:vAlign w:val="center"/>
          </w:tcPr>
          <w:p>
            <w:pPr>
              <w:spacing w:line="480" w:lineRule="auto"/>
              <w:jc w:val="center"/>
              <w:rPr>
                <w:rFonts w:ascii="Times New Roman" w:hAnsi="Times New Roman" w:cs="Times New Roman"/>
                <w:sz w:val="24"/>
                <w:szCs w:val="24"/>
              </w:rPr>
            </w:pPr>
            <w:r>
              <w:rPr>
                <w:rFonts w:ascii="Times New Roman" w:hAnsi="Times New Roman" w:cs="Times New Roman"/>
                <w:bCs/>
                <w:sz w:val="24"/>
                <w:szCs w:val="24"/>
              </w:rPr>
              <w:t>Forward Primer sequences(5′-3′)</w:t>
            </w:r>
          </w:p>
        </w:tc>
        <w:tc>
          <w:tcPr>
            <w:tcW w:w="3969" w:type="dxa"/>
            <w:tcBorders>
              <w:top w:val="single" w:color="auto" w:sz="8" w:space="0"/>
              <w:bottom w:val="single" w:color="auto" w:sz="4" w:space="0"/>
            </w:tcBorders>
            <w:vAlign w:val="center"/>
          </w:tcPr>
          <w:p>
            <w:pPr>
              <w:spacing w:line="480" w:lineRule="auto"/>
              <w:jc w:val="center"/>
              <w:rPr>
                <w:rFonts w:ascii="Times New Roman" w:hAnsi="Times New Roman" w:cs="Times New Roman"/>
                <w:sz w:val="24"/>
                <w:szCs w:val="24"/>
              </w:rPr>
            </w:pPr>
            <w:r>
              <w:rPr>
                <w:rFonts w:ascii="Times New Roman" w:hAnsi="Times New Roman" w:cs="Times New Roman"/>
                <w:bCs/>
                <w:sz w:val="24"/>
                <w:szCs w:val="24"/>
              </w:rPr>
              <w:t>Reverse Primer sequences(5′-3′)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69" w:type="dxa"/>
            <w:tcBorders>
              <w:top w:val="single" w:color="auto" w:sz="4" w:space="0"/>
            </w:tcBorders>
            <w:vAlign w:val="center"/>
          </w:tcPr>
          <w:p>
            <w:pPr>
              <w:spacing w:line="480" w:lineRule="auto"/>
              <w:jc w:val="center"/>
              <w:rPr>
                <w:rFonts w:ascii="Times New Roman" w:hAnsi="Times New Roman" w:cs="Times New Roman"/>
                <w:sz w:val="24"/>
                <w:szCs w:val="24"/>
              </w:rPr>
            </w:pPr>
            <w:r>
              <w:rPr>
                <w:rFonts w:hint="eastAsia" w:ascii="Times New Roman" w:hAnsi="Times New Roman" w:cs="Times New Roman"/>
                <w:sz w:val="24"/>
                <w:szCs w:val="24"/>
              </w:rPr>
              <w:t>Her</w:t>
            </w:r>
            <w:r>
              <w:rPr>
                <w:rFonts w:ascii="Times New Roman" w:hAnsi="Times New Roman" w:cs="Times New Roman"/>
                <w:sz w:val="24"/>
                <w:szCs w:val="24"/>
              </w:rPr>
              <w:t>-2</w:t>
            </w:r>
          </w:p>
        </w:tc>
        <w:tc>
          <w:tcPr>
            <w:tcW w:w="4009" w:type="dxa"/>
            <w:tcBorders>
              <w:top w:val="single" w:color="auto" w:sz="4" w:space="0"/>
            </w:tcBorders>
            <w:vAlign w:val="center"/>
          </w:tcPr>
          <w:p>
            <w:pPr>
              <w:spacing w:line="480" w:lineRule="auto"/>
              <w:jc w:val="center"/>
              <w:rPr>
                <w:rFonts w:ascii="Times New Roman" w:hAnsi="Times New Roman" w:cs="Times New Roman"/>
                <w:sz w:val="24"/>
                <w:szCs w:val="24"/>
                <w:vertAlign w:val="superscript"/>
              </w:rPr>
            </w:pPr>
            <w:r>
              <w:rPr>
                <w:rFonts w:ascii="Times New Roman" w:hAnsi="Times New Roman" w:cs="Times New Roman"/>
                <w:sz w:val="24"/>
                <w:szCs w:val="24"/>
              </w:rPr>
              <w:t>5</w:t>
            </w:r>
            <w:r>
              <w:rPr>
                <w:rFonts w:ascii="Times New Roman" w:hAnsi="Times New Roman" w:cs="Times New Roman"/>
                <w:sz w:val="24"/>
                <w:szCs w:val="24"/>
                <w:vertAlign w:val="superscript"/>
              </w:rPr>
              <w:t>’</w:t>
            </w:r>
            <w:r>
              <w:rPr>
                <w:rFonts w:ascii="Times New Roman" w:hAnsi="Times New Roman" w:cs="Times New Roman"/>
                <w:sz w:val="24"/>
                <w:szCs w:val="24"/>
              </w:rPr>
              <w:t>-TTGAGTCCATGCCCAATCCC-3</w:t>
            </w:r>
            <w:r>
              <w:rPr>
                <w:rFonts w:ascii="Times New Roman" w:hAnsi="Times New Roman" w:cs="Times New Roman"/>
                <w:sz w:val="24"/>
                <w:szCs w:val="24"/>
                <w:vertAlign w:val="superscript"/>
              </w:rPr>
              <w:t>’</w:t>
            </w:r>
          </w:p>
        </w:tc>
        <w:tc>
          <w:tcPr>
            <w:tcW w:w="3969" w:type="dxa"/>
            <w:tcBorders>
              <w:top w:val="single" w:color="auto" w:sz="4" w:space="0"/>
            </w:tcBorders>
            <w:vAlign w:val="center"/>
          </w:tcPr>
          <w:p>
            <w:pPr>
              <w:spacing w:line="480" w:lineRule="auto"/>
              <w:jc w:val="center"/>
              <w:rPr>
                <w:rFonts w:ascii="Times New Roman" w:hAnsi="Times New Roman" w:cs="Times New Roman"/>
                <w:sz w:val="24"/>
                <w:szCs w:val="24"/>
                <w:vertAlign w:val="superscript"/>
              </w:rPr>
            </w:pPr>
            <w:r>
              <w:rPr>
                <w:rFonts w:ascii="Times New Roman" w:hAnsi="Times New Roman" w:cs="Times New Roman"/>
                <w:sz w:val="24"/>
                <w:szCs w:val="24"/>
              </w:rPr>
              <w:t>5</w:t>
            </w:r>
            <w:r>
              <w:rPr>
                <w:rFonts w:ascii="Times New Roman" w:hAnsi="Times New Roman" w:cs="Times New Roman"/>
                <w:sz w:val="24"/>
                <w:szCs w:val="24"/>
                <w:vertAlign w:val="superscript"/>
              </w:rPr>
              <w:t>’</w:t>
            </w:r>
            <w:r>
              <w:rPr>
                <w:rFonts w:ascii="Times New Roman" w:hAnsi="Times New Roman" w:cs="Times New Roman"/>
                <w:sz w:val="24"/>
                <w:szCs w:val="24"/>
              </w:rPr>
              <w:t>-CCTCTGCTGTCACCTCTTGG-3</w:t>
            </w:r>
            <w:r>
              <w:rPr>
                <w:rFonts w:ascii="Times New Roman" w:hAnsi="Times New Roman" w:cs="Times New Roman"/>
                <w:sz w:val="24"/>
                <w:szCs w:val="24"/>
                <w:vertAlign w:val="superscript"/>
              </w:rPr>
              <w:t>’</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69" w:type="dxa"/>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GAPDH(</w:t>
            </w:r>
            <w:r>
              <w:rPr>
                <w:rFonts w:ascii="Times New Roman" w:hAnsi="Times New Roman" w:cs="Times New Roman"/>
                <w:sz w:val="24"/>
                <w:szCs w:val="24"/>
                <w:shd w:val="clear" w:color="auto" w:fill="FFFFFF"/>
              </w:rPr>
              <w:t>Internal reference gene)</w:t>
            </w:r>
          </w:p>
        </w:tc>
        <w:tc>
          <w:tcPr>
            <w:tcW w:w="4009" w:type="dxa"/>
            <w:vAlign w:val="center"/>
          </w:tcPr>
          <w:p>
            <w:pPr>
              <w:spacing w:line="480" w:lineRule="auto"/>
              <w:jc w:val="center"/>
              <w:rPr>
                <w:rFonts w:ascii="Times New Roman" w:hAnsi="Times New Roman" w:cs="Times New Roman"/>
                <w:sz w:val="24"/>
                <w:szCs w:val="24"/>
                <w:vertAlign w:val="superscript"/>
              </w:rPr>
            </w:pPr>
            <w:r>
              <w:rPr>
                <w:rFonts w:ascii="Times New Roman" w:hAnsi="Times New Roman" w:cs="Times New Roman"/>
                <w:sz w:val="24"/>
                <w:szCs w:val="24"/>
              </w:rPr>
              <w:t>5</w:t>
            </w:r>
            <w:r>
              <w:rPr>
                <w:rFonts w:ascii="Times New Roman" w:hAnsi="Times New Roman" w:cs="Times New Roman"/>
                <w:sz w:val="24"/>
                <w:szCs w:val="24"/>
                <w:vertAlign w:val="superscript"/>
              </w:rPr>
              <w:t>’</w:t>
            </w:r>
            <w:r>
              <w:rPr>
                <w:rFonts w:ascii="Times New Roman" w:hAnsi="Times New Roman" w:cs="Times New Roman"/>
                <w:sz w:val="24"/>
                <w:szCs w:val="24"/>
              </w:rPr>
              <w:t>-TGTTGCCATCAATGACCCCTT-3</w:t>
            </w:r>
            <w:r>
              <w:rPr>
                <w:rFonts w:ascii="Times New Roman" w:hAnsi="Times New Roman" w:cs="Times New Roman"/>
                <w:sz w:val="24"/>
                <w:szCs w:val="24"/>
                <w:vertAlign w:val="superscript"/>
              </w:rPr>
              <w:t>’</w:t>
            </w:r>
          </w:p>
        </w:tc>
        <w:tc>
          <w:tcPr>
            <w:tcW w:w="3969" w:type="dxa"/>
            <w:vAlign w:val="center"/>
          </w:tcPr>
          <w:p>
            <w:pPr>
              <w:spacing w:line="480" w:lineRule="auto"/>
              <w:jc w:val="center"/>
              <w:rPr>
                <w:rFonts w:ascii="Times New Roman" w:hAnsi="Times New Roman" w:cs="Times New Roman"/>
                <w:sz w:val="24"/>
                <w:szCs w:val="24"/>
                <w:vertAlign w:val="subscript"/>
              </w:rPr>
            </w:pPr>
            <w:r>
              <w:rPr>
                <w:rFonts w:ascii="Times New Roman" w:hAnsi="Times New Roman" w:cs="Times New Roman"/>
                <w:sz w:val="24"/>
                <w:szCs w:val="24"/>
              </w:rPr>
              <w:t>5</w:t>
            </w:r>
            <w:r>
              <w:rPr>
                <w:rFonts w:ascii="Times New Roman" w:hAnsi="Times New Roman" w:cs="Times New Roman"/>
                <w:sz w:val="24"/>
                <w:szCs w:val="24"/>
                <w:vertAlign w:val="superscript"/>
              </w:rPr>
              <w:t>’</w:t>
            </w:r>
            <w:r>
              <w:rPr>
                <w:rFonts w:ascii="Times New Roman" w:hAnsi="Times New Roman" w:cs="Times New Roman"/>
                <w:sz w:val="24"/>
                <w:szCs w:val="24"/>
              </w:rPr>
              <w:t>-CTCCACGACGTACTCAGCG-3</w:t>
            </w:r>
            <w:r>
              <w:rPr>
                <w:rFonts w:ascii="Times New Roman" w:hAnsi="Times New Roman" w:cs="Times New Roman"/>
                <w:sz w:val="24"/>
                <w:szCs w:val="24"/>
                <w:vertAlign w:val="subscript"/>
              </w:rPr>
              <w:t>’</w:t>
            </w:r>
          </w:p>
        </w:tc>
      </w:tr>
    </w:tbl>
    <w:p>
      <w:pPr>
        <w:spacing w:line="480" w:lineRule="auto"/>
        <w:rPr>
          <w:rFonts w:ascii="Times New Roman" w:hAnsi="Times New Roman" w:cs="Times New Roman"/>
          <w:kern w:val="0"/>
          <w:sz w:val="24"/>
          <w:szCs w:val="24"/>
        </w:rPr>
      </w:pPr>
      <w:r>
        <w:rPr>
          <w:rFonts w:ascii="Times New Roman" w:hAnsi="Times New Roman" w:cs="Times New Roman"/>
          <w:b/>
          <w:sz w:val="24"/>
          <w:szCs w:val="24"/>
        </w:rPr>
        <w:t>1.8</w:t>
      </w:r>
      <w:r>
        <w:rPr>
          <w:rFonts w:ascii="Times New Roman" w:hAnsi="Times New Roman" w:cs="Times New Roman"/>
          <w:b/>
          <w:sz w:val="24"/>
          <w:szCs w:val="24"/>
        </w:rPr>
        <w:tab/>
      </w:r>
      <w:r>
        <w:rPr>
          <w:rFonts w:ascii="Times New Roman" w:hAnsi="Times New Roman" w:cs="Times New Roman"/>
          <w:b/>
          <w:sz w:val="24"/>
          <w:szCs w:val="24"/>
        </w:rPr>
        <w:t xml:space="preserve">Examination of Her-2 protein by Western blotting </w:t>
      </w:r>
    </w:p>
    <w:p>
      <w:pPr>
        <w:spacing w:line="480" w:lineRule="auto"/>
        <w:ind w:firstLine="360"/>
        <w:rPr>
          <w:rFonts w:ascii="Times New Roman" w:hAnsi="Times New Roman" w:cs="Times New Roman"/>
          <w:kern w:val="0"/>
          <w:sz w:val="24"/>
          <w:szCs w:val="24"/>
        </w:rPr>
      </w:pPr>
      <w:r>
        <w:rPr>
          <w:rFonts w:hint="eastAsia" w:ascii="Times New Roman" w:hAnsi="Times New Roman" w:cs="Times New Roman"/>
          <w:sz w:val="24"/>
          <w:szCs w:val="24"/>
        </w:rPr>
        <w:t>Her</w:t>
      </w:r>
      <w:r>
        <w:rPr>
          <w:rFonts w:ascii="Times New Roman" w:hAnsi="Times New Roman" w:cs="Times New Roman"/>
          <w:sz w:val="24"/>
          <w:szCs w:val="24"/>
        </w:rPr>
        <w:t>-2</w:t>
      </w:r>
      <w:r>
        <w:rPr>
          <w:rFonts w:ascii="Times New Roman" w:hAnsi="Times New Roman" w:cs="Times New Roman"/>
          <w:kern w:val="0"/>
          <w:sz w:val="24"/>
          <w:szCs w:val="24"/>
        </w:rPr>
        <w:t xml:space="preserve"> protein expression in the cells (</w:t>
      </w:r>
      <w:r>
        <w:rPr>
          <w:rFonts w:ascii="Times New Roman" w:hAnsi="Times New Roman" w:cs="Times New Roman"/>
          <w:sz w:val="24"/>
          <w:szCs w:val="24"/>
        </w:rPr>
        <w:t>MCF-7 cells, SK-BR-3 cells, BT474 cells and MDA-MB-453 cells</w:t>
      </w:r>
      <w:r>
        <w:rPr>
          <w:rFonts w:ascii="Times New Roman" w:hAnsi="Times New Roman" w:cs="Times New Roman"/>
          <w:kern w:val="0"/>
          <w:sz w:val="24"/>
          <w:szCs w:val="24"/>
        </w:rPr>
        <w:t>) was examined. Cells were cultured and lysed using Lysis Buffer (KeyGen, China) to collect protein extraction. Protein concentration in the cell lysates was measured with a standard BCA method.</w:t>
      </w:r>
      <w:r>
        <w:rPr>
          <w:rFonts w:ascii="Times New Roman" w:hAnsi="Times New Roman" w:cs="Times New Roman"/>
          <w:sz w:val="24"/>
          <w:szCs w:val="24"/>
          <w:shd w:val="clear" w:color="auto" w:fill="FFFFFF"/>
        </w:rPr>
        <w:t xml:space="preserve"> Equal amounts of the proteins were loaded into the wells of the SDS-PAGE gel, along with a molecular weight marker. </w:t>
      </w:r>
      <w:bookmarkStart w:id="8" w:name="OLE_LINK5"/>
      <w:r>
        <w:rPr>
          <w:rFonts w:ascii="Times New Roman" w:hAnsi="Times New Roman" w:cs="Times New Roman"/>
          <w:sz w:val="24"/>
          <w:szCs w:val="24"/>
          <w:shd w:val="clear" w:color="auto" w:fill="FFFFFF"/>
        </w:rPr>
        <w:t xml:space="preserve">The gel was run at 90 V and the </w:t>
      </w:r>
      <w:r>
        <w:rPr>
          <w:rFonts w:ascii="Times New Roman" w:hAnsi="Times New Roman" w:cs="Times New Roman"/>
          <w:sz w:val="24"/>
          <w:szCs w:val="24"/>
        </w:rPr>
        <w:t xml:space="preserve">protein was transferred from the gel to the membrane. </w:t>
      </w:r>
      <w:bookmarkEnd w:id="8"/>
      <w:r>
        <w:rPr>
          <w:rFonts w:ascii="Times New Roman" w:hAnsi="Times New Roman" w:cs="Times New Roman"/>
          <w:kern w:val="0"/>
          <w:sz w:val="24"/>
          <w:szCs w:val="24"/>
        </w:rPr>
        <w:t xml:space="preserve">The membranes were blocked with 5% </w:t>
      </w:r>
      <w:r>
        <w:rPr>
          <w:rFonts w:ascii="Times New Roman" w:hAnsi="Times New Roman" w:eastAsia="微软雅黑" w:cs="Times New Roman"/>
          <w:sz w:val="24"/>
          <w:szCs w:val="24"/>
          <w:shd w:val="clear" w:color="auto" w:fill="FFFFFF"/>
        </w:rPr>
        <w:t>non-fat powdered milk</w:t>
      </w:r>
      <w:r>
        <w:rPr>
          <w:rFonts w:ascii="Times New Roman" w:hAnsi="Times New Roman" w:cs="Times New Roman"/>
          <w:kern w:val="0"/>
          <w:sz w:val="24"/>
          <w:szCs w:val="24"/>
        </w:rPr>
        <w:t xml:space="preserve"> in a Tris-bu</w:t>
      </w:r>
      <w:r>
        <w:rPr>
          <w:rFonts w:ascii="Times New Roman" w:hAnsi="Times New Roman" w:eastAsia="AdvOT2e364b11+fb" w:cs="Times New Roman"/>
          <w:kern w:val="0"/>
          <w:sz w:val="24"/>
          <w:szCs w:val="24"/>
        </w:rPr>
        <w:t>ff</w:t>
      </w:r>
      <w:r>
        <w:rPr>
          <w:rFonts w:ascii="Times New Roman" w:hAnsi="Times New Roman" w:cs="Times New Roman"/>
          <w:kern w:val="0"/>
          <w:sz w:val="24"/>
          <w:szCs w:val="24"/>
        </w:rPr>
        <w:t>ered saline Tween (TBST) bu</w:t>
      </w:r>
      <w:r>
        <w:rPr>
          <w:rFonts w:ascii="Times New Roman" w:hAnsi="Times New Roman" w:eastAsia="AdvOT2e364b11+fb" w:cs="Times New Roman"/>
          <w:kern w:val="0"/>
          <w:sz w:val="24"/>
          <w:szCs w:val="24"/>
        </w:rPr>
        <w:t>ff</w:t>
      </w:r>
      <w:r>
        <w:rPr>
          <w:rFonts w:ascii="Times New Roman" w:hAnsi="Times New Roman" w:cs="Times New Roman"/>
          <w:kern w:val="0"/>
          <w:sz w:val="24"/>
          <w:szCs w:val="24"/>
        </w:rPr>
        <w:t>er. The membranes were incubated overnight at 4 °C with anti-</w:t>
      </w:r>
      <w:r>
        <w:rPr>
          <w:rFonts w:hint="eastAsia" w:ascii="Times New Roman" w:hAnsi="Times New Roman" w:cs="Times New Roman"/>
          <w:sz w:val="24"/>
          <w:szCs w:val="24"/>
        </w:rPr>
        <w:t>Her</w:t>
      </w:r>
      <w:r>
        <w:rPr>
          <w:rFonts w:ascii="Times New Roman" w:hAnsi="Times New Roman" w:cs="Times New Roman"/>
          <w:sz w:val="24"/>
          <w:szCs w:val="24"/>
        </w:rPr>
        <w:t>-2</w:t>
      </w:r>
      <w:r>
        <w:rPr>
          <w:rFonts w:ascii="Times New Roman" w:hAnsi="Times New Roman" w:cs="Times New Roman"/>
          <w:kern w:val="0"/>
          <w:sz w:val="24"/>
          <w:szCs w:val="24"/>
        </w:rPr>
        <w:t xml:space="preserve"> and anti-GAPDH and then i</w:t>
      </w:r>
      <w:r>
        <w:rPr>
          <w:rFonts w:ascii="Times New Roman" w:hAnsi="Times New Roman" w:cs="Times New Roman"/>
          <w:sz w:val="24"/>
          <w:szCs w:val="24"/>
          <w:shd w:val="clear" w:color="auto" w:fill="FFFFFF"/>
        </w:rPr>
        <w:t xml:space="preserve">ncubated with a secondary antibody in blocking buffer containing 5% </w:t>
      </w:r>
      <w:r>
        <w:rPr>
          <w:rFonts w:ascii="Times New Roman" w:hAnsi="Times New Roman" w:eastAsia="微软雅黑" w:cs="Times New Roman"/>
          <w:sz w:val="24"/>
          <w:szCs w:val="24"/>
          <w:shd w:val="clear" w:color="auto" w:fill="FFFFFF"/>
        </w:rPr>
        <w:t>non-fat powdered milk</w:t>
      </w:r>
      <w:r>
        <w:rPr>
          <w:rFonts w:ascii="Times New Roman" w:hAnsi="Times New Roman" w:cs="Times New Roman"/>
          <w:sz w:val="24"/>
          <w:szCs w:val="24"/>
          <w:shd w:val="clear" w:color="auto" w:fill="FFFFFF"/>
        </w:rPr>
        <w:t xml:space="preserve"> at room temperature for 1-2 h</w:t>
      </w:r>
      <w:r>
        <w:rPr>
          <w:rFonts w:ascii="Times New Roman" w:hAnsi="Times New Roman" w:cs="Times New Roman"/>
          <w:kern w:val="0"/>
          <w:sz w:val="24"/>
          <w:szCs w:val="24"/>
        </w:rPr>
        <w:t>. The membranes were washed and stained for gel imaging analysis (G:BOX ChemiXR5, SYNGENE).</w:t>
      </w:r>
    </w:p>
    <w:p>
      <w:pPr>
        <w:spacing w:line="480" w:lineRule="auto"/>
        <w:rPr>
          <w:rFonts w:ascii="Times New Roman" w:hAnsi="Times New Roman" w:cs="Times New Roman"/>
          <w:b/>
          <w:sz w:val="24"/>
          <w:szCs w:val="24"/>
        </w:rPr>
      </w:pPr>
      <w:r>
        <w:rPr>
          <w:rFonts w:ascii="Times New Roman" w:hAnsi="Times New Roman" w:cs="Times New Roman"/>
          <w:b/>
          <w:sz w:val="24"/>
          <w:szCs w:val="24"/>
        </w:rPr>
        <w:t>1.9</w:t>
      </w:r>
      <w:r>
        <w:rPr>
          <w:rFonts w:ascii="Times New Roman" w:hAnsi="Times New Roman" w:cs="Times New Roman"/>
          <w:b/>
          <w:sz w:val="24"/>
          <w:szCs w:val="24"/>
        </w:rPr>
        <w:tab/>
      </w:r>
      <w:r>
        <w:rPr>
          <w:rFonts w:ascii="Times New Roman" w:hAnsi="Times New Roman" w:cs="Times New Roman"/>
          <w:b/>
          <w:sz w:val="24"/>
          <w:szCs w:val="24"/>
        </w:rPr>
        <w:t xml:space="preserve">Examination of </w:t>
      </w:r>
      <w:r>
        <w:rPr>
          <w:rFonts w:hint="eastAsia" w:ascii="Times New Roman" w:hAnsi="Times New Roman" w:cs="Times New Roman"/>
          <w:b/>
          <w:sz w:val="24"/>
          <w:szCs w:val="24"/>
        </w:rPr>
        <w:t>Her</w:t>
      </w:r>
      <w:r>
        <w:rPr>
          <w:rFonts w:ascii="Times New Roman" w:hAnsi="Times New Roman" w:cs="Times New Roman"/>
          <w:b/>
          <w:sz w:val="24"/>
          <w:szCs w:val="24"/>
        </w:rPr>
        <w:t>-2 protein by immunofluorescence detection</w:t>
      </w:r>
      <w:r>
        <w:rPr>
          <w:rFonts w:ascii="Times New Roman" w:hAnsi="Times New Roman" w:cs="Times New Roman"/>
          <w:b/>
          <w:sz w:val="24"/>
          <w:szCs w:val="24"/>
        </w:rPr>
        <w:tab/>
      </w:r>
    </w:p>
    <w:p>
      <w:pPr>
        <w:spacing w:line="480" w:lineRule="auto"/>
        <w:ind w:firstLine="360"/>
        <w:rPr>
          <w:rFonts w:ascii="Times New Roman" w:hAnsi="Times New Roman" w:cs="Times New Roman"/>
          <w:kern w:val="0"/>
          <w:sz w:val="24"/>
          <w:szCs w:val="24"/>
        </w:rPr>
      </w:pPr>
      <w:r>
        <w:rPr>
          <w:rFonts w:ascii="Times New Roman" w:hAnsi="Times New Roman" w:cs="Times New Roman"/>
          <w:sz w:val="24"/>
          <w:szCs w:val="24"/>
        </w:rPr>
        <w:t xml:space="preserve">The cell samples (MCF-7 cells, SK-BR-3 cells, and BT474 cells) were fixed in 4% </w:t>
      </w:r>
      <w:r>
        <w:rPr>
          <w:rFonts w:ascii="Times New Roman" w:hAnsi="Times New Roman" w:cs="Times New Roman"/>
          <w:sz w:val="24"/>
          <w:szCs w:val="24"/>
          <w:shd w:val="clear" w:color="auto" w:fill="FFFFFF"/>
        </w:rPr>
        <w:t xml:space="preserve">paraformaldehyde for </w:t>
      </w:r>
      <w:r>
        <w:rPr>
          <w:rFonts w:ascii="Times New Roman" w:hAnsi="Times New Roman" w:cs="Times New Roman"/>
          <w:sz w:val="24"/>
          <w:szCs w:val="24"/>
        </w:rPr>
        <w:t xml:space="preserve">immunofluorescent examination. They were </w:t>
      </w:r>
      <w:r>
        <w:rPr>
          <w:rFonts w:ascii="Times New Roman" w:hAnsi="Times New Roman" w:cs="Times New Roman"/>
          <w:kern w:val="0"/>
          <w:sz w:val="24"/>
          <w:szCs w:val="24"/>
        </w:rPr>
        <w:t>blocked with</w:t>
      </w:r>
      <w:r>
        <w:rPr>
          <w:rFonts w:ascii="Times New Roman" w:hAnsi="Times New Roman" w:cs="Times New Roman"/>
          <w:sz w:val="24"/>
          <w:szCs w:val="24"/>
        </w:rPr>
        <w:t xml:space="preserve"> two drops of 3% H</w:t>
      </w:r>
      <w:r>
        <w:rPr>
          <w:rFonts w:ascii="Times New Roman" w:hAnsi="Times New Roman" w:cs="Times New Roman"/>
          <w:sz w:val="24"/>
          <w:szCs w:val="24"/>
          <w:vertAlign w:val="subscript"/>
        </w:rPr>
        <w:t>2</w:t>
      </w:r>
      <w:r>
        <w:rPr>
          <w:rFonts w:ascii="Times New Roman" w:hAnsi="Times New Roman" w:cs="Times New Roman"/>
          <w:sz w:val="24"/>
          <w:szCs w:val="24"/>
        </w:rPr>
        <w:t>O</w:t>
      </w:r>
      <w:r>
        <w:rPr>
          <w:rFonts w:ascii="Times New Roman" w:hAnsi="Times New Roman" w:cs="Times New Roman"/>
          <w:sz w:val="24"/>
          <w:szCs w:val="24"/>
          <w:vertAlign w:val="subscript"/>
        </w:rPr>
        <w:t>2</w:t>
      </w:r>
      <w:r>
        <w:rPr>
          <w:rFonts w:ascii="Times New Roman" w:hAnsi="Times New Roman" w:cs="Times New Roman"/>
          <w:sz w:val="24"/>
          <w:szCs w:val="24"/>
        </w:rPr>
        <w:t>-</w:t>
      </w:r>
      <w:r>
        <w:rPr>
          <w:rFonts w:ascii="Times New Roman" w:hAnsi="Times New Roman" w:cs="Times New Roman"/>
          <w:sz w:val="24"/>
          <w:szCs w:val="24"/>
          <w:shd w:val="clear" w:color="auto" w:fill="FFFFFF"/>
        </w:rPr>
        <w:t>methanol at room temperature for 10 min. In additional, the cell slides were incubated with 50-100 μl normal goat serum for 20 min and 50 μl primary antibody for 2 h. Then, they were incubated with</w:t>
      </w:r>
      <w:r>
        <w:rPr>
          <w:rFonts w:ascii="Times New Roman" w:hAnsi="Times New Roman" w:cs="Times New Roman"/>
          <w:sz w:val="24"/>
          <w:szCs w:val="24"/>
        </w:rPr>
        <w:t xml:space="preserve"> </w:t>
      </w:r>
      <w:r>
        <w:rPr>
          <w:rFonts w:ascii="Times New Roman" w:hAnsi="Times New Roman" w:cs="Times New Roman"/>
          <w:sz w:val="24"/>
          <w:szCs w:val="24"/>
          <w:shd w:val="clear" w:color="auto" w:fill="FFFFFF"/>
        </w:rPr>
        <w:t xml:space="preserve">the FITC conjugated secondary antibody for 1h at 37℃. After staining with DAPI, </w:t>
      </w:r>
      <w:r>
        <w:rPr>
          <w:rFonts w:ascii="Times New Roman" w:hAnsi="Times New Roman" w:cs="Times New Roman"/>
          <w:kern w:val="0"/>
          <w:sz w:val="24"/>
          <w:szCs w:val="24"/>
        </w:rPr>
        <w:t>fluorescent intensity was observed by a microscope.</w:t>
      </w:r>
    </w:p>
    <w:p>
      <w:pPr>
        <w:autoSpaceDE w:val="0"/>
        <w:autoSpaceDN w:val="0"/>
        <w:adjustRightInd w:val="0"/>
        <w:spacing w:line="480" w:lineRule="auto"/>
        <w:jc w:val="left"/>
        <w:rPr>
          <w:rFonts w:ascii="Times New Roman" w:hAnsi="Times New Roman" w:cs="Times New Roman"/>
          <w:bCs/>
          <w:i/>
          <w:sz w:val="24"/>
          <w:szCs w:val="24"/>
        </w:rPr>
      </w:pPr>
      <w:bookmarkStart w:id="9" w:name="OLE_LINK89"/>
      <w:bookmarkStart w:id="10" w:name="OLE_LINK90"/>
      <w:r>
        <w:rPr>
          <w:rFonts w:ascii="Times New Roman" w:hAnsi="Times New Roman" w:cs="Times New Roman"/>
          <w:b/>
          <w:bCs/>
          <w:sz w:val="24"/>
          <w:szCs w:val="24"/>
        </w:rPr>
        <w:t>1.10</w:t>
      </w:r>
      <w:r>
        <w:rPr>
          <w:rFonts w:ascii="Times New Roman" w:hAnsi="Times New Roman" w:cs="Times New Roman"/>
          <w:b/>
          <w:bCs/>
          <w:sz w:val="24"/>
          <w:szCs w:val="24"/>
        </w:rPr>
        <w:tab/>
      </w:r>
      <w:r>
        <w:rPr>
          <w:rFonts w:ascii="Times New Roman" w:hAnsi="Times New Roman" w:cs="Times New Roman"/>
          <w:b/>
          <w:bCs/>
          <w:sz w:val="24"/>
          <w:szCs w:val="24"/>
        </w:rPr>
        <w:t>The cytotoxicity of PGNSs, mPEG-PGNSs and mPEG/HER-PGNSs</w:t>
      </w:r>
      <w:r>
        <w:rPr>
          <w:rFonts w:ascii="Times New Roman" w:hAnsi="Times New Roman" w:cs="Times New Roman"/>
          <w:bCs/>
          <w:i/>
          <w:sz w:val="24"/>
          <w:szCs w:val="24"/>
        </w:rPr>
        <w:t xml:space="preserve"> </w:t>
      </w:r>
    </w:p>
    <w:p>
      <w:pPr>
        <w:autoSpaceDE w:val="0"/>
        <w:autoSpaceDN w:val="0"/>
        <w:adjustRightInd w:val="0"/>
        <w:spacing w:line="480" w:lineRule="auto"/>
        <w:ind w:firstLine="360"/>
        <w:jc w:val="left"/>
        <w:rPr>
          <w:rFonts w:ascii="Times New Roman" w:hAnsi="Times New Roman" w:cs="Times New Roman"/>
          <w:sz w:val="24"/>
          <w:szCs w:val="24"/>
        </w:rPr>
      </w:pPr>
      <w:r>
        <w:rPr>
          <w:rFonts w:ascii="Times New Roman" w:hAnsi="Times New Roman" w:cs="Times New Roman"/>
          <w:sz w:val="24"/>
          <w:szCs w:val="24"/>
        </w:rPr>
        <w:t xml:space="preserve">A previous study </w:t>
      </w:r>
      <w:r>
        <w:fldChar w:fldCharType="begin"/>
      </w:r>
      <w:r>
        <w:instrText xml:space="preserve"> HYPERLINK \l "_ENREF_1" \o "Wang, 2019 #92" </w:instrText>
      </w:r>
      <w:r>
        <w:fldChar w:fldCharType="separate"/>
      </w:r>
      <w:r>
        <w:rPr>
          <w:rFonts w:ascii="Times New Roman" w:hAnsi="Times New Roman" w:cs="Times New Roman"/>
          <w:sz w:val="24"/>
          <w:szCs w:val="24"/>
        </w:rPr>
        <w:fldChar w:fldCharType="begin">
          <w:fldData xml:space="preserve">PEVuZE5vdGU+PENpdGU+PEF1dGhvcj5XYW5nPC9BdXRob3I+PFllYXI+MjAxOTwvWWVhcj48UmVj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PEVuZE5vdGU+PENpdGU+PEF1dGhvcj5XYW5nPC9BdXRob3I+PFllYXI+MjAxOTwvWWVhcj48UmVj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 xml:space="preserve"> proved that single mPEGylation doesn’t increase the toxicity of plain PGNSs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end"/>
      </w:r>
      <w:r>
        <w:rPr>
          <w:rFonts w:ascii="Times New Roman" w:hAnsi="Times New Roman" w:cs="Times New Roman"/>
          <w:sz w:val="24"/>
          <w:szCs w:val="24"/>
        </w:rPr>
        <w:t>, so here the MTT assay was used to investigate whether or not dual modified PGNSs by Herceptin and methoxy polyethylene glycol increased cytotoxicity. The LO2 cells were seeded in a 96-well plate</w:t>
      </w:r>
      <w:bookmarkStart w:id="11" w:name="OLE_LINK27"/>
      <w:r>
        <w:rPr>
          <w:rFonts w:ascii="Times New Roman" w:hAnsi="Times New Roman" w:cs="Times New Roman"/>
          <w:sz w:val="24"/>
          <w:szCs w:val="24"/>
        </w:rPr>
        <w:t xml:space="preserve"> at a density of 5000 cells per well</w:t>
      </w:r>
      <w:bookmarkEnd w:id="11"/>
      <w:r>
        <w:rPr>
          <w:rFonts w:ascii="Times New Roman" w:hAnsi="Times New Roman" w:cs="Times New Roman"/>
          <w:sz w:val="24"/>
          <w:szCs w:val="24"/>
        </w:rPr>
        <w:t>. After cell adhesion, the LO2 cells were treated with increasing concentrations of PGNSs, mPEG-PGNSs and dual modified PGNSs (</w:t>
      </w:r>
      <w:r>
        <w:rPr>
          <w:rFonts w:ascii="Times New Roman" w:hAnsi="Times New Roman" w:cs="Times New Roman"/>
          <w:bCs/>
          <w:sz w:val="24"/>
          <w:szCs w:val="24"/>
        </w:rPr>
        <w:t>mPEG/HER-PGNSs</w:t>
      </w:r>
      <w:r>
        <w:rPr>
          <w:rFonts w:ascii="Times New Roman" w:hAnsi="Times New Roman" w:cs="Times New Roman"/>
          <w:sz w:val="24"/>
          <w:szCs w:val="24"/>
        </w:rPr>
        <w:t>), and after 24 h of incubation, MTT was added and incubated for 4 h. Then, the medium was removed and</w:t>
      </w:r>
      <w:bookmarkStart w:id="12" w:name="OLE_LINK19"/>
      <w:r>
        <w:rPr>
          <w:rFonts w:ascii="Times New Roman" w:hAnsi="Times New Roman" w:cs="Times New Roman"/>
          <w:sz w:val="24"/>
          <w:szCs w:val="24"/>
        </w:rPr>
        <w:t xml:space="preserve"> 150 μL of DMSO was added to each well </w:t>
      </w:r>
      <w:bookmarkEnd w:id="12"/>
      <w:r>
        <w:rPr>
          <w:rFonts w:ascii="Times New Roman" w:hAnsi="Times New Roman" w:cs="Times New Roman"/>
          <w:sz w:val="24"/>
          <w:szCs w:val="24"/>
        </w:rPr>
        <w:t xml:space="preserve">and the optical density was measured at a wavelength of 570 nm using a </w:t>
      </w:r>
      <w:bookmarkStart w:id="13" w:name="OLE_LINK20"/>
      <w:r>
        <w:rPr>
          <w:rFonts w:ascii="Times New Roman" w:hAnsi="Times New Roman" w:cs="Times New Roman"/>
          <w:sz w:val="24"/>
          <w:szCs w:val="24"/>
        </w:rPr>
        <w:t>Microplate Reader</w:t>
      </w:r>
      <w:bookmarkEnd w:id="13"/>
      <w:r>
        <w:rPr>
          <w:rFonts w:ascii="Times New Roman" w:hAnsi="Times New Roman" w:cs="Times New Roman"/>
          <w:sz w:val="24"/>
          <w:szCs w:val="24"/>
        </w:rPr>
        <w:t xml:space="preserve"> (</w:t>
      </w:r>
      <w:bookmarkStart w:id="14" w:name="OLE_LINK10"/>
      <w:r>
        <w:rPr>
          <w:rFonts w:ascii="Times New Roman" w:hAnsi="Times New Roman" w:cs="Times New Roman"/>
          <w:sz w:val="24"/>
          <w:szCs w:val="24"/>
        </w:rPr>
        <w:t>POLARstar Omega</w:t>
      </w:r>
      <w:bookmarkEnd w:id="14"/>
      <w:r>
        <w:rPr>
          <w:rFonts w:ascii="Times New Roman" w:hAnsi="Times New Roman" w:cs="Times New Roman"/>
          <w:sz w:val="24"/>
          <w:szCs w:val="24"/>
        </w:rPr>
        <w:t>, Germany). The relative cell viability (%) was calculated according to the equation below (equation 3)</w:t>
      </w:r>
      <w:r>
        <w:fldChar w:fldCharType="begin"/>
      </w:r>
      <w:r>
        <w:instrText xml:space="preserve"> HYPERLINK \l "_ENREF_3" \o "Li, 2018 #29" </w:instrText>
      </w:r>
      <w: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&lt;EndNote&gt;&lt;Cite&gt;&lt;Author&gt;Li&lt;/Author&gt;&lt;Year&gt;2018&lt;/Year&gt;&lt;RecNum&gt;29&lt;/RecNum&gt;&lt;DisplayText&gt;&lt;style face="superscript"&gt;3&lt;/style&gt;&lt;/DisplayText&gt;&lt;record&gt;&lt;rec-number&gt;29&lt;/rec-number&gt;&lt;foreign-keys&gt;&lt;key app="EN" db-id="xpwzddprstaxp9esfatxztrfrrd5tfzv9fzv"&gt;29&lt;/key&gt;&lt;/foreign-keys&gt;&lt;ref-type name="Journal Article"&gt;17&lt;/ref-type&gt;&lt;contributors&gt;&lt;authors&gt;&lt;author&gt;Li, Y.&lt;/author&gt;&lt;author&gt;He, D.&lt;/author&gt;&lt;author&gt;Tu, J.&lt;/author&gt;&lt;author&gt;Wang, R.&lt;/author&gt;&lt;author&gt;Zu, C.&lt;/author&gt;&lt;author&gt;Chen, Y.&lt;/author&gt;&lt;author&gt;Yang, W.&lt;/author&gt;&lt;author&gt;Shi, D.&lt;/author&gt;&lt;author&gt;Webster, T. J.&lt;/author&gt;&lt;author&gt;Shen, Y. %J Nanoscale&lt;/author&gt;&lt;/authors&gt;&lt;/contributors&gt;&lt;titles&gt;&lt;title&gt;The comparative effect of wrapping solid gold nanoparticles and hollow gold nanoparticles with doxorubicin-loaded thermosensitive liposomes for cancer thermo-chemotherapy&lt;/title&gt;&lt;/titles&gt;&lt;pages&gt;10.1039.C7NR09083H&lt;/pages&gt;&lt;volume&gt;10&lt;/volume&gt;&lt;number&gt;18&lt;/number&gt;&lt;dates&gt;&lt;year&gt;2018&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3</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w:t>
      </w:r>
    </w:p>
    <w:p>
      <w:pPr>
        <w:autoSpaceDE w:val="0"/>
        <w:autoSpaceDN w:val="0"/>
        <w:adjustRightInd w:val="0"/>
        <w:spacing w:line="480" w:lineRule="auto"/>
        <w:jc w:val="center"/>
        <w:rPr>
          <w:rFonts w:ascii="Times New Roman" w:hAnsi="Times New Roman" w:cs="Times New Roman"/>
          <w:sz w:val="24"/>
          <w:szCs w:val="24"/>
        </w:rPr>
      </w:pPr>
      <m:oMath>
        <m:r>
          <m:rPr>
            <m:sty m:val="bi"/>
          </m:rPr>
          <w:rPr>
            <w:rFonts w:ascii="Cambria Math" w:hAnsi="Cambria Math" w:cs="Times New Roman"/>
            <w:sz w:val="24"/>
            <w:szCs w:val="24"/>
          </w:rPr>
          <m:t>cell viability=</m:t>
        </m:r>
        <m:f>
          <m:fPr>
            <m:ctrlPr>
              <w:rPr>
                <w:rFonts w:ascii="Cambria Math" w:hAnsi="Cambria Math" w:cs="Times New Roman"/>
                <w:b/>
                <w:i/>
                <w:sz w:val="24"/>
                <w:szCs w:val="24"/>
              </w:rPr>
            </m:ctrlPr>
          </m:fPr>
          <m:num>
            <m:sSub>
              <m:sSubPr>
                <m:ctrlPr>
                  <w:rPr>
                    <w:rFonts w:ascii="Cambria Math" w:hAnsi="Cambria Math" w:cs="Times New Roman"/>
                    <w:b/>
                    <w:i/>
                    <w:sz w:val="24"/>
                    <w:szCs w:val="24"/>
                  </w:rPr>
                </m:ctrlPr>
              </m:sSubPr>
              <m:e>
                <m:r>
                  <m:rPr>
                    <m:sty m:val="bi"/>
                  </m:rPr>
                  <w:rPr>
                    <w:rFonts w:ascii="Cambria Math" w:hAnsi="Cambria Math" w:cs="Times New Roman"/>
                    <w:sz w:val="24"/>
                    <w:szCs w:val="24"/>
                  </w:rPr>
                  <m:t>OD</m:t>
                </m:r>
                <m:ctrlPr>
                  <w:rPr>
                    <w:rFonts w:ascii="Cambria Math" w:hAnsi="Cambria Math" w:cs="Times New Roman"/>
                    <w:b/>
                    <w:i/>
                    <w:sz w:val="24"/>
                    <w:szCs w:val="24"/>
                  </w:rPr>
                </m:ctrlPr>
              </m:e>
              <m:sub>
                <m:r>
                  <m:rPr>
                    <m:sty m:val="bi"/>
                  </m:rPr>
                  <w:rPr>
                    <w:rFonts w:ascii="Cambria Math" w:hAnsi="Cambria Math" w:cs="Times New Roman"/>
                    <w:sz w:val="24"/>
                    <w:szCs w:val="24"/>
                  </w:rPr>
                  <m:t>sample</m:t>
                </m:r>
                <m:ctrlPr>
                  <w:rPr>
                    <w:rFonts w:ascii="Cambria Math" w:hAnsi="Cambria Math" w:cs="Times New Roman"/>
                    <w:b/>
                    <w:i/>
                    <w:sz w:val="24"/>
                    <w:szCs w:val="24"/>
                  </w:rPr>
                </m:ctrlPr>
              </m:sub>
            </m:sSub>
            <m:r>
              <m:rPr>
                <m:sty m:val="bi"/>
              </m:rPr>
              <w:rPr>
                <w:rFonts w:ascii="Cambria Math" w:hAnsi="Cambria Math" w:cs="Times New Roman"/>
                <w:sz w:val="24"/>
                <w:szCs w:val="24"/>
              </w:rPr>
              <m:t>-</m:t>
            </m:r>
            <m:sSub>
              <m:sSubPr>
                <m:ctrlPr>
                  <w:rPr>
                    <w:rFonts w:ascii="Cambria Math" w:hAnsi="Cambria Math" w:cs="Times New Roman"/>
                    <w:b/>
                    <w:i/>
                    <w:sz w:val="24"/>
                    <w:szCs w:val="24"/>
                  </w:rPr>
                </m:ctrlPr>
              </m:sSubPr>
              <m:e>
                <m:r>
                  <m:rPr>
                    <m:sty m:val="bi"/>
                  </m:rPr>
                  <w:rPr>
                    <w:rFonts w:ascii="Cambria Math" w:hAnsi="Cambria Math" w:cs="Times New Roman"/>
                    <w:sz w:val="24"/>
                    <w:szCs w:val="24"/>
                  </w:rPr>
                  <m:t>OD</m:t>
                </m:r>
                <m:ctrlPr>
                  <w:rPr>
                    <w:rFonts w:ascii="Cambria Math" w:hAnsi="Cambria Math" w:cs="Times New Roman"/>
                    <w:b/>
                    <w:i/>
                    <w:sz w:val="24"/>
                    <w:szCs w:val="24"/>
                  </w:rPr>
                </m:ctrlPr>
              </m:e>
              <m:sub>
                <m:r>
                  <m:rPr>
                    <m:sty m:val="bi"/>
                  </m:rPr>
                  <w:rPr>
                    <w:rFonts w:ascii="Cambria Math" w:hAnsi="Cambria Math" w:cs="Times New Roman"/>
                    <w:sz w:val="24"/>
                    <w:szCs w:val="24"/>
                  </w:rPr>
                  <m:t>blank</m:t>
                </m:r>
                <m:ctrlPr>
                  <w:rPr>
                    <w:rFonts w:ascii="Cambria Math" w:hAnsi="Cambria Math" w:cs="Times New Roman"/>
                    <w:b/>
                    <w:i/>
                    <w:sz w:val="24"/>
                    <w:szCs w:val="24"/>
                  </w:rPr>
                </m:ctrlPr>
              </m:sub>
            </m:sSub>
            <m:ctrlPr>
              <w:rPr>
                <w:rFonts w:ascii="Cambria Math" w:hAnsi="Cambria Math" w:cs="Times New Roman"/>
                <w:b/>
                <w:i/>
                <w:sz w:val="24"/>
                <w:szCs w:val="24"/>
              </w:rPr>
            </m:ctrlPr>
          </m:num>
          <m:den>
            <m:sSub>
              <m:sSubPr>
                <m:ctrlPr>
                  <w:rPr>
                    <w:rFonts w:ascii="Cambria Math" w:hAnsi="Cambria Math" w:cs="Times New Roman"/>
                    <w:b/>
                    <w:i/>
                    <w:sz w:val="24"/>
                    <w:szCs w:val="24"/>
                  </w:rPr>
                </m:ctrlPr>
              </m:sSubPr>
              <m:e>
                <m:r>
                  <m:rPr>
                    <m:sty m:val="bi"/>
                  </m:rPr>
                  <w:rPr>
                    <w:rFonts w:ascii="Cambria Math" w:hAnsi="Cambria Math" w:cs="Times New Roman"/>
                    <w:sz w:val="24"/>
                    <w:szCs w:val="24"/>
                  </w:rPr>
                  <m:t>OD</m:t>
                </m:r>
                <m:ctrlPr>
                  <w:rPr>
                    <w:rFonts w:ascii="Cambria Math" w:hAnsi="Cambria Math" w:cs="Times New Roman"/>
                    <w:b/>
                    <w:i/>
                    <w:sz w:val="24"/>
                    <w:szCs w:val="24"/>
                  </w:rPr>
                </m:ctrlPr>
              </m:e>
              <m:sub>
                <m:r>
                  <m:rPr>
                    <m:sty m:val="bi"/>
                  </m:rPr>
                  <w:rPr>
                    <w:rFonts w:ascii="Cambria Math" w:hAnsi="Cambria Math" w:cs="Times New Roman"/>
                    <w:sz w:val="24"/>
                    <w:szCs w:val="24"/>
                  </w:rPr>
                  <m:t>control</m:t>
                </m:r>
                <m:ctrlPr>
                  <w:rPr>
                    <w:rFonts w:ascii="Cambria Math" w:hAnsi="Cambria Math" w:cs="Times New Roman"/>
                    <w:b/>
                    <w:i/>
                    <w:sz w:val="24"/>
                    <w:szCs w:val="24"/>
                  </w:rPr>
                </m:ctrlPr>
              </m:sub>
            </m:sSub>
            <m:r>
              <m:rPr>
                <m:sty m:val="bi"/>
              </m:rPr>
              <w:rPr>
                <w:rFonts w:ascii="Cambria Math" w:hAnsi="Cambria Math" w:cs="Times New Roman"/>
                <w:sz w:val="24"/>
                <w:szCs w:val="24"/>
              </w:rPr>
              <m:t>-</m:t>
            </m:r>
            <m:sSub>
              <m:sSubPr>
                <m:ctrlPr>
                  <w:rPr>
                    <w:rFonts w:ascii="Cambria Math" w:hAnsi="Cambria Math" w:cs="Times New Roman"/>
                    <w:b/>
                    <w:i/>
                    <w:sz w:val="24"/>
                    <w:szCs w:val="24"/>
                  </w:rPr>
                </m:ctrlPr>
              </m:sSubPr>
              <m:e>
                <m:r>
                  <m:rPr>
                    <m:sty m:val="bi"/>
                  </m:rPr>
                  <w:rPr>
                    <w:rFonts w:ascii="Cambria Math" w:hAnsi="Cambria Math" w:cs="Times New Roman"/>
                    <w:sz w:val="24"/>
                    <w:szCs w:val="24"/>
                  </w:rPr>
                  <m:t>OD</m:t>
                </m:r>
                <m:ctrlPr>
                  <w:rPr>
                    <w:rFonts w:ascii="Cambria Math" w:hAnsi="Cambria Math" w:cs="Times New Roman"/>
                    <w:b/>
                    <w:i/>
                    <w:sz w:val="24"/>
                    <w:szCs w:val="24"/>
                  </w:rPr>
                </m:ctrlPr>
              </m:e>
              <m:sub>
                <m:r>
                  <m:rPr>
                    <m:sty m:val="bi"/>
                  </m:rPr>
                  <w:rPr>
                    <w:rFonts w:ascii="Cambria Math" w:hAnsi="Cambria Math" w:cs="Times New Roman"/>
                    <w:sz w:val="24"/>
                    <w:szCs w:val="24"/>
                  </w:rPr>
                  <m:t>blank</m:t>
                </m:r>
                <m:ctrlPr>
                  <w:rPr>
                    <w:rFonts w:ascii="Cambria Math" w:hAnsi="Cambria Math" w:cs="Times New Roman"/>
                    <w:b/>
                    <w:i/>
                    <w:sz w:val="24"/>
                    <w:szCs w:val="24"/>
                  </w:rPr>
                </m:ctrlPr>
              </m:sub>
            </m:sSub>
            <m:ctrlPr>
              <w:rPr>
                <w:rFonts w:ascii="Cambria Math" w:hAnsi="Cambria Math" w:cs="Times New Roman"/>
                <w:b/>
                <w:i/>
                <w:sz w:val="24"/>
                <w:szCs w:val="24"/>
              </w:rPr>
            </m:ctrlPr>
          </m:den>
        </m:f>
        <m:r>
          <m:rPr>
            <m:sty m:val="bi"/>
          </m:rPr>
          <w:rPr>
            <w:rFonts w:ascii="Cambria Math" w:hAnsi="Cambria Math" w:cs="Times New Roman"/>
            <w:sz w:val="24"/>
            <w:szCs w:val="24"/>
          </w:rPr>
          <m:t>×100%</m:t>
        </m:r>
      </m:oMath>
      <w:r>
        <w:rPr>
          <w:rFonts w:ascii="Times New Roman" w:hAnsi="Times New Roman" w:cs="Times New Roman"/>
          <w:b/>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Cs/>
          <w:sz w:val="24"/>
          <w:szCs w:val="24"/>
        </w:rPr>
        <w:t>(3)</w:t>
      </w:r>
    </w:p>
    <w:p>
      <w:pPr>
        <w:autoSpaceDE w:val="0"/>
        <w:autoSpaceDN w:val="0"/>
        <w:adjustRightInd w:val="0"/>
        <w:spacing w:line="480" w:lineRule="auto"/>
        <w:ind w:firstLine="240" w:firstLineChars="100"/>
        <w:rPr>
          <w:rFonts w:ascii="Times New Roman" w:hAnsi="Times New Roman" w:cs="Times New Roman"/>
          <w:sz w:val="24"/>
          <w:szCs w:val="24"/>
        </w:rPr>
      </w:pPr>
      <w:r>
        <w:rPr>
          <w:rFonts w:ascii="Times New Roman" w:hAnsi="Times New Roman" w:cs="Times New Roman"/>
          <w:sz w:val="24"/>
          <w:szCs w:val="24"/>
        </w:rPr>
        <w:t>Where the OD</w:t>
      </w:r>
      <w:r>
        <w:rPr>
          <w:rFonts w:ascii="Times New Roman" w:hAnsi="Times New Roman" w:cs="Times New Roman"/>
          <w:sz w:val="24"/>
          <w:szCs w:val="24"/>
          <w:vertAlign w:val="subscript"/>
        </w:rPr>
        <w:t>sample</w:t>
      </w:r>
      <w:r>
        <w:rPr>
          <w:rFonts w:ascii="Times New Roman" w:hAnsi="Times New Roman" w:cs="Times New Roman"/>
          <w:sz w:val="24"/>
          <w:szCs w:val="24"/>
        </w:rPr>
        <w:t xml:space="preserve"> is the </w:t>
      </w:r>
      <w:bookmarkStart w:id="15" w:name="OLE_LINK39"/>
      <w:r>
        <w:rPr>
          <w:rFonts w:ascii="Times New Roman" w:hAnsi="Times New Roman" w:cs="Times New Roman"/>
          <w:sz w:val="24"/>
          <w:szCs w:val="24"/>
        </w:rPr>
        <w:t xml:space="preserve">absorbance of </w:t>
      </w:r>
      <w:bookmarkEnd w:id="15"/>
      <w:r>
        <w:rPr>
          <w:rFonts w:ascii="Times New Roman" w:hAnsi="Times New Roman" w:cs="Times New Roman"/>
          <w:sz w:val="24"/>
          <w:szCs w:val="24"/>
        </w:rPr>
        <w:t>the cells incubated with the nanoparticle sample; the OD</w:t>
      </w:r>
      <w:r>
        <w:rPr>
          <w:rFonts w:ascii="Times New Roman" w:hAnsi="Times New Roman" w:cs="Times New Roman"/>
          <w:sz w:val="24"/>
          <w:szCs w:val="24"/>
          <w:vertAlign w:val="subscript"/>
        </w:rPr>
        <w:t>blank</w:t>
      </w:r>
      <w:r>
        <w:rPr>
          <w:rFonts w:ascii="Times New Roman" w:hAnsi="Times New Roman" w:cs="Times New Roman"/>
          <w:sz w:val="24"/>
          <w:szCs w:val="24"/>
        </w:rPr>
        <w:t xml:space="preserve"> is the absorbance of the blank medium without cells and the OD</w:t>
      </w:r>
      <w:r>
        <w:rPr>
          <w:rFonts w:ascii="Times New Roman" w:hAnsi="Times New Roman" w:cs="Times New Roman"/>
          <w:sz w:val="24"/>
          <w:szCs w:val="24"/>
          <w:vertAlign w:val="subscript"/>
        </w:rPr>
        <w:t>control</w:t>
      </w:r>
      <w:r>
        <w:rPr>
          <w:rFonts w:ascii="Times New Roman" w:hAnsi="Times New Roman" w:cs="Times New Roman"/>
          <w:sz w:val="24"/>
          <w:szCs w:val="24"/>
        </w:rPr>
        <w:t xml:space="preserve"> is the absorbance of the blank medium with cells.</w:t>
      </w:r>
    </w:p>
    <w:p>
      <w:pPr>
        <w:autoSpaceDE w:val="0"/>
        <w:autoSpaceDN w:val="0"/>
        <w:adjustRightInd w:val="0"/>
        <w:spacing w:line="480" w:lineRule="auto"/>
        <w:jc w:val="left"/>
        <w:rPr>
          <w:rFonts w:ascii="Times New Roman" w:hAnsi="Times New Roman" w:cs="Times New Roman"/>
          <w:bCs/>
          <w:i/>
          <w:sz w:val="24"/>
          <w:szCs w:val="24"/>
        </w:rPr>
      </w:pPr>
      <w:r>
        <w:rPr>
          <w:rFonts w:ascii="Times New Roman" w:hAnsi="Times New Roman" w:cs="Times New Roman"/>
          <w:b/>
          <w:bCs/>
          <w:sz w:val="24"/>
          <w:szCs w:val="24"/>
        </w:rPr>
        <w:t>1.11</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Cell apoptosis assay</w:t>
      </w:r>
      <w:r>
        <w:rPr>
          <w:rFonts w:ascii="Times New Roman" w:hAnsi="Times New Roman" w:cs="Times New Roman"/>
          <w:bCs/>
          <w:i/>
          <w:sz w:val="24"/>
          <w:szCs w:val="24"/>
        </w:rPr>
        <w:t xml:space="preserve"> </w:t>
      </w:r>
    </w:p>
    <w:p>
      <w:pPr>
        <w:autoSpaceDE w:val="0"/>
        <w:autoSpaceDN w:val="0"/>
        <w:adjustRightInd w:val="0"/>
        <w:spacing w:line="480" w:lineRule="auto"/>
        <w:ind w:firstLine="360"/>
        <w:jc w:val="left"/>
        <w:rPr>
          <w:rFonts w:ascii="Times New Roman" w:hAnsi="Times New Roman" w:cs="Times New Roman"/>
          <w:sz w:val="24"/>
          <w:szCs w:val="24"/>
        </w:rPr>
      </w:pPr>
      <w:r>
        <w:rPr>
          <w:rFonts w:ascii="Times New Roman" w:hAnsi="Times New Roman" w:cs="Times New Roman"/>
          <w:sz w:val="24"/>
          <w:szCs w:val="24"/>
        </w:rPr>
        <w:t>The induction of apoptosis in SK-BR-3 cells and MCF-7 cells were evaluated by means of the</w:t>
      </w:r>
      <w:bookmarkStart w:id="16" w:name="OLE_LINK24"/>
      <w:bookmarkStart w:id="17" w:name="OLE_LINK25"/>
      <w:r>
        <w:rPr>
          <w:rFonts w:ascii="Times New Roman" w:hAnsi="Times New Roman" w:cs="Times New Roman"/>
          <w:sz w:val="24"/>
          <w:szCs w:val="24"/>
        </w:rPr>
        <w:t xml:space="preserve"> </w:t>
      </w:r>
      <w:bookmarkEnd w:id="16"/>
      <w:bookmarkEnd w:id="17"/>
      <w:r>
        <w:rPr>
          <w:rFonts w:ascii="Times New Roman" w:hAnsi="Times New Roman" w:cs="Times New Roman"/>
          <w:sz w:val="24"/>
          <w:szCs w:val="24"/>
        </w:rPr>
        <w:t xml:space="preserve">Annexin V-FITC/PI apoptosis assay kit (Jiangsu KeyGEN BioTECH Corp., Ltd, China) using flow cytometry (BD pharmingen, bioscience). Briefly, cells were seeded in </w:t>
      </w:r>
      <w:bookmarkStart w:id="18" w:name="OLE_LINK38"/>
      <w:r>
        <w:rPr>
          <w:rFonts w:ascii="Times New Roman" w:hAnsi="Times New Roman" w:cs="Times New Roman"/>
          <w:sz w:val="24"/>
          <w:szCs w:val="24"/>
        </w:rPr>
        <w:t>6-well</w:t>
      </w:r>
      <w:bookmarkEnd w:id="18"/>
      <w:r>
        <w:rPr>
          <w:rFonts w:ascii="Times New Roman" w:hAnsi="Times New Roman" w:cs="Times New Roman"/>
          <w:sz w:val="24"/>
          <w:szCs w:val="24"/>
        </w:rPr>
        <w:t xml:space="preserve"> plates at a density of 5×10</w:t>
      </w:r>
      <w:r>
        <w:rPr>
          <w:rFonts w:ascii="Times New Roman" w:hAnsi="Times New Roman" w:cs="Times New Roman"/>
          <w:sz w:val="24"/>
          <w:szCs w:val="24"/>
          <w:vertAlign w:val="superscript"/>
        </w:rPr>
        <w:t>5</w:t>
      </w:r>
      <w:r>
        <w:rPr>
          <w:rFonts w:ascii="Times New Roman" w:hAnsi="Times New Roman" w:cs="Times New Roman"/>
          <w:sz w:val="24"/>
          <w:szCs w:val="24"/>
        </w:rPr>
        <w:t xml:space="preserve"> cells per well and were cultured at 37 °C/5% CO</w:t>
      </w:r>
      <w:r>
        <w:rPr>
          <w:rFonts w:ascii="Times New Roman" w:hAnsi="Times New Roman" w:cs="Times New Roman"/>
          <w:sz w:val="24"/>
          <w:szCs w:val="24"/>
          <w:vertAlign w:val="subscript"/>
        </w:rPr>
        <w:t>2</w:t>
      </w:r>
      <w:r>
        <w:rPr>
          <w:rFonts w:ascii="Times New Roman" w:hAnsi="Times New Roman" w:cs="Times New Roman"/>
          <w:sz w:val="24"/>
          <w:szCs w:val="24"/>
        </w:rPr>
        <w:t xml:space="preserve"> for 24 h. Then, the medium was replaced with free DM1, </w:t>
      </w:r>
      <w:r>
        <w:rPr>
          <w:rFonts w:ascii="Times New Roman" w:hAnsi="Times New Roman" w:cs="Times New Roman"/>
          <w:color w:val="000000" w:themeColor="text1"/>
          <w:sz w:val="24"/>
        </w:rPr>
        <w:t>DM1-mPEG-PGNSs</w:t>
      </w:r>
      <w:r>
        <w:rPr>
          <w:rFonts w:ascii="Times New Roman" w:hAnsi="Times New Roman" w:cs="Times New Roman"/>
          <w:sz w:val="24"/>
          <w:szCs w:val="24"/>
        </w:rPr>
        <w:t xml:space="preserve"> and DM1-mPEG/HER-PGNSs, and on top of that, one more </w:t>
      </w:r>
      <w:r>
        <w:rPr>
          <w:rFonts w:ascii="Times New Roman" w:hAnsi="Times New Roman" w:cs="Times New Roman"/>
          <w:bCs/>
          <w:sz w:val="24"/>
          <w:szCs w:val="24"/>
        </w:rPr>
        <w:t>DM1-mPEG/HER-PGNSs</w:t>
      </w:r>
      <w:r>
        <w:rPr>
          <w:rFonts w:ascii="Times New Roman" w:hAnsi="Times New Roman" w:cs="Times New Roman"/>
          <w:sz w:val="24"/>
          <w:szCs w:val="24"/>
        </w:rPr>
        <w:t xml:space="preserve"> group was set and the cells were illuminated with 808 nm laser at 3 W cm</w:t>
      </w:r>
      <w:r>
        <w:rPr>
          <w:rFonts w:ascii="Times New Roman" w:hAnsi="Times New Roman" w:cs="Times New Roman"/>
          <w:sz w:val="24"/>
          <w:szCs w:val="24"/>
          <w:vertAlign w:val="superscript"/>
        </w:rPr>
        <w:t xml:space="preserve">-2 </w:t>
      </w:r>
      <w:r>
        <w:rPr>
          <w:rFonts w:ascii="Times New Roman" w:hAnsi="Times New Roman" w:cs="Times New Roman"/>
          <w:sz w:val="24"/>
          <w:szCs w:val="24"/>
        </w:rPr>
        <w:t xml:space="preserve">for 10 min after incubation for 6h. After total incubation after 24 h, the cells were trypsinized and collected, washed twice with PBS, centrifuged at 2000 rpm for 5 min and re-suspended in a 500 μL binging buffer, followed by </w:t>
      </w:r>
      <w:bookmarkStart w:id="19" w:name="OLE_LINK30"/>
      <w:r>
        <w:rPr>
          <w:rFonts w:ascii="Times New Roman" w:hAnsi="Times New Roman" w:cs="Times New Roman"/>
          <w:sz w:val="24"/>
          <w:szCs w:val="24"/>
        </w:rPr>
        <w:t>5</w:t>
      </w:r>
      <w:bookmarkStart w:id="20" w:name="OLE_LINK31"/>
      <w:bookmarkStart w:id="21" w:name="OLE_LINK32"/>
      <w:r>
        <w:rPr>
          <w:rFonts w:ascii="Times New Roman" w:hAnsi="Times New Roman" w:cs="Times New Roman"/>
          <w:sz w:val="24"/>
          <w:szCs w:val="24"/>
        </w:rPr>
        <w:t xml:space="preserve"> μL </w:t>
      </w:r>
      <w:bookmarkEnd w:id="19"/>
      <w:bookmarkEnd w:id="20"/>
      <w:bookmarkEnd w:id="21"/>
      <w:r>
        <w:rPr>
          <w:rFonts w:ascii="Times New Roman" w:hAnsi="Times New Roman" w:cs="Times New Roman"/>
          <w:sz w:val="24"/>
          <w:szCs w:val="24"/>
        </w:rPr>
        <w:t>of an Annexin V-FITC solution and 5 μL of a PI solution. After incubation for 15 min at room temperature, cell apoptosis was analyzed by flow cytometry. Additionally, the presence of a heat shock protein 70 (HSP 70) was determined using western blot analysis. Briefly, 2.0 mL of 5× 10</w:t>
      </w:r>
      <w:r>
        <w:rPr>
          <w:rFonts w:ascii="Times New Roman" w:hAnsi="Times New Roman" w:cs="Times New Roman"/>
          <w:sz w:val="24"/>
          <w:szCs w:val="24"/>
          <w:vertAlign w:val="superscript"/>
        </w:rPr>
        <w:t>5</w:t>
      </w:r>
      <w:r>
        <w:rPr>
          <w:rFonts w:ascii="Times New Roman" w:hAnsi="Times New Roman" w:cs="Times New Roman"/>
          <w:sz w:val="24"/>
          <w:szCs w:val="24"/>
        </w:rPr>
        <w:t xml:space="preserve"> SK-BR-3 cells were suspended in 12-well plates and incubated for 24 h, then, cells in 12-well plates were treated with 2 mL of PGNSs, mPEG-PGNSs and </w:t>
      </w:r>
      <w:r>
        <w:rPr>
          <w:rFonts w:ascii="Times New Roman" w:hAnsi="Times New Roman" w:cs="Times New Roman"/>
          <w:bCs/>
          <w:sz w:val="24"/>
          <w:szCs w:val="24"/>
        </w:rPr>
        <w:t>mPEG/HER-PGNSs</w:t>
      </w:r>
      <w:r>
        <w:rPr>
          <w:rFonts w:ascii="Times New Roman" w:hAnsi="Times New Roman" w:cs="Times New Roman"/>
          <w:sz w:val="24"/>
          <w:szCs w:val="24"/>
        </w:rPr>
        <w:t xml:space="preserve"> at a Au concentration of 50 μg </w:t>
      </w:r>
      <w:r>
        <w:rPr>
          <w:rFonts w:ascii="Times New Roman" w:hAnsi="Times New Roman" w:eastAsia="黑体" w:cs="Times New Roman"/>
          <w:sz w:val="24"/>
          <w:szCs w:val="24"/>
        </w:rPr>
        <w:t>mL</w:t>
      </w:r>
      <w:r>
        <w:rPr>
          <w:rFonts w:ascii="Times New Roman" w:hAnsi="Times New Roman" w:cs="Times New Roman"/>
          <w:sz w:val="24"/>
          <w:szCs w:val="24"/>
          <w:vertAlign w:val="superscript"/>
        </w:rPr>
        <w:t>-1</w:t>
      </w:r>
      <w:r>
        <w:rPr>
          <w:rFonts w:ascii="Times New Roman" w:hAnsi="Times New Roman" w:cs="Times New Roman"/>
          <w:sz w:val="24"/>
          <w:szCs w:val="24"/>
        </w:rPr>
        <w:t xml:space="preserve"> in the presence or absence of NIR laser irradiation. After being lysed, cells were analyzed by SDS-PAGE (Bio-Rad, Power Supplies Basic, USA) and transferred to a nitrocellulose filter membrane. After being blocked with 5% skimmed milk, the membrane was incubated for 12 h with a mouse monoclonal HSP 70 primary antibody (Jiangsu KeyGEN BioTECH Corp., Ltd, China) followed by a peroxidase-linked secondary antibody (Jiangsu KeyGEN BioTECH Corp., Ltd, China). The protein expression level was detected using Gel-Pro32 software (Media Cybernetics, USA). </w:t>
      </w:r>
    </w:p>
    <w:p>
      <w:pPr>
        <w:autoSpaceDE w:val="0"/>
        <w:autoSpaceDN w:val="0"/>
        <w:adjustRightInd w:val="0"/>
        <w:spacing w:line="480" w:lineRule="auto"/>
        <w:jc w:val="left"/>
        <w:rPr>
          <w:rFonts w:ascii="Times New Roman" w:hAnsi="Times New Roman" w:cs="Times New Roman"/>
          <w:bCs/>
          <w:i/>
          <w:sz w:val="24"/>
          <w:szCs w:val="24"/>
        </w:rPr>
      </w:pPr>
      <w:r>
        <w:rPr>
          <w:rFonts w:ascii="Times New Roman" w:hAnsi="Times New Roman" w:cs="Times New Roman"/>
          <w:b/>
          <w:bCs/>
          <w:sz w:val="24"/>
          <w:szCs w:val="24"/>
        </w:rPr>
        <w:t>1.12</w:t>
      </w:r>
      <w:r>
        <w:rPr>
          <w:rFonts w:ascii="Times New Roman" w:hAnsi="Times New Roman" w:cs="Times New Roman"/>
          <w:b/>
          <w:bCs/>
          <w:sz w:val="24"/>
          <w:szCs w:val="24"/>
        </w:rPr>
        <w:tab/>
      </w:r>
      <w:r>
        <w:rPr>
          <w:rFonts w:ascii="Times New Roman" w:hAnsi="Times New Roman" w:cs="Times New Roman"/>
          <w:b/>
          <w:bCs/>
          <w:sz w:val="24"/>
          <w:szCs w:val="24"/>
        </w:rPr>
        <w:t xml:space="preserve">Competitive inhibition of </w:t>
      </w:r>
      <w:r>
        <w:rPr>
          <w:rFonts w:hint="eastAsia" w:ascii="Times New Roman" w:hAnsi="Times New Roman" w:cs="Times New Roman"/>
          <w:b/>
          <w:bCs/>
          <w:sz w:val="24"/>
          <w:szCs w:val="24"/>
        </w:rPr>
        <w:t>Her</w:t>
      </w:r>
      <w:r>
        <w:rPr>
          <w:rFonts w:ascii="Times New Roman" w:hAnsi="Times New Roman" w:cs="Times New Roman"/>
          <w:b/>
          <w:bCs/>
          <w:sz w:val="24"/>
          <w:szCs w:val="24"/>
        </w:rPr>
        <w:t>-2 receptor</w:t>
      </w:r>
      <w:bookmarkEnd w:id="9"/>
      <w:bookmarkEnd w:id="10"/>
      <w:r>
        <w:rPr>
          <w:rFonts w:ascii="Times New Roman" w:hAnsi="Times New Roman" w:cs="Times New Roman"/>
          <w:bCs/>
          <w:i/>
          <w:sz w:val="24"/>
          <w:szCs w:val="24"/>
        </w:rPr>
        <w:t xml:space="preserve"> </w:t>
      </w:r>
    </w:p>
    <w:p>
      <w:pPr>
        <w:autoSpaceDE w:val="0"/>
        <w:autoSpaceDN w:val="0"/>
        <w:adjustRightInd w:val="0"/>
        <w:spacing w:line="480" w:lineRule="auto"/>
        <w:ind w:firstLine="360"/>
        <w:jc w:val="left"/>
        <w:rPr>
          <w:rFonts w:ascii="Times New Roman" w:hAnsi="Times New Roman" w:cs="Times New Roman"/>
          <w:b/>
          <w:bCs/>
          <w:sz w:val="24"/>
          <w:szCs w:val="24"/>
        </w:rPr>
      </w:pPr>
      <w:r>
        <w:rPr>
          <w:rFonts w:hint="eastAsia" w:ascii="Times New Roman" w:hAnsi="Times New Roman" w:cs="Times New Roman"/>
          <w:sz w:val="24"/>
          <w:szCs w:val="24"/>
        </w:rPr>
        <w:t>Her</w:t>
      </w:r>
      <w:r>
        <w:rPr>
          <w:rFonts w:ascii="Times New Roman" w:hAnsi="Times New Roman" w:cs="Times New Roman"/>
          <w:sz w:val="24"/>
          <w:szCs w:val="24"/>
        </w:rPr>
        <w:t>-2 receptor over-expressed SK-BR-3 cells were chosen to conduct the following experiments. Briefly, SK-BR-3 cells were seeded in 6-well plates at a density of 5×10</w:t>
      </w:r>
      <w:r>
        <w:rPr>
          <w:rFonts w:ascii="Times New Roman" w:hAnsi="Times New Roman" w:cs="Times New Roman"/>
          <w:sz w:val="24"/>
          <w:szCs w:val="24"/>
          <w:vertAlign w:val="superscript"/>
        </w:rPr>
        <w:t>5</w:t>
      </w:r>
      <w:r>
        <w:rPr>
          <w:rFonts w:ascii="Times New Roman" w:hAnsi="Times New Roman" w:cs="Times New Roman"/>
          <w:sz w:val="24"/>
          <w:szCs w:val="24"/>
        </w:rPr>
        <w:t xml:space="preserve"> cells per well and cultured at 37 °C/5% CO</w:t>
      </w:r>
      <w:r>
        <w:rPr>
          <w:rFonts w:ascii="Times New Roman" w:hAnsi="Times New Roman" w:cs="Times New Roman"/>
          <w:sz w:val="24"/>
          <w:szCs w:val="24"/>
          <w:vertAlign w:val="subscript"/>
        </w:rPr>
        <w:t>2</w:t>
      </w:r>
      <w:r>
        <w:rPr>
          <w:rFonts w:ascii="Times New Roman" w:hAnsi="Times New Roman" w:cs="Times New Roman"/>
          <w:sz w:val="24"/>
          <w:szCs w:val="24"/>
        </w:rPr>
        <w:t xml:space="preserve"> for 24 h, then the medium was replaced with mPEG/HER-PGNSs. Meanwhile, excess Herceptin was added to block the </w:t>
      </w:r>
      <w:r>
        <w:rPr>
          <w:rFonts w:hint="eastAsia" w:ascii="Times New Roman" w:hAnsi="Times New Roman" w:cs="Times New Roman"/>
          <w:sz w:val="24"/>
          <w:szCs w:val="24"/>
        </w:rPr>
        <w:t>Her</w:t>
      </w:r>
      <w:r>
        <w:rPr>
          <w:rFonts w:ascii="Times New Roman" w:hAnsi="Times New Roman" w:cs="Times New Roman"/>
          <w:sz w:val="24"/>
          <w:szCs w:val="24"/>
        </w:rPr>
        <w:t xml:space="preserve">-2 receptor before adding the </w:t>
      </w:r>
      <w:r>
        <w:rPr>
          <w:rFonts w:ascii="Times New Roman" w:hAnsi="Times New Roman" w:cs="Times New Roman"/>
          <w:bCs/>
          <w:sz w:val="24"/>
          <w:szCs w:val="24"/>
        </w:rPr>
        <w:t>mPEG/HER-PGNSs</w:t>
      </w:r>
      <w:r>
        <w:rPr>
          <w:rFonts w:ascii="Times New Roman" w:hAnsi="Times New Roman" w:cs="Times New Roman"/>
          <w:sz w:val="24"/>
          <w:szCs w:val="24"/>
        </w:rPr>
        <w:t xml:space="preserve"> as the control group. The medium was removed after incubation for 2, 4, 12, 24 and 48 h and each well was washed with ice cold PBS three times, then the cells were lysed with 150 μL of RIPA (Beyotime, China) and collected. The supernatant was used to detect the protein content with the BCA Protein Assay Kit after centrifugation at 1000 rpm for 5 min. The remaining solution was used to detect Au content using ICP-MS (Thermo Fisher, USA) after digestion with the MDS-6G Microwave Digestion System (SINEO, China) and the Au content in per unit of protein was calculated and compared.</w:t>
      </w:r>
    </w:p>
    <w:p>
      <w:pPr>
        <w:autoSpaceDE w:val="0"/>
        <w:autoSpaceDN w:val="0"/>
        <w:adjustRightInd w:val="0"/>
        <w:spacing w:line="480" w:lineRule="auto"/>
        <w:jc w:val="left"/>
        <w:rPr>
          <w:rFonts w:ascii="Times New Roman" w:hAnsi="Times New Roman" w:cs="Times New Roman"/>
          <w:b/>
          <w:sz w:val="24"/>
          <w:szCs w:val="24"/>
        </w:rPr>
      </w:pPr>
      <w:r>
        <w:rPr>
          <w:rFonts w:ascii="Times New Roman" w:hAnsi="Times New Roman" w:cs="Times New Roman"/>
          <w:b/>
          <w:sz w:val="24"/>
          <w:szCs w:val="24"/>
        </w:rPr>
        <w:t>1.13</w:t>
      </w:r>
      <w:r>
        <w:rPr>
          <w:rFonts w:ascii="Times New Roman" w:hAnsi="Times New Roman" w:cs="Times New Roman"/>
          <w:b/>
          <w:sz w:val="24"/>
          <w:szCs w:val="24"/>
        </w:rPr>
        <w:tab/>
      </w:r>
      <w:r>
        <w:rPr>
          <w:rFonts w:ascii="Times New Roman" w:hAnsi="Times New Roman" w:cs="Times New Roman"/>
          <w:b/>
          <w:sz w:val="24"/>
          <w:szCs w:val="24"/>
        </w:rPr>
        <w:t>The combination index calculation of DM1 and photothermal therapy mediated by PGNSs in SK-BR-3 cells</w:t>
      </w:r>
    </w:p>
    <w:p>
      <w:pPr>
        <w:autoSpaceDE w:val="0"/>
        <w:autoSpaceDN w:val="0"/>
        <w:adjustRightInd w:val="0"/>
        <w:spacing w:line="480" w:lineRule="auto"/>
        <w:ind w:firstLine="360"/>
        <w:jc w:val="left"/>
        <w:rPr>
          <w:rFonts w:ascii="Times New Roman" w:hAnsi="Times New Roman" w:cs="Times New Roman"/>
          <w:b/>
          <w:sz w:val="24"/>
          <w:szCs w:val="24"/>
        </w:rPr>
      </w:pPr>
      <w:r>
        <w:rPr>
          <w:rFonts w:ascii="Times New Roman" w:hAnsi="Times New Roman" w:cs="Times New Roman"/>
          <w:sz w:val="24"/>
          <w:szCs w:val="24"/>
        </w:rPr>
        <w:t>SK-BR-3 cells were seeded in 96-well plates, then cells were incubated with</w:t>
      </w:r>
      <w:bookmarkStart w:id="22" w:name="OLE_LINK95"/>
      <w:r>
        <w:rPr>
          <w:rFonts w:ascii="Times New Roman" w:hAnsi="Times New Roman" w:cs="Times New Roman"/>
          <w:sz w:val="24"/>
          <w:szCs w:val="24"/>
        </w:rPr>
        <w:t xml:space="preserve"> free DM1, PGNSs</w:t>
      </w:r>
      <w:bookmarkEnd w:id="22"/>
      <w:r>
        <w:rPr>
          <w:rFonts w:ascii="Times New Roman" w:hAnsi="Times New Roman" w:cs="Times New Roman"/>
          <w:sz w:val="24"/>
          <w:szCs w:val="24"/>
        </w:rPr>
        <w:t xml:space="preserve"> and DM1-mPEG/HER-PGNSs, and the last two group cells were illuminated with a 808 nm laser at 3 W cm</w:t>
      </w:r>
      <w:r>
        <w:rPr>
          <w:rFonts w:ascii="Times New Roman" w:hAnsi="Times New Roman" w:cs="Times New Roman"/>
          <w:sz w:val="24"/>
          <w:szCs w:val="24"/>
          <w:vertAlign w:val="superscript"/>
        </w:rPr>
        <w:t xml:space="preserve">-2 </w:t>
      </w:r>
      <w:r>
        <w:rPr>
          <w:rFonts w:ascii="Times New Roman" w:hAnsi="Times New Roman" w:cs="Times New Roman"/>
          <w:sz w:val="24"/>
          <w:szCs w:val="24"/>
        </w:rPr>
        <w:t xml:space="preserve">for 10 min after incubation with the formulations for 6 h. After a total incubation of 24 h, the medium was removed and replaced with MTT. After incubation of 4 h, MTT was removed and 150 μL of DMSO was added to each well. The absorbance of each well at 570 nm was read using a Microplate Reader. </w:t>
      </w:r>
    </w:p>
    <w:p>
      <w:pPr>
        <w:spacing w:line="480" w:lineRule="auto"/>
        <w:rPr>
          <w:rFonts w:ascii="Times New Roman" w:hAnsi="Times New Roman" w:cs="Times New Roman"/>
          <w:i/>
          <w:sz w:val="24"/>
          <w:szCs w:val="24"/>
        </w:rPr>
      </w:pPr>
      <w:r>
        <w:rPr>
          <w:rFonts w:ascii="Times New Roman" w:hAnsi="Times New Roman" w:cs="Times New Roman"/>
          <w:b/>
          <w:sz w:val="24"/>
          <w:szCs w:val="24"/>
        </w:rPr>
        <w:t>1.14</w:t>
      </w:r>
      <w:r>
        <w:rPr>
          <w:rFonts w:ascii="Times New Roman" w:hAnsi="Times New Roman" w:cs="Times New Roman"/>
          <w:b/>
          <w:sz w:val="24"/>
          <w:szCs w:val="24"/>
        </w:rPr>
        <w:tab/>
      </w:r>
      <w:r>
        <w:rPr>
          <w:rFonts w:ascii="Times New Roman" w:hAnsi="Times New Roman" w:cs="Times New Roman"/>
          <w:b/>
          <w:sz w:val="24"/>
          <w:szCs w:val="24"/>
        </w:rPr>
        <w:t>Scratch assay</w:t>
      </w:r>
      <w:r>
        <w:rPr>
          <w:rFonts w:ascii="Times New Roman" w:hAnsi="Times New Roman" w:cs="Times New Roman"/>
          <w:i/>
          <w:sz w:val="24"/>
          <w:szCs w:val="24"/>
        </w:rPr>
        <w:t xml:space="preserve"> </w:t>
      </w:r>
    </w:p>
    <w:p>
      <w:pPr>
        <w:spacing w:line="480" w:lineRule="auto"/>
        <w:ind w:firstLine="420"/>
        <w:rPr>
          <w:rFonts w:ascii="Times New Roman" w:hAnsi="Times New Roman" w:cs="Times New Roman"/>
          <w:sz w:val="24"/>
          <w:szCs w:val="24"/>
        </w:rPr>
      </w:pPr>
      <w:r>
        <w:rPr>
          <w:rFonts w:ascii="Times New Roman" w:hAnsi="Times New Roman" w:cs="Times New Roman"/>
          <w:sz w:val="24"/>
          <w:szCs w:val="24"/>
        </w:rPr>
        <w:t xml:space="preserve">SK-BR-3 cells were plated onto 12-well culture plates and scraped with a micropipette tip to create a mechanical scratch wound after 24 hours. The medium was discarded and washed with PBS, then these wells were divided into the control, NIR only, DM1, PGNS, DM1-mPEG/HER-PGNSs and DM1-mPEG/HER-PGNSs plus NIR groups. After 24 hours of incubation, the images of the plates were captured by an </w:t>
      </w:r>
      <w:r>
        <w:rPr>
          <w:rFonts w:ascii="Times New Roman" w:hAnsi="Times New Roman" w:cs="Times New Roman"/>
          <w:sz w:val="24"/>
          <w:szCs w:val="24"/>
          <w:shd w:val="clear" w:color="auto" w:fill="FFFFFF"/>
        </w:rPr>
        <w:t xml:space="preserve">inverted fluorescence microscope (Ts2R, Nikon). The change of the </w:t>
      </w:r>
      <w:r>
        <w:rPr>
          <w:rFonts w:ascii="Times New Roman" w:hAnsi="Times New Roman" w:cs="Times New Roman"/>
          <w:sz w:val="24"/>
          <w:szCs w:val="24"/>
        </w:rPr>
        <w:t>scratch wound’s area was analyzed by utilizing ImageJ</w:t>
      </w:r>
      <w:r>
        <w:rPr>
          <w:rFonts w:ascii="Times New Roman" w:hAnsi="Times New Roman" w:cs="Times New Roman"/>
          <w:sz w:val="24"/>
          <w:szCs w:val="24"/>
          <w:shd w:val="clear" w:color="auto" w:fill="FFFFFF"/>
        </w:rPr>
        <w:t xml:space="preserve"> software (</w:t>
      </w:r>
      <w:r>
        <w:rPr>
          <w:rFonts w:ascii="Times New Roman" w:hAnsi="Times New Roman" w:cs="Times New Roman"/>
          <w:sz w:val="24"/>
          <w:szCs w:val="24"/>
        </w:rPr>
        <w:t>Rawak</w:t>
      </w:r>
      <w:r>
        <w:rPr>
          <w:rFonts w:ascii="Times New Roman" w:hAnsi="Times New Roman" w:cs="Times New Roman"/>
          <w:sz w:val="24"/>
          <w:szCs w:val="24"/>
          <w:shd w:val="clear" w:color="auto" w:fill="FFFFFF"/>
        </w:rPr>
        <w:t> </w:t>
      </w:r>
      <w:r>
        <w:rPr>
          <w:rFonts w:ascii="Times New Roman" w:hAnsi="Times New Roman" w:cs="Times New Roman"/>
          <w:sz w:val="24"/>
          <w:szCs w:val="24"/>
        </w:rPr>
        <w:t>Software,</w:t>
      </w:r>
      <w:r>
        <w:rPr>
          <w:rFonts w:ascii="Times New Roman" w:hAnsi="Times New Roman" w:cs="Times New Roman"/>
          <w:sz w:val="24"/>
          <w:szCs w:val="24"/>
          <w:shd w:val="clear" w:color="auto" w:fill="FFFFFF"/>
        </w:rPr>
        <w:t> </w:t>
      </w:r>
      <w:r>
        <w:rPr>
          <w:rFonts w:ascii="Times New Roman" w:hAnsi="Times New Roman" w:cs="Times New Roman"/>
          <w:sz w:val="24"/>
          <w:szCs w:val="24"/>
        </w:rPr>
        <w:t>Inc</w:t>
      </w:r>
      <w:r>
        <w:rPr>
          <w:rFonts w:ascii="Times New Roman" w:hAnsi="Times New Roman" w:cs="Times New Roman"/>
          <w:sz w:val="24"/>
          <w:szCs w:val="24"/>
          <w:shd w:val="clear" w:color="auto" w:fill="FFFFFF"/>
        </w:rPr>
        <w:t>., Stuttgart, </w:t>
      </w:r>
      <w:r>
        <w:rPr>
          <w:rFonts w:ascii="Times New Roman" w:hAnsi="Times New Roman" w:cs="Times New Roman"/>
          <w:sz w:val="24"/>
          <w:szCs w:val="24"/>
        </w:rPr>
        <w:t>Germany</w:t>
      </w:r>
      <w:r>
        <w:rPr>
          <w:rFonts w:ascii="Times New Roman" w:hAnsi="Times New Roman" w:cs="Times New Roman"/>
          <w:sz w:val="24"/>
          <w:szCs w:val="24"/>
          <w:shd w:val="clear" w:color="auto" w:fill="FFFFFF"/>
        </w:rPr>
        <w:t xml:space="preserve">) and wound healing (%) was calculated according to </w:t>
      </w:r>
      <w:r>
        <w:rPr>
          <w:rFonts w:ascii="Times New Roman" w:hAnsi="Times New Roman" w:cs="Times New Roman"/>
          <w:sz w:val="24"/>
          <w:szCs w:val="24"/>
        </w:rPr>
        <w:t>the equation below (equation 4).</w:t>
      </w:r>
    </w:p>
    <w:p>
      <w:pPr>
        <w:autoSpaceDE w:val="0"/>
        <w:autoSpaceDN w:val="0"/>
        <w:adjustRightInd w:val="0"/>
        <w:spacing w:line="480" w:lineRule="auto"/>
        <w:jc w:val="center"/>
        <w:rPr>
          <w:rFonts w:ascii="Times New Roman" w:hAnsi="Times New Roman" w:cs="Times New Roman"/>
          <w:b/>
          <w:sz w:val="24"/>
          <w:szCs w:val="24"/>
        </w:rPr>
      </w:pPr>
      <m:oMath>
        <m:r>
          <m:rPr>
            <m:sty m:val="bi"/>
          </m:rPr>
          <w:rPr>
            <w:rFonts w:ascii="Cambria Math" w:hAnsi="Cambria Math" w:cs="Times New Roman"/>
            <w:sz w:val="24"/>
            <w:szCs w:val="24"/>
          </w:rPr>
          <m:t>wound healing(%)=</m:t>
        </m:r>
        <m:f>
          <m:fPr>
            <m:ctrlPr>
              <w:rPr>
                <w:rFonts w:ascii="Cambria Math" w:hAnsi="Cambria Math" w:cs="Times New Roman"/>
                <w:b/>
                <w:i/>
                <w:sz w:val="24"/>
                <w:szCs w:val="24"/>
              </w:rPr>
            </m:ctrlPr>
          </m:fPr>
          <m:num>
            <m:sSub>
              <m:sSubPr>
                <m:ctrlPr>
                  <w:rPr>
                    <w:rFonts w:ascii="Cambria Math" w:hAnsi="Cambria Math" w:cs="Times New Roman"/>
                    <w:b/>
                    <w:i/>
                    <w:sz w:val="24"/>
                    <w:szCs w:val="24"/>
                  </w:rPr>
                </m:ctrlPr>
              </m:sSubPr>
              <m:e>
                <m:r>
                  <m:rPr>
                    <m:sty m:val="bi"/>
                  </m:rPr>
                  <w:rPr>
                    <w:rFonts w:ascii="Cambria Math" w:hAnsi="Cambria Math" w:cs="Times New Roman"/>
                    <w:sz w:val="24"/>
                    <w:szCs w:val="24"/>
                  </w:rPr>
                  <m:t>Area</m:t>
                </m:r>
                <m:ctrlPr>
                  <w:rPr>
                    <w:rFonts w:ascii="Cambria Math" w:hAnsi="Cambria Math" w:cs="Times New Roman"/>
                    <w:b/>
                    <w:i/>
                    <w:sz w:val="24"/>
                    <w:szCs w:val="24"/>
                  </w:rPr>
                </m:ctrlPr>
              </m:e>
              <m:sub>
                <m:r>
                  <m:rPr>
                    <m:sty m:val="bi"/>
                  </m:rPr>
                  <w:rPr>
                    <w:rFonts w:ascii="Cambria Math" w:hAnsi="Cambria Math" w:cs="Times New Roman"/>
                    <w:sz w:val="24"/>
                    <w:szCs w:val="24"/>
                  </w:rPr>
                  <m:t>0h</m:t>
                </m:r>
                <m:ctrlPr>
                  <w:rPr>
                    <w:rFonts w:ascii="Cambria Math" w:hAnsi="Cambria Math" w:cs="Times New Roman"/>
                    <w:b/>
                    <w:i/>
                    <w:sz w:val="24"/>
                    <w:szCs w:val="24"/>
                  </w:rPr>
                </m:ctrlPr>
              </m:sub>
            </m:sSub>
            <m:r>
              <m:rPr>
                <m:sty m:val="bi"/>
              </m:rPr>
              <w:rPr>
                <w:rFonts w:ascii="Cambria Math" w:hAnsi="Cambria Math" w:cs="Times New Roman"/>
                <w:sz w:val="24"/>
                <w:szCs w:val="24"/>
              </w:rPr>
              <m:t>-</m:t>
            </m:r>
            <m:sSub>
              <m:sSubPr>
                <m:ctrlPr>
                  <w:rPr>
                    <w:rFonts w:ascii="Cambria Math" w:hAnsi="Cambria Math" w:cs="Times New Roman"/>
                    <w:b/>
                    <w:i/>
                    <w:sz w:val="24"/>
                    <w:szCs w:val="24"/>
                  </w:rPr>
                </m:ctrlPr>
              </m:sSubPr>
              <m:e>
                <m:r>
                  <m:rPr>
                    <m:sty m:val="bi"/>
                  </m:rPr>
                  <w:rPr>
                    <w:rFonts w:ascii="Cambria Math" w:hAnsi="Cambria Math" w:cs="Times New Roman"/>
                    <w:sz w:val="24"/>
                    <w:szCs w:val="24"/>
                  </w:rPr>
                  <m:t>Area</m:t>
                </m:r>
                <m:ctrlPr>
                  <w:rPr>
                    <w:rFonts w:ascii="Cambria Math" w:hAnsi="Cambria Math" w:cs="Times New Roman"/>
                    <w:b/>
                    <w:i/>
                    <w:sz w:val="24"/>
                    <w:szCs w:val="24"/>
                  </w:rPr>
                </m:ctrlPr>
              </m:e>
              <m:sub>
                <m:r>
                  <m:rPr>
                    <m:sty m:val="bi"/>
                  </m:rPr>
                  <w:rPr>
                    <w:rFonts w:ascii="Cambria Math" w:hAnsi="Cambria Math" w:cs="Times New Roman"/>
                    <w:sz w:val="24"/>
                    <w:szCs w:val="24"/>
                  </w:rPr>
                  <m:t>24h</m:t>
                </m:r>
                <m:ctrlPr>
                  <w:rPr>
                    <w:rFonts w:ascii="Cambria Math" w:hAnsi="Cambria Math" w:cs="Times New Roman"/>
                    <w:b/>
                    <w:i/>
                    <w:sz w:val="24"/>
                    <w:szCs w:val="24"/>
                  </w:rPr>
                </m:ctrlPr>
              </m:sub>
            </m:sSub>
            <m:ctrlPr>
              <w:rPr>
                <w:rFonts w:ascii="Cambria Math" w:hAnsi="Cambria Math" w:cs="Times New Roman"/>
                <w:b/>
                <w:i/>
                <w:sz w:val="24"/>
                <w:szCs w:val="24"/>
              </w:rPr>
            </m:ctrlPr>
          </m:num>
          <m:den>
            <m:sSub>
              <m:sSubPr>
                <m:ctrlPr>
                  <w:rPr>
                    <w:rFonts w:ascii="Cambria Math" w:hAnsi="Cambria Math" w:cs="Times New Roman"/>
                    <w:b/>
                    <w:i/>
                    <w:sz w:val="24"/>
                    <w:szCs w:val="24"/>
                  </w:rPr>
                </m:ctrlPr>
              </m:sSubPr>
              <m:e>
                <m:r>
                  <m:rPr>
                    <m:sty m:val="bi"/>
                  </m:rPr>
                  <w:rPr>
                    <w:rFonts w:ascii="Cambria Math" w:hAnsi="Cambria Math" w:cs="Times New Roman"/>
                    <w:sz w:val="24"/>
                    <w:szCs w:val="24"/>
                  </w:rPr>
                  <m:t>Area</m:t>
                </m:r>
                <m:ctrlPr>
                  <w:rPr>
                    <w:rFonts w:ascii="Cambria Math" w:hAnsi="Cambria Math" w:cs="Times New Roman"/>
                    <w:b/>
                    <w:i/>
                    <w:sz w:val="24"/>
                    <w:szCs w:val="24"/>
                  </w:rPr>
                </m:ctrlPr>
              </m:e>
              <m:sub>
                <m:r>
                  <m:rPr>
                    <m:sty m:val="bi"/>
                  </m:rPr>
                  <w:rPr>
                    <w:rFonts w:ascii="Cambria Math" w:hAnsi="Cambria Math" w:cs="Times New Roman"/>
                    <w:sz w:val="24"/>
                    <w:szCs w:val="24"/>
                  </w:rPr>
                  <m:t>0h</m:t>
                </m:r>
                <m:ctrlPr>
                  <w:rPr>
                    <w:rFonts w:ascii="Cambria Math" w:hAnsi="Cambria Math" w:cs="Times New Roman"/>
                    <w:b/>
                    <w:i/>
                    <w:sz w:val="24"/>
                    <w:szCs w:val="24"/>
                  </w:rPr>
                </m:ctrlPr>
              </m:sub>
            </m:sSub>
            <m:ctrlPr>
              <w:rPr>
                <w:rFonts w:ascii="Cambria Math" w:hAnsi="Cambria Math" w:cs="Times New Roman"/>
                <w:b/>
                <w:i/>
                <w:sz w:val="24"/>
                <w:szCs w:val="24"/>
              </w:rPr>
            </m:ctrlPr>
          </m:den>
        </m:f>
        <m:r>
          <m:rPr>
            <m:sty m:val="bi"/>
          </m:rPr>
          <w:rPr>
            <w:rFonts w:ascii="Cambria Math" w:hAnsi="Cambria Math" w:cs="Times New Roman"/>
            <w:sz w:val="24"/>
            <w:szCs w:val="24"/>
          </w:rPr>
          <m:t>×100%</m:t>
        </m:r>
      </m:oMath>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bCs/>
          <w:sz w:val="24"/>
          <w:szCs w:val="24"/>
        </w:rPr>
        <w:t>(4)</w:t>
      </w:r>
    </w:p>
    <w:p>
      <w:pPr>
        <w:autoSpaceDE w:val="0"/>
        <w:autoSpaceDN w:val="0"/>
        <w:adjustRightInd w:val="0"/>
        <w:spacing w:line="480" w:lineRule="auto"/>
        <w:rPr>
          <w:rFonts w:ascii="Times New Roman" w:hAnsi="Times New Roman" w:cs="Times New Roman"/>
          <w:i/>
          <w:sz w:val="24"/>
          <w:szCs w:val="24"/>
          <w:shd w:val="clear" w:color="auto" w:fill="FFFFFF"/>
        </w:rPr>
      </w:pPr>
      <w:r>
        <w:rPr>
          <w:rFonts w:ascii="Times New Roman" w:hAnsi="Times New Roman" w:cs="Times New Roman"/>
          <w:b/>
          <w:sz w:val="24"/>
          <w:szCs w:val="24"/>
          <w:shd w:val="clear" w:color="auto" w:fill="FFFFFF"/>
        </w:rPr>
        <w:t>1.15</w:t>
      </w:r>
      <w:r>
        <w:rPr>
          <w:rFonts w:ascii="Times New Roman" w:hAnsi="Times New Roman" w:cs="Times New Roman"/>
          <w:b/>
          <w:sz w:val="24"/>
          <w:szCs w:val="24"/>
          <w:shd w:val="clear" w:color="auto" w:fill="FFFFFF"/>
        </w:rPr>
        <w:tab/>
      </w:r>
      <w:r>
        <w:rPr>
          <w:rFonts w:ascii="Times New Roman" w:hAnsi="Times New Roman" w:cs="Times New Roman"/>
          <w:b/>
          <w:sz w:val="24"/>
          <w:szCs w:val="24"/>
          <w:shd w:val="clear" w:color="auto" w:fill="FFFFFF"/>
        </w:rPr>
        <w:t>Migration assay</w:t>
      </w:r>
      <w:r>
        <w:rPr>
          <w:rFonts w:ascii="Times New Roman" w:hAnsi="Times New Roman" w:cs="Times New Roman"/>
          <w:i/>
          <w:sz w:val="24"/>
          <w:szCs w:val="24"/>
          <w:shd w:val="clear" w:color="auto" w:fill="FFFFFF"/>
        </w:rPr>
        <w:t xml:space="preserve"> </w:t>
      </w:r>
    </w:p>
    <w:p>
      <w:pPr>
        <w:autoSpaceDE w:val="0"/>
        <w:autoSpaceDN w:val="0"/>
        <w:adjustRightInd w:val="0"/>
        <w:spacing w:line="480" w:lineRule="auto"/>
        <w:ind w:firstLine="360"/>
        <w:rPr>
          <w:rFonts w:ascii="Times New Roman" w:hAnsi="Times New Roman" w:cs="Times New Roman"/>
          <w:sz w:val="24"/>
          <w:szCs w:val="24"/>
        </w:rPr>
      </w:pPr>
      <w:r>
        <w:rPr>
          <w:rFonts w:ascii="Times New Roman" w:hAnsi="Times New Roman" w:cs="Times New Roman"/>
          <w:sz w:val="24"/>
          <w:szCs w:val="24"/>
        </w:rPr>
        <w:t>A migration assay was conducted using Transwell inserts (</w:t>
      </w:r>
      <w:r>
        <w:rPr>
          <w:rFonts w:ascii="Times New Roman" w:hAnsi="Times New Roman" w:cs="Times New Roman"/>
          <w:bCs/>
          <w:sz w:val="24"/>
          <w:szCs w:val="24"/>
        </w:rPr>
        <w:t>Costar Transwell, 8.0-µm with Size 24 Cluster Platel)</w:t>
      </w:r>
      <w:r>
        <w:rPr>
          <w:rFonts w:ascii="Times New Roman" w:hAnsi="Times New Roman" w:cs="Times New Roman"/>
          <w:sz w:val="24"/>
          <w:szCs w:val="24"/>
        </w:rPr>
        <w:t>. SK-BR-3 cells were suspended in 0.5% BSA medium and were seeded into the upper layer of the insert and incubated with different formulations to divide these wells into the control, NIR only, DM1, PGNS, DM1-mPEG/HER-PGNSs and DM1-mPEG/HER-PGNSs+NIR groups. The 10% FBS complete medium was placed into the lower chamber. Following an incubation period of 24 hours, the inserts were washed with PBS and fixed with cold methanol. The cells migrating through the membrane were stained for 20 minutes using 0.1% crystal violet, then decolored using 33% acetic acid to determine the absorption at 570 nm.</w:t>
      </w:r>
    </w:p>
    <w:p>
      <w:pPr>
        <w:autoSpaceDE w:val="0"/>
        <w:autoSpaceDN w:val="0"/>
        <w:adjustRightInd w:val="0"/>
        <w:spacing w:line="480" w:lineRule="auto"/>
        <w:jc w:val="left"/>
        <w:rPr>
          <w:rFonts w:ascii="Times New Roman" w:hAnsi="Times New Roman" w:cs="Times New Roman"/>
          <w:i/>
          <w:sz w:val="24"/>
          <w:szCs w:val="24"/>
        </w:rPr>
      </w:pPr>
      <w:r>
        <w:rPr>
          <w:rFonts w:ascii="Times New Roman" w:hAnsi="Times New Roman" w:cs="Times New Roman"/>
          <w:b/>
          <w:sz w:val="24"/>
          <w:szCs w:val="24"/>
        </w:rPr>
        <w:t>1.16</w:t>
      </w:r>
      <w:r>
        <w:rPr>
          <w:rFonts w:ascii="Times New Roman" w:hAnsi="Times New Roman" w:cs="Times New Roman"/>
          <w:b/>
          <w:sz w:val="24"/>
          <w:szCs w:val="24"/>
        </w:rPr>
        <w:tab/>
      </w:r>
      <w:r>
        <w:rPr>
          <w:rFonts w:ascii="Times New Roman" w:hAnsi="Times New Roman" w:cs="Times New Roman"/>
          <w:b/>
          <w:i/>
          <w:sz w:val="24"/>
          <w:szCs w:val="24"/>
        </w:rPr>
        <w:t xml:space="preserve">In vivo </w:t>
      </w:r>
      <w:r>
        <w:rPr>
          <w:rFonts w:ascii="Times New Roman" w:hAnsi="Times New Roman" w:cs="Times New Roman"/>
          <w:b/>
          <w:sz w:val="24"/>
          <w:szCs w:val="24"/>
        </w:rPr>
        <w:t>toxicity assays</w:t>
      </w:r>
      <w:r>
        <w:rPr>
          <w:rFonts w:ascii="Times New Roman" w:hAnsi="Times New Roman" w:cs="Times New Roman"/>
          <w:i/>
          <w:sz w:val="24"/>
          <w:szCs w:val="24"/>
        </w:rPr>
        <w:t xml:space="preserve"> </w:t>
      </w:r>
    </w:p>
    <w:p>
      <w:pPr>
        <w:autoSpaceDE w:val="0"/>
        <w:autoSpaceDN w:val="0"/>
        <w:adjustRightInd w:val="0"/>
        <w:spacing w:line="480" w:lineRule="auto"/>
        <w:ind w:firstLine="360"/>
        <w:jc w:val="left"/>
        <w:rPr>
          <w:rFonts w:ascii="Times New Roman" w:hAnsi="Times New Roman" w:cs="Times New Roman"/>
          <w:sz w:val="24"/>
          <w:szCs w:val="24"/>
        </w:rPr>
      </w:pPr>
      <w:r>
        <w:rPr>
          <w:rFonts w:ascii="Times New Roman" w:hAnsi="Times New Roman" w:cs="Times New Roman"/>
          <w:sz w:val="24"/>
          <w:szCs w:val="24"/>
        </w:rPr>
        <w:t xml:space="preserve">The organ damage assays were performed by evaluating corresponding functional enzymes. At the end of the treatment, the blood samples of each mouse were collected by extracting the eyeball into an </w:t>
      </w:r>
      <w:r>
        <w:rPr>
          <w:rFonts w:ascii="Times New Roman" w:hAnsi="Times New Roman" w:cs="Times New Roman"/>
          <w:sz w:val="24"/>
          <w:szCs w:val="24"/>
          <w:shd w:val="clear" w:color="auto" w:fill="FFFFFF"/>
        </w:rPr>
        <w:t xml:space="preserve">Eppendorf </w:t>
      </w:r>
      <w:r>
        <w:rPr>
          <w:rFonts w:ascii="Times New Roman" w:hAnsi="Times New Roman" w:cs="Times New Roman"/>
          <w:sz w:val="24"/>
          <w:szCs w:val="24"/>
        </w:rPr>
        <w:t>tube. Then, the blood samples were centrifuged at 3000 rpm for 5min to obtain plasma samples for measuring clinical parameters, including alanine aminotransferase (ALT), aspartate aminotransferase (AST), blood urea nitrogen (BUN), and creatinine (CREA) by the corresponding ELISA kid according to the standard protocols provided by the suppliers. Then, the main organs were sampled and applied for hematoxylin and eosin (HE) staining to assess adverse effects</w:t>
      </w:r>
      <w:r>
        <w:rPr>
          <w:rFonts w:ascii="Times New Roman" w:hAnsi="Times New Roman" w:cs="Times New Roman"/>
          <w:kern w:val="0"/>
          <w:sz w:val="24"/>
          <w:szCs w:val="24"/>
        </w:rPr>
        <w:t>.</w:t>
      </w:r>
    </w:p>
    <w:p>
      <w:pPr>
        <w:autoSpaceDE w:val="0"/>
        <w:autoSpaceDN w:val="0"/>
        <w:adjustRightInd w:val="0"/>
        <w:spacing w:line="480" w:lineRule="auto"/>
        <w:jc w:val="left"/>
        <w:rPr>
          <w:rFonts w:ascii="Times New Roman" w:hAnsi="Times New Roman" w:cs="Times New Roman"/>
          <w:b/>
          <w:sz w:val="24"/>
          <w:szCs w:val="24"/>
        </w:rPr>
      </w:pPr>
      <w:r>
        <w:rPr>
          <w:rFonts w:ascii="Times New Roman" w:hAnsi="Times New Roman" w:cs="Times New Roman"/>
          <w:b/>
          <w:sz w:val="24"/>
          <w:szCs w:val="24"/>
        </w:rPr>
        <w:t>2</w:t>
      </w:r>
      <w:r>
        <w:rPr>
          <w:rFonts w:ascii="Times New Roman" w:hAnsi="Times New Roman" w:cs="Times New Roman"/>
          <w:b/>
          <w:sz w:val="24"/>
          <w:szCs w:val="24"/>
        </w:rPr>
        <w:tab/>
      </w:r>
      <w:r>
        <w:rPr>
          <w:rFonts w:ascii="Times New Roman" w:hAnsi="Times New Roman" w:cs="Times New Roman"/>
          <w:b/>
          <w:sz w:val="24"/>
          <w:szCs w:val="24"/>
        </w:rPr>
        <w:t>Result and discussion</w:t>
      </w:r>
    </w:p>
    <w:p>
      <w:pPr>
        <w:spacing w:line="480" w:lineRule="auto"/>
        <w:rPr>
          <w:rFonts w:ascii="Times New Roman" w:hAnsi="Times New Roman" w:cs="Times New Roman"/>
          <w:b/>
          <w:bCs/>
          <w:sz w:val="24"/>
          <w:szCs w:val="24"/>
        </w:rPr>
      </w:pPr>
      <w:r>
        <w:rPr>
          <w:rFonts w:ascii="Times New Roman" w:hAnsi="Times New Roman" w:cs="Times New Roman"/>
          <w:b/>
          <w:sz w:val="24"/>
          <w:szCs w:val="24"/>
        </w:rPr>
        <w:t>2.1</w:t>
      </w:r>
      <w:r>
        <w:rPr>
          <w:rFonts w:ascii="Times New Roman" w:hAnsi="Times New Roman" w:cs="Times New Roman"/>
          <w:b/>
          <w:sz w:val="24"/>
          <w:szCs w:val="24"/>
        </w:rPr>
        <w:tab/>
      </w:r>
      <w:r>
        <w:rPr>
          <w:rFonts w:ascii="Times New Roman" w:hAnsi="Times New Roman" w:cs="Times New Roman"/>
          <w:b/>
          <w:sz w:val="24"/>
          <w:szCs w:val="24"/>
        </w:rPr>
        <w:t xml:space="preserve">The detection of the Au-S bond formed in </w:t>
      </w:r>
      <w:r>
        <w:rPr>
          <w:rFonts w:ascii="Times New Roman" w:hAnsi="Times New Roman" w:cs="Times New Roman"/>
          <w:b/>
          <w:bCs/>
          <w:sz w:val="24"/>
          <w:szCs w:val="24"/>
        </w:rPr>
        <w:t>mPEG-PGNSs</w:t>
      </w:r>
    </w:p>
    <w:p>
      <w:pPr>
        <w:autoSpaceDE w:val="0"/>
        <w:autoSpaceDN w:val="0"/>
        <w:adjustRightInd w:val="0"/>
        <w:spacing w:line="480" w:lineRule="auto"/>
        <w:ind w:firstLine="420"/>
        <w:rPr>
          <w:rFonts w:ascii="Times New Roman" w:hAnsi="Times New Roman" w:cs="Times New Roman"/>
          <w:b/>
          <w:sz w:val="24"/>
          <w:szCs w:val="24"/>
        </w:rPr>
      </w:pPr>
      <w:r>
        <w:rPr>
          <w:rFonts w:ascii="Times New Roman" w:hAnsi="Times New Roman" w:cs="Times New Roman"/>
          <w:sz w:val="24"/>
          <w:szCs w:val="24"/>
        </w:rPr>
        <w:t xml:space="preserve">FTIR spectroscopy (Figure S1) showed that </w:t>
      </w:r>
      <w:r>
        <w:rPr>
          <w:rFonts w:ascii="Times New Roman" w:hAnsi="Times New Roman" w:cs="Times New Roman"/>
          <w:bCs/>
          <w:sz w:val="24"/>
          <w:szCs w:val="24"/>
        </w:rPr>
        <w:t>a weak band near 2550 cm</w:t>
      </w:r>
      <w:r>
        <w:rPr>
          <w:rFonts w:ascii="Times New Roman" w:hAnsi="Times New Roman" w:eastAsia="微软雅黑" w:cs="Times New Roman"/>
          <w:bCs/>
          <w:sz w:val="24"/>
          <w:szCs w:val="24"/>
          <w:vertAlign w:val="superscript"/>
        </w:rPr>
        <w:t>−</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virtually existed in the mPEG-SH which confirmed the presence of the SH group, while the band was not observed in the spectra of mPEG-PGNSs that confirmed the S-Au interaction</w:t>
      </w:r>
      <w:r>
        <w:fldChar w:fldCharType="begin"/>
      </w:r>
      <w:r>
        <w:instrText xml:space="preserve"> HYPERLINK \l "_ENREF_4" \o "Aryal, 2006 #91" </w:instrText>
      </w:r>
      <w:r>
        <w:fldChar w:fldCharType="separate"/>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&lt;EndNote&gt;&lt;Cite&gt;&lt;Author&gt;Aryal&lt;/Author&gt;&lt;Year&gt;2006&lt;/Year&gt;&lt;RecNum&gt;91&lt;/RecNum&gt;&lt;DisplayText&gt;&lt;style face="superscript"&gt;4&lt;/style&gt;&lt;/DisplayText&gt;&lt;record&gt;&lt;rec-number&gt;91&lt;/rec-number&gt;&lt;foreign-keys&gt;&lt;key app="EN" db-id="d0f550xrqxv02gezpxpp0eag2wvd9dx5ex9a"&gt;91&lt;/key&gt;&lt;/foreign-keys&gt;&lt;ref-type name="Journal Article"&gt;17&lt;/ref-type&gt;&lt;contributors&gt;&lt;authors&gt;&lt;author&gt;Aryal, Santosh&lt;/author&gt;&lt;author&gt;B.K.C, Remant&lt;/author&gt;&lt;author&gt;Dharmaraj, N.&lt;/author&gt;&lt;author&gt;Bhattarai, Narayan&lt;/author&gt;&lt;author&gt;Kim, Chi Hun&lt;/author&gt;&lt;author&gt;Kim, Hak Yong&lt;/author&gt;&lt;/authors&gt;&lt;/contributors&gt;&lt;titles&gt;&lt;title&gt;Spectroscopic identification of SAu interaction in cysteine capped gold nanoparticles&lt;/title&gt;&lt;secondary-title&gt;Spectrochimica Acta Part A: Molecular and Biomolecular Spectroscopy&lt;/secondary-title&gt;&lt;/titles&gt;&lt;pages&gt;160-163&lt;/pages&gt;&lt;volume&gt;63&lt;/volume&gt;&lt;number&gt;1&lt;/number&gt;&lt;keywords&gt;&lt;keyword&gt;Cysteine&lt;/keyword&gt;&lt;keyword&gt;Gold nanoparticles&lt;/keyword&gt;&lt;keyword&gt;Stabilization&lt;/keyword&gt;&lt;keyword&gt;Thiols&lt;/keyword&gt;&lt;/keywords&gt;&lt;dates&gt;&lt;year&gt;2006&lt;/year&gt;&lt;pub-dates&gt;&lt;date&gt;2006/01/01/&lt;/date&gt;&lt;/pub-dates&gt;&lt;/dates&gt;&lt;isbn&gt;1386-1425&lt;/isbn&gt;&lt;urls&gt;&lt;related-urls&gt;&lt;url&gt;http://www.sciencedirect.com/science/article/pii/S1386142505002301&lt;/url&gt;&lt;/related-urls&gt;&lt;/urls&gt;&lt;electronic-resource-num&gt;https://doi.org/10.1016/j.saa.2005.04.048&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vertAlign w:val="superscript"/>
        </w:rPr>
        <w:t>4</w:t>
      </w:r>
      <w:r>
        <w:rPr>
          <w:rFonts w:ascii="Times New Roman" w:hAnsi="Times New Roman" w:cs="Times New Roman"/>
          <w:bCs/>
          <w:sz w:val="24"/>
          <w:szCs w:val="24"/>
        </w:rPr>
        <w:fldChar w:fldCharType="end"/>
      </w:r>
      <w:r>
        <w:rPr>
          <w:rFonts w:ascii="Times New Roman" w:hAnsi="Times New Roman" w:cs="Times New Roman"/>
          <w:bCs/>
          <w:sz w:val="24"/>
          <w:szCs w:val="24"/>
        </w:rPr>
        <w:fldChar w:fldCharType="end"/>
      </w:r>
      <w:r>
        <w:rPr>
          <w:rFonts w:ascii="Times New Roman" w:hAnsi="Times New Roman" w:cs="Times New Roman"/>
          <w:bCs/>
          <w:sz w:val="24"/>
          <w:szCs w:val="24"/>
        </w:rPr>
        <w:t>. The band near 2880 cm</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which existed in the mPEG and mPEG-PGNSs corresponded to the stretching vibration of CH</w:t>
      </w:r>
      <w:r>
        <w:rPr>
          <w:rFonts w:ascii="Times New Roman" w:hAnsi="Times New Roman" w:cs="Times New Roman"/>
          <w:bCs/>
          <w:sz w:val="24"/>
          <w:szCs w:val="24"/>
          <w:vertAlign w:val="subscript"/>
        </w:rPr>
        <w:t>2</w:t>
      </w:r>
      <w:r>
        <w:rPr>
          <w:rFonts w:ascii="Times New Roman" w:hAnsi="Times New Roman" w:cs="Times New Roman"/>
          <w:bCs/>
          <w:sz w:val="24"/>
          <w:szCs w:val="24"/>
        </w:rPr>
        <w:t xml:space="preserve"> in the mPEG chain.</w:t>
      </w:r>
    </w:p>
    <w:p>
      <w:pPr>
        <w:spacing w:line="480" w:lineRule="auto"/>
        <w:jc w:val="center"/>
        <w:rPr>
          <w:rFonts w:ascii="Times New Roman" w:hAnsi="Times New Roman" w:cs="Times New Roman"/>
          <w:sz w:val="24"/>
          <w:szCs w:val="24"/>
        </w:rPr>
      </w:pPr>
      <w:r>
        <w:rPr>
          <w:rFonts w:ascii="Times New Roman" w:hAnsi="Times New Roman" w:cs="Times New Roman"/>
          <w:sz w:val="24"/>
          <w:szCs w:val="24"/>
        </w:rPr>
        <w:drawing>
          <wp:inline distT="0" distB="0" distL="0" distR="0">
            <wp:extent cx="3790950" cy="3887470"/>
            <wp:effectExtent l="0" t="0" r="0" b="0"/>
            <wp:docPr id="4" name="图片 4" descr="E:\STUDY\YWQ\王茹师姐\BM文章\ACPS\图片\Fig.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STUDY\YWQ\王茹师姐\BM文章\ACPS\图片\Fig.S1.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791454" cy="3888006"/>
                    </a:xfrm>
                    <a:prstGeom prst="rect">
                      <a:avLst/>
                    </a:prstGeom>
                    <a:noFill/>
                    <a:ln>
                      <a:noFill/>
                    </a:ln>
                  </pic:spPr>
                </pic:pic>
              </a:graphicData>
            </a:graphic>
          </wp:inline>
        </w:drawing>
      </w:r>
    </w:p>
    <w:p>
      <w:pPr>
        <w:spacing w:line="480" w:lineRule="auto"/>
        <w:jc w:val="center"/>
        <w:rPr>
          <w:rFonts w:ascii="Times New Roman" w:hAnsi="Times New Roman" w:cs="Times New Roman"/>
          <w:sz w:val="24"/>
          <w:szCs w:val="24"/>
        </w:rPr>
      </w:pPr>
      <w:r>
        <w:rPr>
          <w:rFonts w:ascii="Times New Roman" w:hAnsi="Times New Roman" w:cs="Times New Roman"/>
          <w:b/>
          <w:sz w:val="24"/>
          <w:szCs w:val="24"/>
        </w:rPr>
        <w:t>Figure S1</w:t>
      </w:r>
      <w:r>
        <w:rPr>
          <w:rFonts w:ascii="Times New Roman" w:hAnsi="Times New Roman" w:cs="Times New Roman"/>
          <w:sz w:val="24"/>
          <w:szCs w:val="24"/>
        </w:rPr>
        <w:t xml:space="preserve">. Infrared spectra of PGNSs, mPEG-SH and </w:t>
      </w:r>
      <w:r>
        <w:rPr>
          <w:rFonts w:ascii="Times New Roman" w:hAnsi="Times New Roman" w:cs="Times New Roman"/>
          <w:bCs/>
          <w:sz w:val="24"/>
          <w:szCs w:val="24"/>
        </w:rPr>
        <w:t>mPEG-PGNSs.</w:t>
      </w:r>
    </w:p>
    <w:p>
      <w:pPr>
        <w:spacing w:line="480" w:lineRule="auto"/>
        <w:ind w:left="120" w:hanging="120" w:hangingChars="50"/>
        <w:rPr>
          <w:rFonts w:ascii="Times New Roman" w:hAnsi="Times New Roman" w:cs="Times New Roman"/>
          <w:b/>
          <w:bCs/>
          <w:sz w:val="24"/>
          <w:szCs w:val="24"/>
        </w:rPr>
      </w:pPr>
      <w:r>
        <w:rPr>
          <w:rFonts w:ascii="Times New Roman" w:hAnsi="Times New Roman" w:cs="Times New Roman"/>
          <w:b/>
          <w:bCs/>
          <w:sz w:val="24"/>
          <w:szCs w:val="24"/>
        </w:rPr>
        <w:t>2.2</w:t>
      </w:r>
      <w:r>
        <w:rPr>
          <w:rFonts w:ascii="Times New Roman" w:hAnsi="Times New Roman" w:cs="Times New Roman"/>
          <w:b/>
          <w:bCs/>
          <w:sz w:val="24"/>
          <w:szCs w:val="24"/>
        </w:rPr>
        <w:tab/>
      </w:r>
      <w:r>
        <w:rPr>
          <w:rFonts w:ascii="Times New Roman" w:hAnsi="Times New Roman" w:cs="Times New Roman"/>
          <w:b/>
          <w:bCs/>
          <w:sz w:val="24"/>
          <w:szCs w:val="24"/>
        </w:rPr>
        <w:t>The connection ratio between Herceptin and Au for mPEG/HER-PGNSs and DM1-mPEG/HER-PGNSs</w:t>
      </w:r>
    </w:p>
    <w:p>
      <w:pPr>
        <w:spacing w:line="480" w:lineRule="auto"/>
        <w:ind w:firstLine="420"/>
        <w:rPr>
          <w:rFonts w:ascii="Times New Roman" w:hAnsi="Times New Roman" w:cs="Times New Roman"/>
          <w:sz w:val="24"/>
          <w:szCs w:val="24"/>
        </w:rPr>
      </w:pPr>
      <w:r>
        <w:rPr>
          <w:rFonts w:ascii="Times New Roman" w:hAnsi="Times New Roman" w:cs="Times New Roman"/>
          <w:sz w:val="24"/>
          <w:szCs w:val="24"/>
        </w:rPr>
        <w:t>Plotting the absorption of the standard solution against the concentration of the protein, the protein standard curve was drawn in Figure S2, and we could find that good linearity between Abs and the protein concentration existed in the range of 0 to 500 μg mL</w:t>
      </w:r>
      <w:r>
        <w:rPr>
          <w:rFonts w:ascii="Times New Roman" w:hAnsi="Times New Roman" w:cs="Times New Roman"/>
          <w:sz w:val="24"/>
          <w:szCs w:val="24"/>
          <w:vertAlign w:val="superscript"/>
        </w:rPr>
        <w:t>-1</w:t>
      </w:r>
      <w:r>
        <w:rPr>
          <w:rFonts w:ascii="Times New Roman" w:hAnsi="Times New Roman" w:cs="Times New Roman"/>
          <w:sz w:val="24"/>
          <w:szCs w:val="24"/>
        </w:rPr>
        <w:t xml:space="preserve"> (A=0.000881*C+0.01139, R</w:t>
      </w:r>
      <w:r>
        <w:rPr>
          <w:rFonts w:ascii="Times New Roman" w:hAnsi="Times New Roman" w:cs="Times New Roman"/>
          <w:sz w:val="24"/>
          <w:szCs w:val="24"/>
          <w:vertAlign w:val="superscript"/>
        </w:rPr>
        <w:t>2</w:t>
      </w:r>
      <w:r>
        <w:rPr>
          <w:rFonts w:ascii="Times New Roman" w:hAnsi="Times New Roman" w:cs="Times New Roman"/>
          <w:sz w:val="24"/>
          <w:szCs w:val="24"/>
        </w:rPr>
        <w:t>=0.998). After detection of the free Herceptin in the supernatant, the connection ratio between Herceptin and PGNSs was determined and is showed in Table S2.</w:t>
      </w:r>
    </w:p>
    <w:p>
      <w:pPr>
        <w:spacing w:line="480" w:lineRule="auto"/>
        <w:jc w:val="center"/>
        <w:rPr>
          <w:rFonts w:ascii="Times New Roman" w:hAnsi="Times New Roman" w:cs="Times New Roman"/>
          <w:sz w:val="24"/>
          <w:szCs w:val="24"/>
        </w:rPr>
      </w:pPr>
      <w:r>
        <w:rPr>
          <w:rFonts w:ascii="Times New Roman" w:hAnsi="Times New Roman" w:cs="Times New Roman"/>
          <w:b/>
          <w:sz w:val="24"/>
          <w:szCs w:val="24"/>
        </w:rPr>
        <w:t xml:space="preserve">Table S2. </w:t>
      </w:r>
      <w:r>
        <w:rPr>
          <w:rFonts w:ascii="Times New Roman" w:hAnsi="Times New Roman" w:cs="Times New Roman"/>
          <w:sz w:val="24"/>
          <w:szCs w:val="24"/>
        </w:rPr>
        <w:t xml:space="preserve">Combined ratio of mPEG/HER-PGNSs and DM-mPEG/HER-PGNSs </w:t>
      </w:r>
    </w:p>
    <w:tbl>
      <w:tblPr>
        <w:tblStyle w:val="16"/>
        <w:tblW w:w="0" w:type="auto"/>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903"/>
        <w:gridCol w:w="2907"/>
        <w:gridCol w:w="292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47" w:hRule="atLeast"/>
          <w:jc w:val="center"/>
        </w:trPr>
        <w:tc>
          <w:tcPr>
            <w:tcW w:w="2903" w:type="dxa"/>
            <w:shd w:val="clear" w:color="auto" w:fill="auto"/>
          </w:tcPr>
          <w:p>
            <w:pPr>
              <w:spacing w:line="480" w:lineRule="auto"/>
              <w:jc w:val="center"/>
              <w:rPr>
                <w:rFonts w:ascii="Times New Roman" w:hAnsi="Times New Roman" w:cs="Times New Roman"/>
                <w:sz w:val="24"/>
                <w:szCs w:val="24"/>
              </w:rPr>
            </w:pPr>
          </w:p>
        </w:tc>
        <w:tc>
          <w:tcPr>
            <w:tcW w:w="2907" w:type="dxa"/>
            <w:shd w:val="clear" w:color="auto" w:fill="auto"/>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mPEG/HER-PGNSs</w:t>
            </w:r>
          </w:p>
        </w:tc>
        <w:tc>
          <w:tcPr>
            <w:tcW w:w="2920" w:type="dxa"/>
            <w:shd w:val="clear" w:color="auto" w:fill="auto"/>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DM-mPEG/HER-PGNSs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0" w:hRule="atLeast"/>
          <w:jc w:val="center"/>
        </w:trPr>
        <w:tc>
          <w:tcPr>
            <w:tcW w:w="2903" w:type="dxa"/>
            <w:shd w:val="clear" w:color="auto" w:fill="auto"/>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mHER/mAu</w:t>
            </w:r>
          </w:p>
        </w:tc>
        <w:tc>
          <w:tcPr>
            <w:tcW w:w="2907" w:type="dxa"/>
            <w:shd w:val="clear" w:color="auto" w:fill="auto"/>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38.6±6.8%</w:t>
            </w:r>
          </w:p>
        </w:tc>
        <w:tc>
          <w:tcPr>
            <w:tcW w:w="2920" w:type="dxa"/>
            <w:shd w:val="clear" w:color="auto" w:fill="auto"/>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35.1±0.3%</w:t>
            </w:r>
          </w:p>
        </w:tc>
      </w:tr>
    </w:tbl>
    <w:p>
      <w:pPr>
        <w:spacing w:line="480" w:lineRule="auto"/>
        <w:jc w:val="center"/>
        <w:rPr>
          <w:rFonts w:ascii="Times New Roman" w:hAnsi="Times New Roman" w:cs="Times New Roman"/>
          <w:b/>
          <w:bCs/>
          <w:sz w:val="24"/>
          <w:szCs w:val="24"/>
        </w:rPr>
      </w:pPr>
      <w:r>
        <w:rPr>
          <w:rFonts w:ascii="Times New Roman" w:hAnsi="Times New Roman" w:cs="Times New Roman"/>
          <w:sz w:val="24"/>
          <w:szCs w:val="24"/>
        </w:rPr>
        <w:drawing>
          <wp:inline distT="0" distB="0" distL="0" distR="0">
            <wp:extent cx="3387090" cy="2500630"/>
            <wp:effectExtent l="0" t="0" r="0" b="0"/>
            <wp:docPr id="2" name="Picture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6">
                      <a:extLst>
                        <a:ext uri="{28A0092B-C50C-407E-A947-70E740481C1C}">
                          <a14:useLocalDpi xmlns:a14="http://schemas.microsoft.com/office/drawing/2010/main" val="0"/>
                        </a:ext>
                      </a:extLst>
                    </a:blip>
                    <a:srcRect/>
                    <a:stretch>
                      <a:fillRect/>
                    </a:stretch>
                  </pic:blipFill>
                  <pic:spPr>
                    <a:xfrm>
                      <a:off x="0" y="0"/>
                      <a:ext cx="3391587" cy="2503810"/>
                    </a:xfrm>
                    <a:prstGeom prst="rect">
                      <a:avLst/>
                    </a:prstGeom>
                    <a:noFill/>
                    <a:ln>
                      <a:noFill/>
                    </a:ln>
                  </pic:spPr>
                </pic:pic>
              </a:graphicData>
            </a:graphic>
          </wp:inline>
        </w:drawing>
      </w:r>
    </w:p>
    <w:p>
      <w:pPr>
        <w:autoSpaceDE w:val="0"/>
        <w:autoSpaceDN w:val="0"/>
        <w:adjustRightInd w:val="0"/>
        <w:spacing w:line="480" w:lineRule="auto"/>
        <w:rPr>
          <w:rFonts w:ascii="Times New Roman" w:hAnsi="Times New Roman" w:cs="Times New Roman"/>
          <w:b/>
          <w:sz w:val="24"/>
          <w:szCs w:val="24"/>
        </w:rPr>
      </w:pPr>
      <w:r>
        <w:rPr>
          <w:rFonts w:ascii="Times New Roman" w:hAnsi="Times New Roman" w:cs="Times New Roman"/>
          <w:b/>
          <w:sz w:val="24"/>
          <w:szCs w:val="24"/>
        </w:rPr>
        <w:t xml:space="preserve">Figure </w:t>
      </w:r>
      <w:r>
        <w:rPr>
          <w:rFonts w:ascii="Times New Roman" w:hAnsi="Times New Roman" w:cs="Times New Roman"/>
          <w:b/>
          <w:bCs/>
          <w:sz w:val="24"/>
          <w:szCs w:val="24"/>
        </w:rPr>
        <w:t>S2</w:t>
      </w:r>
      <w:r>
        <w:rPr>
          <w:rFonts w:ascii="Times New Roman" w:hAnsi="Times New Roman" w:cs="Times New Roman"/>
          <w:bCs/>
          <w:sz w:val="24"/>
          <w:szCs w:val="24"/>
        </w:rPr>
        <w:t>.</w:t>
      </w:r>
      <w:r>
        <w:rPr>
          <w:rFonts w:ascii="Times New Roman" w:hAnsi="Times New Roman" w:cs="Times New Roman"/>
          <w:sz w:val="24"/>
          <w:szCs w:val="24"/>
        </w:rPr>
        <w:t xml:space="preserve"> The protein standard curve </w:t>
      </w:r>
      <w:r>
        <w:rPr>
          <w:rFonts w:ascii="Times New Roman" w:hAnsi="Times New Roman" w:cs="Times New Roman"/>
          <w:b/>
          <w:sz w:val="24"/>
          <w:szCs w:val="24"/>
        </w:rPr>
        <w:t>2.3</w:t>
      </w:r>
      <w:r>
        <w:rPr>
          <w:rFonts w:ascii="Times New Roman" w:hAnsi="Times New Roman" w:cs="Times New Roman"/>
          <w:b/>
          <w:sz w:val="24"/>
          <w:szCs w:val="24"/>
        </w:rPr>
        <w:tab/>
      </w:r>
      <w:r>
        <w:rPr>
          <w:rFonts w:ascii="Times New Roman" w:hAnsi="Times New Roman" w:cs="Times New Roman"/>
          <w:b/>
          <w:sz w:val="24"/>
          <w:szCs w:val="24"/>
        </w:rPr>
        <w:t xml:space="preserve">Evaluation of </w:t>
      </w:r>
      <w:r>
        <w:rPr>
          <w:rFonts w:hint="eastAsia" w:ascii="Times New Roman" w:hAnsi="Times New Roman" w:cs="Times New Roman"/>
          <w:b/>
          <w:sz w:val="24"/>
          <w:szCs w:val="24"/>
        </w:rPr>
        <w:t>Her</w:t>
      </w:r>
      <w:r>
        <w:rPr>
          <w:rFonts w:ascii="Times New Roman" w:hAnsi="Times New Roman" w:cs="Times New Roman"/>
          <w:b/>
          <w:sz w:val="24"/>
          <w:szCs w:val="24"/>
        </w:rPr>
        <w:t xml:space="preserve">-2 gene expression by real time-PCR and </w:t>
      </w:r>
      <w:r>
        <w:rPr>
          <w:rFonts w:hint="eastAsia" w:ascii="Times New Roman" w:hAnsi="Times New Roman" w:cs="Times New Roman"/>
          <w:b/>
          <w:sz w:val="24"/>
          <w:szCs w:val="24"/>
        </w:rPr>
        <w:t>Her</w:t>
      </w:r>
      <w:r>
        <w:rPr>
          <w:rFonts w:ascii="Times New Roman" w:hAnsi="Times New Roman" w:cs="Times New Roman"/>
          <w:b/>
          <w:sz w:val="24"/>
          <w:szCs w:val="24"/>
        </w:rPr>
        <w:t xml:space="preserve">-2 protein by Western blotting and immunofluorescent detection </w:t>
      </w:r>
    </w:p>
    <w:p>
      <w:pPr>
        <w:autoSpaceDE w:val="0"/>
        <w:autoSpaceDN w:val="0"/>
        <w:adjustRightInd w:val="0"/>
        <w:spacing w:line="480" w:lineRule="auto"/>
        <w:ind w:firstLine="420"/>
        <w:rPr>
          <w:rFonts w:ascii="Times New Roman" w:hAnsi="Times New Roman" w:cs="Times New Roman"/>
          <w:sz w:val="24"/>
          <w:szCs w:val="24"/>
        </w:rPr>
      </w:pPr>
      <w:r>
        <w:rPr>
          <w:rFonts w:ascii="Times New Roman" w:hAnsi="Times New Roman" w:cs="Times New Roman"/>
          <w:sz w:val="24"/>
          <w:szCs w:val="24"/>
        </w:rPr>
        <w:t xml:space="preserve">Four kinds of breast cancer cells (MCF-7 cells, SK-BR-3 cells, BT474 cells and MDA-MB-453 cells) were used here to assess </w:t>
      </w:r>
      <w:r>
        <w:rPr>
          <w:rFonts w:hint="eastAsia" w:ascii="Times New Roman" w:hAnsi="Times New Roman" w:cs="Times New Roman"/>
          <w:sz w:val="24"/>
          <w:szCs w:val="24"/>
        </w:rPr>
        <w:t>Her</w:t>
      </w:r>
      <w:r>
        <w:rPr>
          <w:rFonts w:ascii="Times New Roman" w:hAnsi="Times New Roman" w:cs="Times New Roman"/>
          <w:sz w:val="24"/>
          <w:szCs w:val="24"/>
        </w:rPr>
        <w:t>-2 gene expression with real time-PCR.</w:t>
      </w:r>
      <w:r>
        <w:rPr>
          <w:rFonts w:ascii="Times New Roman" w:hAnsi="Times New Roman" w:cs="Times New Roman"/>
          <w:kern w:val="0"/>
          <w:sz w:val="24"/>
          <w:szCs w:val="24"/>
        </w:rPr>
        <w:t xml:space="preserve"> </w:t>
      </w:r>
      <w:r>
        <w:rPr>
          <w:rFonts w:ascii="Times New Roman" w:hAnsi="Times New Roman" w:cs="Times New Roman"/>
          <w:sz w:val="24"/>
          <w:szCs w:val="24"/>
        </w:rPr>
        <w:t xml:space="preserve">As shown in Figure S3A, </w:t>
      </w:r>
      <w:r>
        <w:rPr>
          <w:rFonts w:hint="eastAsia" w:ascii="Times New Roman" w:hAnsi="Times New Roman" w:cs="Times New Roman"/>
          <w:sz w:val="24"/>
          <w:szCs w:val="24"/>
        </w:rPr>
        <w:t>Her</w:t>
      </w:r>
      <w:r>
        <w:rPr>
          <w:rFonts w:ascii="Times New Roman" w:hAnsi="Times New Roman" w:cs="Times New Roman"/>
          <w:sz w:val="24"/>
          <w:szCs w:val="24"/>
        </w:rPr>
        <w:t>-2 protein was overexpressed in SK-BR-3 cells, BT474 cells and MDA-MB-453 cells, instead of MCF-7 cells.  In addition, the gene expression in MDA-MB-453 cells was 21-fold higher than in MCF-7, while it was 4-fold and 9-fold higher for SK-BR-3 and BT474 cells, respectively.</w:t>
      </w:r>
    </w:p>
    <w:p>
      <w:pPr>
        <w:autoSpaceDE w:val="0"/>
        <w:autoSpaceDN w:val="0"/>
        <w:adjustRightInd w:val="0"/>
        <w:spacing w:line="480" w:lineRule="auto"/>
        <w:ind w:firstLine="420"/>
        <w:rPr>
          <w:rFonts w:ascii="Times New Roman" w:hAnsi="Times New Roman" w:cs="Times New Roman"/>
          <w:sz w:val="24"/>
          <w:szCs w:val="24"/>
        </w:rPr>
      </w:pPr>
      <w:r>
        <w:rPr>
          <w:rFonts w:ascii="Times New Roman" w:hAnsi="Times New Roman" w:cs="Times New Roman"/>
          <w:sz w:val="24"/>
          <w:szCs w:val="24"/>
        </w:rPr>
        <w:t xml:space="preserve">Western blot analysis was used to test the </w:t>
      </w:r>
      <w:r>
        <w:rPr>
          <w:rFonts w:hint="eastAsia" w:ascii="Times New Roman" w:hAnsi="Times New Roman" w:cs="Times New Roman"/>
          <w:sz w:val="24"/>
          <w:szCs w:val="24"/>
        </w:rPr>
        <w:t>Her</w:t>
      </w:r>
      <w:r>
        <w:rPr>
          <w:rFonts w:ascii="Times New Roman" w:hAnsi="Times New Roman" w:cs="Times New Roman"/>
          <w:sz w:val="24"/>
          <w:szCs w:val="24"/>
        </w:rPr>
        <w:t xml:space="preserve">-2 protein expression in order to verify the </w:t>
      </w:r>
      <w:r>
        <w:rPr>
          <w:rFonts w:hint="eastAsia" w:ascii="Times New Roman" w:hAnsi="Times New Roman" w:cs="Times New Roman"/>
          <w:sz w:val="24"/>
          <w:szCs w:val="24"/>
        </w:rPr>
        <w:t>Her</w:t>
      </w:r>
      <w:r>
        <w:rPr>
          <w:rFonts w:ascii="Times New Roman" w:hAnsi="Times New Roman" w:cs="Times New Roman"/>
          <w:sz w:val="24"/>
          <w:szCs w:val="24"/>
        </w:rPr>
        <w:t xml:space="preserve">-2 highly-expressed cells and we found that SK-BR-3 cells, BT474 cells and MDA-MB-453 cells overexpressed </w:t>
      </w:r>
      <w:r>
        <w:rPr>
          <w:rFonts w:hint="eastAsia" w:ascii="Times New Roman" w:hAnsi="Times New Roman" w:cs="Times New Roman"/>
          <w:sz w:val="24"/>
          <w:szCs w:val="24"/>
        </w:rPr>
        <w:t>Her</w:t>
      </w:r>
      <w:r>
        <w:rPr>
          <w:rFonts w:ascii="Times New Roman" w:hAnsi="Times New Roman" w:cs="Times New Roman"/>
          <w:sz w:val="24"/>
          <w:szCs w:val="24"/>
        </w:rPr>
        <w:t xml:space="preserve">-2 compared to MCF-7 (Figure S3B and Table S3). However, </w:t>
      </w:r>
      <w:r>
        <w:rPr>
          <w:rFonts w:hint="eastAsia" w:ascii="Times New Roman" w:hAnsi="Times New Roman" w:cs="Times New Roman"/>
          <w:sz w:val="24"/>
          <w:szCs w:val="24"/>
        </w:rPr>
        <w:t>Her</w:t>
      </w:r>
      <w:r>
        <w:rPr>
          <w:rFonts w:ascii="Times New Roman" w:hAnsi="Times New Roman" w:cs="Times New Roman"/>
          <w:sz w:val="24"/>
          <w:szCs w:val="24"/>
        </w:rPr>
        <w:t xml:space="preserve">-2 protein expression in MDA-MB-453 cells was less than the others while for the SK-BR-3 cells it was the highest, which was different with the real time-PCR results. This may be attributed to the </w:t>
      </w:r>
      <w:bookmarkStart w:id="23" w:name="OLE_LINK9"/>
      <w:r>
        <w:rPr>
          <w:rFonts w:ascii="Times New Roman" w:hAnsi="Times New Roman" w:cs="Times New Roman"/>
          <w:sz w:val="24"/>
          <w:szCs w:val="24"/>
        </w:rPr>
        <w:t>incomplet</w:t>
      </w:r>
      <w:bookmarkEnd w:id="23"/>
      <w:r>
        <w:rPr>
          <w:rFonts w:ascii="Times New Roman" w:hAnsi="Times New Roman" w:cs="Times New Roman"/>
          <w:sz w:val="24"/>
          <w:szCs w:val="24"/>
        </w:rPr>
        <w:t xml:space="preserve">e </w:t>
      </w:r>
      <w:r>
        <w:rPr>
          <w:rFonts w:ascii="Times New Roman" w:hAnsi="Times New Roman" w:cs="Times New Roman"/>
          <w:sz w:val="24"/>
          <w:szCs w:val="24"/>
          <w:shd w:val="clear" w:color="auto" w:fill="FCFCFE"/>
        </w:rPr>
        <w:t xml:space="preserve">transcription of mRNA to </w:t>
      </w:r>
      <w:r>
        <w:rPr>
          <w:rFonts w:hint="eastAsia" w:ascii="Times New Roman" w:hAnsi="Times New Roman" w:cs="Times New Roman"/>
          <w:sz w:val="24"/>
          <w:szCs w:val="24"/>
        </w:rPr>
        <w:t>Her</w:t>
      </w:r>
      <w:r>
        <w:rPr>
          <w:rFonts w:ascii="Times New Roman" w:hAnsi="Times New Roman" w:cs="Times New Roman"/>
          <w:sz w:val="24"/>
          <w:szCs w:val="24"/>
        </w:rPr>
        <w:t>-2</w:t>
      </w:r>
      <w:r>
        <w:rPr>
          <w:rFonts w:ascii="Times New Roman" w:hAnsi="Times New Roman" w:cs="Times New Roman"/>
          <w:sz w:val="24"/>
          <w:szCs w:val="24"/>
          <w:shd w:val="clear" w:color="auto" w:fill="FCFCFE"/>
        </w:rPr>
        <w:t xml:space="preserve"> protein. </w:t>
      </w:r>
      <w:r>
        <w:rPr>
          <w:rFonts w:ascii="Times New Roman" w:hAnsi="Times New Roman" w:cs="Times New Roman"/>
          <w:sz w:val="24"/>
          <w:szCs w:val="24"/>
        </w:rPr>
        <w:t xml:space="preserve">As further evidence, the immunofluorescence observation (Figure S3C) was in accordance with the Western blotting results, showing the highest </w:t>
      </w:r>
      <w:r>
        <w:rPr>
          <w:rFonts w:hint="eastAsia" w:ascii="Times New Roman" w:hAnsi="Times New Roman" w:cs="Times New Roman"/>
          <w:sz w:val="24"/>
          <w:szCs w:val="24"/>
        </w:rPr>
        <w:t>Her</w:t>
      </w:r>
      <w:r>
        <w:rPr>
          <w:rFonts w:ascii="Times New Roman" w:hAnsi="Times New Roman" w:cs="Times New Roman"/>
          <w:sz w:val="24"/>
          <w:szCs w:val="24"/>
        </w:rPr>
        <w:t xml:space="preserve">-2 expression in SK-BR-3 cells. </w:t>
      </w:r>
      <w:r>
        <w:rPr>
          <w:rFonts w:hint="eastAsia" w:ascii="Times New Roman" w:hAnsi="Times New Roman" w:cs="Times New Roman"/>
          <w:sz w:val="24"/>
          <w:szCs w:val="24"/>
        </w:rPr>
        <w:t>Her</w:t>
      </w:r>
      <w:r>
        <w:rPr>
          <w:rFonts w:ascii="Times New Roman" w:hAnsi="Times New Roman" w:cs="Times New Roman"/>
          <w:sz w:val="24"/>
          <w:szCs w:val="24"/>
        </w:rPr>
        <w:t xml:space="preserve">-2 overlapped with the distribution of the nuclei in the SK-BR-3 cells, suggesting we could use SK-BR-3 cells as the </w:t>
      </w:r>
      <w:r>
        <w:rPr>
          <w:rFonts w:hint="eastAsia" w:ascii="Times New Roman" w:hAnsi="Times New Roman" w:cs="Times New Roman"/>
          <w:sz w:val="24"/>
          <w:szCs w:val="24"/>
        </w:rPr>
        <w:t>Her</w:t>
      </w:r>
      <w:r>
        <w:rPr>
          <w:rFonts w:ascii="Times New Roman" w:hAnsi="Times New Roman" w:cs="Times New Roman"/>
          <w:sz w:val="24"/>
          <w:szCs w:val="24"/>
        </w:rPr>
        <w:t>-2 high-expressed cells to conduct in vitro and vivo experiments.</w:t>
      </w:r>
    </w:p>
    <w:p>
      <w:pPr>
        <w:autoSpaceDE w:val="0"/>
        <w:autoSpaceDN w:val="0"/>
        <w:adjustRightInd w:val="0"/>
        <w:spacing w:line="480" w:lineRule="auto"/>
        <w:ind w:firstLine="420"/>
        <w:rPr>
          <w:rFonts w:ascii="Times New Roman" w:hAnsi="Times New Roman" w:cs="Times New Roman"/>
          <w:sz w:val="24"/>
          <w:szCs w:val="24"/>
        </w:rPr>
      </w:pPr>
      <w:r>
        <w:rPr>
          <w:rFonts w:ascii="Times New Roman" w:hAnsi="Times New Roman" w:cs="Times New Roman"/>
          <w:b/>
          <w:sz w:val="24"/>
          <w:szCs w:val="24"/>
        </w:rPr>
        <w:t>Table S3</w:t>
      </w:r>
      <w:r>
        <w:rPr>
          <w:rFonts w:ascii="Times New Roman" w:hAnsi="Times New Roman" w:cs="Times New Roman"/>
          <w:sz w:val="24"/>
          <w:szCs w:val="24"/>
        </w:rPr>
        <w:t xml:space="preserve">. Gray values of </w:t>
      </w:r>
      <w:r>
        <w:rPr>
          <w:rFonts w:hint="eastAsia" w:ascii="Times New Roman" w:hAnsi="Times New Roman" w:cs="Times New Roman"/>
          <w:sz w:val="24"/>
          <w:szCs w:val="24"/>
        </w:rPr>
        <w:t>Her</w:t>
      </w:r>
      <w:r>
        <w:rPr>
          <w:rFonts w:ascii="Times New Roman" w:hAnsi="Times New Roman" w:cs="Times New Roman"/>
          <w:sz w:val="24"/>
          <w:szCs w:val="24"/>
        </w:rPr>
        <w:t>-2 protein expression among four different breast cancer cells.</w:t>
      </w:r>
    </w:p>
    <w:tbl>
      <w:tblPr>
        <w:tblStyle w:val="16"/>
        <w:tblW w:w="7655" w:type="dxa"/>
        <w:jc w:val="center"/>
        <w:tblLayout w:type="autofit"/>
        <w:tblCellMar>
          <w:top w:w="0" w:type="dxa"/>
          <w:left w:w="0" w:type="dxa"/>
          <w:bottom w:w="0" w:type="dxa"/>
          <w:right w:w="0" w:type="dxa"/>
        </w:tblCellMar>
      </w:tblPr>
      <w:tblGrid>
        <w:gridCol w:w="1843"/>
        <w:gridCol w:w="1134"/>
        <w:gridCol w:w="2035"/>
        <w:gridCol w:w="1002"/>
        <w:gridCol w:w="1651"/>
      </w:tblGrid>
      <w:tr>
        <w:tblPrEx>
          <w:tblCellMar>
            <w:top w:w="0" w:type="dxa"/>
            <w:left w:w="0" w:type="dxa"/>
            <w:bottom w:w="0" w:type="dxa"/>
            <w:right w:w="0" w:type="dxa"/>
          </w:tblCellMar>
        </w:tblPrEx>
        <w:trPr>
          <w:trHeight w:val="290" w:hRule="atLeast"/>
          <w:jc w:val="center"/>
        </w:trPr>
        <w:tc>
          <w:tcPr>
            <w:tcW w:w="1843" w:type="dxa"/>
            <w:tcBorders>
              <w:top w:val="single" w:color="auto" w:sz="8" w:space="0"/>
              <w:left w:val="nil"/>
              <w:bottom w:val="single" w:color="auto" w:sz="4" w:space="0"/>
              <w:right w:val="nil"/>
            </w:tcBorders>
            <w:shd w:val="clear" w:color="auto" w:fill="auto"/>
            <w:noWrap/>
            <w:tcMar>
              <w:top w:w="15" w:type="dxa"/>
              <w:left w:w="15" w:type="dxa"/>
              <w:bottom w:w="0" w:type="dxa"/>
              <w:right w:w="15" w:type="dxa"/>
            </w:tcMar>
            <w:vAlign w:val="center"/>
          </w:tcPr>
          <w:p>
            <w:pPr>
              <w:widowControl/>
              <w:spacing w:line="480" w:lineRule="auto"/>
              <w:jc w:val="center"/>
              <w:rPr>
                <w:rFonts w:ascii="Times New Roman" w:hAnsi="Times New Roman" w:cs="Times New Roman"/>
                <w:sz w:val="24"/>
                <w:szCs w:val="24"/>
              </w:rPr>
            </w:pPr>
            <w:r>
              <w:rPr>
                <w:rFonts w:ascii="Times New Roman" w:hAnsi="Times New Roman" w:cs="Times New Roman"/>
                <w:sz w:val="24"/>
                <w:szCs w:val="24"/>
              </w:rPr>
              <w:t>　</w:t>
            </w:r>
          </w:p>
        </w:tc>
        <w:tc>
          <w:tcPr>
            <w:tcW w:w="1134" w:type="dxa"/>
            <w:tcBorders>
              <w:top w:val="single" w:color="auto" w:sz="8" w:space="0"/>
              <w:left w:val="nil"/>
              <w:bottom w:val="single" w:color="auto" w:sz="4"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MCF-7</w:t>
            </w:r>
          </w:p>
        </w:tc>
        <w:tc>
          <w:tcPr>
            <w:tcW w:w="2035" w:type="dxa"/>
            <w:tcBorders>
              <w:top w:val="single" w:color="auto" w:sz="8" w:space="0"/>
              <w:left w:val="nil"/>
              <w:bottom w:val="single" w:color="auto" w:sz="4"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MDA-MB-453</w:t>
            </w:r>
          </w:p>
        </w:tc>
        <w:tc>
          <w:tcPr>
            <w:tcW w:w="992" w:type="dxa"/>
            <w:tcBorders>
              <w:top w:val="single" w:color="auto" w:sz="8" w:space="0"/>
              <w:left w:val="nil"/>
              <w:bottom w:val="single" w:color="auto" w:sz="4"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BT474</w:t>
            </w:r>
          </w:p>
        </w:tc>
        <w:tc>
          <w:tcPr>
            <w:tcW w:w="1651" w:type="dxa"/>
            <w:tcBorders>
              <w:top w:val="single" w:color="auto" w:sz="8" w:space="0"/>
              <w:left w:val="nil"/>
              <w:bottom w:val="single" w:color="auto" w:sz="4"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SK-BR-3</w:t>
            </w:r>
          </w:p>
        </w:tc>
      </w:tr>
      <w:tr>
        <w:tblPrEx>
          <w:tblCellMar>
            <w:top w:w="0" w:type="dxa"/>
            <w:left w:w="0" w:type="dxa"/>
            <w:bottom w:w="0" w:type="dxa"/>
            <w:right w:w="0" w:type="dxa"/>
          </w:tblCellMar>
        </w:tblPrEx>
        <w:trPr>
          <w:trHeight w:val="290" w:hRule="atLeast"/>
          <w:jc w:val="center"/>
        </w:trPr>
        <w:tc>
          <w:tcPr>
            <w:tcW w:w="1843" w:type="dxa"/>
            <w:tcBorders>
              <w:top w:val="single" w:color="auto" w:sz="4" w:space="0"/>
              <w:left w:val="nil"/>
              <w:bottom w:val="single" w:color="auto" w:sz="8"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hint="eastAsia" w:ascii="Times New Roman" w:hAnsi="Times New Roman" w:cs="Times New Roman"/>
                <w:sz w:val="24"/>
                <w:szCs w:val="24"/>
              </w:rPr>
              <w:t>Her</w:t>
            </w:r>
            <w:r>
              <w:rPr>
                <w:rFonts w:ascii="Times New Roman" w:hAnsi="Times New Roman" w:cs="Times New Roman"/>
                <w:sz w:val="24"/>
                <w:szCs w:val="24"/>
              </w:rPr>
              <w:t>-2/GAPDH</w:t>
            </w:r>
          </w:p>
        </w:tc>
        <w:tc>
          <w:tcPr>
            <w:tcW w:w="1134" w:type="dxa"/>
            <w:tcBorders>
              <w:top w:val="single" w:color="auto" w:sz="4" w:space="0"/>
              <w:left w:val="nil"/>
              <w:bottom w:val="single" w:color="auto" w:sz="8"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0.10±0.03 </w:t>
            </w:r>
          </w:p>
        </w:tc>
        <w:tc>
          <w:tcPr>
            <w:tcW w:w="2035" w:type="dxa"/>
            <w:tcBorders>
              <w:top w:val="single" w:color="auto" w:sz="4" w:space="0"/>
              <w:left w:val="nil"/>
              <w:bottom w:val="single" w:color="auto" w:sz="8"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0.28±0.04</w:t>
            </w:r>
          </w:p>
        </w:tc>
        <w:tc>
          <w:tcPr>
            <w:tcW w:w="992" w:type="dxa"/>
            <w:tcBorders>
              <w:top w:val="single" w:color="auto" w:sz="4" w:space="0"/>
              <w:left w:val="nil"/>
              <w:bottom w:val="single" w:color="auto" w:sz="8"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0.60±0.08 </w:t>
            </w:r>
          </w:p>
        </w:tc>
        <w:tc>
          <w:tcPr>
            <w:tcW w:w="1651" w:type="dxa"/>
            <w:tcBorders>
              <w:top w:val="single" w:color="auto" w:sz="4" w:space="0"/>
              <w:left w:val="nil"/>
              <w:bottom w:val="single" w:color="auto" w:sz="8" w:space="0"/>
              <w:right w:val="nil"/>
            </w:tcBorders>
            <w:shd w:val="clear" w:color="auto" w:fill="auto"/>
            <w:noWrap/>
            <w:tcMar>
              <w:top w:w="15" w:type="dxa"/>
              <w:left w:w="15" w:type="dxa"/>
              <w:bottom w:w="0" w:type="dxa"/>
              <w:right w:w="15" w:type="dxa"/>
            </w:tcMar>
            <w:vAlign w:val="center"/>
          </w:tcPr>
          <w:p>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0.74±0.05 </w:t>
            </w:r>
          </w:p>
        </w:tc>
      </w:tr>
    </w:tbl>
    <w:p>
      <w:pPr>
        <w:autoSpaceDE w:val="0"/>
        <w:autoSpaceDN w:val="0"/>
        <w:adjustRightInd w:val="0"/>
        <w:spacing w:line="480" w:lineRule="auto"/>
        <w:jc w:val="left"/>
        <w:rPr>
          <w:rFonts w:ascii="Times New Roman" w:hAnsi="Times New Roman" w:cs="Times New Roman"/>
          <w:b/>
          <w:sz w:val="24"/>
          <w:szCs w:val="24"/>
        </w:rPr>
      </w:pPr>
    </w:p>
    <w:p>
      <w:pPr>
        <w:autoSpaceDE w:val="0"/>
        <w:autoSpaceDN w:val="0"/>
        <w:adjustRightInd w:val="0"/>
        <w:spacing w:line="480" w:lineRule="auto"/>
        <w:jc w:val="center"/>
        <w:rPr>
          <w:rFonts w:ascii="Times New Roman" w:hAnsi="Times New Roman" w:cs="Times New Roman"/>
          <w:b/>
          <w:sz w:val="24"/>
          <w:szCs w:val="24"/>
        </w:rPr>
      </w:pPr>
      <w:r>
        <w:rPr>
          <w:rFonts w:ascii="Times New Roman" w:hAnsi="Times New Roman" w:cs="Times New Roman"/>
          <w:b/>
          <w:sz w:val="24"/>
          <w:szCs w:val="24"/>
        </w:rPr>
        <w:drawing>
          <wp:inline distT="0" distB="0" distL="0" distR="0">
            <wp:extent cx="5621655" cy="2725420"/>
            <wp:effectExtent l="0" t="0" r="4445" b="5080"/>
            <wp:docPr id="7" name="图片 7" descr="E:\STUDY\YWQ\王茹师姐\整理数据\第三章\Fig.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STUDY\YWQ\王茹师姐\整理数据\第三章\Fig.S4.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636669" cy="2732893"/>
                    </a:xfrm>
                    <a:prstGeom prst="rect">
                      <a:avLst/>
                    </a:prstGeom>
                    <a:noFill/>
                    <a:ln>
                      <a:noFill/>
                    </a:ln>
                  </pic:spPr>
                </pic:pic>
              </a:graphicData>
            </a:graphic>
          </wp:inline>
        </w:drawing>
      </w:r>
    </w:p>
    <w:p>
      <w:pPr>
        <w:autoSpaceDE w:val="0"/>
        <w:autoSpaceDN w:val="0"/>
        <w:adjustRightInd w:val="0"/>
        <w:spacing w:line="480" w:lineRule="auto"/>
        <w:jc w:val="center"/>
        <w:rPr>
          <w:rFonts w:ascii="Times New Roman" w:hAnsi="Times New Roman" w:cs="Times New Roman"/>
          <w:sz w:val="24"/>
          <w:szCs w:val="24"/>
        </w:rPr>
      </w:pPr>
      <w:r>
        <w:rPr>
          <w:rFonts w:ascii="Times New Roman" w:hAnsi="Times New Roman" w:cs="Times New Roman"/>
          <w:b/>
          <w:sz w:val="24"/>
          <w:szCs w:val="24"/>
        </w:rPr>
        <w:t xml:space="preserve">Figure S3. </w:t>
      </w:r>
      <w:r>
        <w:rPr>
          <w:rFonts w:ascii="Times New Roman" w:hAnsi="Times New Roman" w:cs="Times New Roman"/>
          <w:sz w:val="24"/>
          <w:szCs w:val="24"/>
        </w:rPr>
        <w:t xml:space="preserve">Evaluation of </w:t>
      </w:r>
      <w:r>
        <w:rPr>
          <w:rFonts w:hint="eastAsia" w:ascii="Times New Roman" w:hAnsi="Times New Roman" w:cs="Times New Roman"/>
          <w:sz w:val="24"/>
          <w:szCs w:val="24"/>
        </w:rPr>
        <w:t>Her</w:t>
      </w:r>
      <w:r>
        <w:rPr>
          <w:rFonts w:ascii="Times New Roman" w:hAnsi="Times New Roman" w:cs="Times New Roman"/>
          <w:sz w:val="24"/>
          <w:szCs w:val="24"/>
        </w:rPr>
        <w:t xml:space="preserve">-2 gene and protein expression. (A) Relative gene expression of </w:t>
      </w:r>
      <w:r>
        <w:rPr>
          <w:rFonts w:hint="eastAsia" w:ascii="Times New Roman" w:hAnsi="Times New Roman" w:cs="Times New Roman"/>
          <w:sz w:val="24"/>
          <w:szCs w:val="24"/>
        </w:rPr>
        <w:t>Her</w:t>
      </w:r>
      <w:r>
        <w:rPr>
          <w:rFonts w:ascii="Times New Roman" w:hAnsi="Times New Roman" w:cs="Times New Roman"/>
          <w:sz w:val="24"/>
          <w:szCs w:val="24"/>
        </w:rPr>
        <w:t xml:space="preserve">-2 gene by real time-PCR; (B) Western blot analysis of </w:t>
      </w:r>
      <w:r>
        <w:rPr>
          <w:rFonts w:hint="eastAsia" w:ascii="Times New Roman" w:hAnsi="Times New Roman" w:cs="Times New Roman"/>
          <w:sz w:val="24"/>
          <w:szCs w:val="24"/>
        </w:rPr>
        <w:t>Her</w:t>
      </w:r>
      <w:r>
        <w:rPr>
          <w:rFonts w:ascii="Times New Roman" w:hAnsi="Times New Roman" w:cs="Times New Roman"/>
          <w:sz w:val="24"/>
          <w:szCs w:val="24"/>
        </w:rPr>
        <w:t xml:space="preserve">-2 protein; and (C) Immunofluorescence assay of </w:t>
      </w:r>
      <w:r>
        <w:rPr>
          <w:rFonts w:hint="eastAsia" w:ascii="Times New Roman" w:hAnsi="Times New Roman" w:cs="Times New Roman"/>
          <w:sz w:val="24"/>
          <w:szCs w:val="24"/>
        </w:rPr>
        <w:t>Her</w:t>
      </w:r>
      <w:r>
        <w:rPr>
          <w:rFonts w:ascii="Times New Roman" w:hAnsi="Times New Roman" w:cs="Times New Roman"/>
          <w:sz w:val="24"/>
          <w:szCs w:val="24"/>
        </w:rPr>
        <w:t xml:space="preserve">-2（green fluorescence represents FITC, which indicates </w:t>
      </w:r>
      <w:r>
        <w:rPr>
          <w:rFonts w:hint="eastAsia" w:ascii="Times New Roman" w:hAnsi="Times New Roman" w:cs="Times New Roman"/>
          <w:sz w:val="24"/>
          <w:szCs w:val="24"/>
        </w:rPr>
        <w:t>Her</w:t>
      </w:r>
      <w:r>
        <w:rPr>
          <w:rFonts w:ascii="Times New Roman" w:hAnsi="Times New Roman" w:cs="Times New Roman"/>
          <w:sz w:val="24"/>
          <w:szCs w:val="24"/>
        </w:rPr>
        <w:t xml:space="preserve">-2 receptors, blue fluorescence represents nuclei, scale bars=50 μm). </w:t>
      </w:r>
      <w:r>
        <w:rPr>
          <w:rFonts w:ascii="Times New Roman" w:hAnsi="Times New Roman" w:cs="Times New Roman"/>
          <w:i/>
          <w:sz w:val="24"/>
          <w:szCs w:val="24"/>
          <w:vertAlign w:val="superscript"/>
        </w:rPr>
        <w:t>***</w:t>
      </w:r>
      <w:r>
        <w:rPr>
          <w:rFonts w:ascii="Times New Roman" w:hAnsi="Times New Roman" w:cs="Times New Roman"/>
          <w:i/>
          <w:sz w:val="24"/>
          <w:szCs w:val="24"/>
        </w:rPr>
        <w:t>p</w:t>
      </w:r>
      <w:r>
        <w:rPr>
          <w:rFonts w:ascii="Times New Roman" w:hAnsi="Times New Roman" w:cs="Times New Roman"/>
          <w:sz w:val="24"/>
          <w:szCs w:val="24"/>
        </w:rPr>
        <w:t xml:space="preserve"> &lt; 0.01.</w:t>
      </w:r>
    </w:p>
    <w:p>
      <w:pPr>
        <w:pStyle w:val="28"/>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2.4</w:t>
      </w:r>
      <w:r>
        <w:rPr>
          <w:rFonts w:ascii="Times New Roman" w:hAnsi="Times New Roman" w:cs="Times New Roman"/>
          <w:b/>
          <w:bCs/>
          <w:sz w:val="24"/>
          <w:szCs w:val="24"/>
        </w:rPr>
        <w:tab/>
      </w:r>
      <w:r>
        <w:rPr>
          <w:rFonts w:ascii="Times New Roman" w:hAnsi="Times New Roman" w:cs="Times New Roman"/>
          <w:b/>
          <w:bCs/>
          <w:sz w:val="24"/>
          <w:szCs w:val="24"/>
        </w:rPr>
        <w:t xml:space="preserve">In vitro </w:t>
      </w:r>
      <w:r>
        <w:rPr>
          <w:rFonts w:ascii="Times New Roman" w:hAnsi="Times New Roman" w:cs="Times New Roman"/>
          <w:b/>
          <w:bCs/>
          <w:kern w:val="0"/>
          <w:sz w:val="24"/>
          <w:szCs w:val="24"/>
        </w:rPr>
        <w:t>cytotoxicity and c</w:t>
      </w:r>
      <w:r>
        <w:rPr>
          <w:rFonts w:ascii="Times New Roman" w:hAnsi="Times New Roman" w:cs="Times New Roman"/>
          <w:b/>
          <w:bCs/>
          <w:sz w:val="24"/>
          <w:szCs w:val="24"/>
        </w:rPr>
        <w:t>ell apoptosis assay</w:t>
      </w:r>
    </w:p>
    <w:p>
      <w:pPr>
        <w:autoSpaceDE w:val="0"/>
        <w:autoSpaceDN w:val="0"/>
        <w:adjustRightInd w:val="0"/>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Our previous study </w:t>
      </w:r>
      <w:r>
        <w:fldChar w:fldCharType="begin"/>
      </w:r>
      <w:r>
        <w:instrText xml:space="preserve"> HYPERLINK \l "_ENREF_1" \o "Wang, 2019 #92" </w:instrText>
      </w:r>
      <w:r>
        <w:fldChar w:fldCharType="separate"/>
      </w:r>
      <w:r>
        <w:rPr>
          <w:rFonts w:ascii="Times New Roman" w:hAnsi="Times New Roman" w:cs="Times New Roman"/>
          <w:sz w:val="24"/>
          <w:szCs w:val="24"/>
        </w:rPr>
        <w:fldChar w:fldCharType="begin">
          <w:fldData xml:space="preserve">PEVuZE5vdGU+PENpdGU+PEF1dGhvcj5XYW5nPC9BdXRob3I+PFllYXI+MjAxOTwvWWVhcj48UmVj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PEVuZE5vdGU+PENpdGU+PEF1dGhvcj5XYW5nPC9BdXRob3I+PFllYXI+MjAxOTwvWWVhcj48UmVj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 xml:space="preserve"> proved that both PGNSs and mPEG-PGNSs had no significant influence on cell proliferation when the Au concentration was below</w:t>
      </w:r>
      <w:bookmarkStart w:id="24" w:name="OLE_LINK60"/>
      <w:r>
        <w:rPr>
          <w:rFonts w:ascii="Times New Roman" w:hAnsi="Times New Roman" w:cs="Times New Roman"/>
          <w:sz w:val="24"/>
          <w:szCs w:val="24"/>
        </w:rPr>
        <w:t xml:space="preserve"> 50</w:t>
      </w:r>
      <w:bookmarkStart w:id="25" w:name="OLE_LINK61"/>
      <w:r>
        <w:rPr>
          <w:rFonts w:ascii="Times New Roman" w:hAnsi="Times New Roman" w:cs="Times New Roman"/>
          <w:sz w:val="24"/>
          <w:szCs w:val="24"/>
        </w:rPr>
        <w:t xml:space="preserve"> μg</w:t>
      </w:r>
      <w:bookmarkEnd w:id="25"/>
      <w:r>
        <w:rPr>
          <w:rFonts w:ascii="Times New Roman" w:hAnsi="Times New Roman" w:eastAsia="黑体" w:cs="Times New Roman"/>
          <w:sz w:val="24"/>
          <w:szCs w:val="24"/>
        </w:rPr>
        <w:t xml:space="preserve"> mL</w:t>
      </w:r>
      <w:r>
        <w:rPr>
          <w:rFonts w:ascii="Times New Roman" w:hAnsi="Times New Roman" w:eastAsia="黑体" w:cs="Times New Roman"/>
          <w:sz w:val="24"/>
          <w:szCs w:val="24"/>
          <w:vertAlign w:val="superscript"/>
        </w:rPr>
        <w:t>-1</w:t>
      </w:r>
      <w:r>
        <w:rPr>
          <w:rFonts w:ascii="Times New Roman" w:hAnsi="Times New Roman" w:cs="Times New Roman"/>
          <w:sz w:val="24"/>
          <w:szCs w:val="24"/>
        </w:rPr>
        <w:t xml:space="preserve">. </w:t>
      </w:r>
      <w:bookmarkEnd w:id="24"/>
      <w:r>
        <w:rPr>
          <w:rFonts w:ascii="Times New Roman" w:hAnsi="Times New Roman" w:cs="Times New Roman"/>
          <w:sz w:val="24"/>
          <w:szCs w:val="24"/>
        </w:rPr>
        <w:t xml:space="preserve">Here, we explored the cytotoxicity of </w:t>
      </w:r>
      <w:r>
        <w:rPr>
          <w:rFonts w:ascii="Times New Roman" w:hAnsi="Times New Roman" w:cs="Times New Roman"/>
          <w:bCs/>
          <w:sz w:val="24"/>
          <w:szCs w:val="24"/>
        </w:rPr>
        <w:t xml:space="preserve">mPEG/HER-PGNSs </w:t>
      </w:r>
      <w:r>
        <w:rPr>
          <w:rFonts w:ascii="Times New Roman" w:hAnsi="Times New Roman" w:cs="Times New Roman"/>
          <w:sz w:val="24"/>
          <w:szCs w:val="24"/>
        </w:rPr>
        <w:t xml:space="preserve">using MTT assays with human hepatocyte cells (LO2) and the results are presented in Figure S4A. Compared with plain PGNSs, cell viability when exposed to mPEG-PGNSs and </w:t>
      </w:r>
      <w:r>
        <w:rPr>
          <w:rFonts w:ascii="Times New Roman" w:hAnsi="Times New Roman" w:cs="Times New Roman"/>
          <w:bCs/>
          <w:sz w:val="24"/>
          <w:szCs w:val="24"/>
        </w:rPr>
        <w:t>mPEG/HER-PGNSs</w:t>
      </w:r>
      <w:r>
        <w:rPr>
          <w:rFonts w:ascii="Times New Roman" w:hAnsi="Times New Roman" w:cs="Times New Roman"/>
          <w:sz w:val="24"/>
          <w:szCs w:val="24"/>
        </w:rPr>
        <w:t xml:space="preserve"> was also higher than 90% when the Au concentration was below 50 μg</w:t>
      </w:r>
      <w:r>
        <w:rPr>
          <w:rFonts w:ascii="Times New Roman" w:hAnsi="Times New Roman" w:eastAsia="黑体" w:cs="Times New Roman"/>
          <w:sz w:val="24"/>
          <w:szCs w:val="24"/>
        </w:rPr>
        <w:t xml:space="preserve"> mL</w:t>
      </w:r>
      <w:r>
        <w:rPr>
          <w:rFonts w:ascii="Times New Roman" w:hAnsi="Times New Roman" w:eastAsia="黑体" w:cs="Times New Roman"/>
          <w:sz w:val="24"/>
          <w:szCs w:val="24"/>
          <w:vertAlign w:val="superscript"/>
        </w:rPr>
        <w:t>-1</w:t>
      </w:r>
      <w:r>
        <w:rPr>
          <w:rFonts w:ascii="Times New Roman" w:hAnsi="Times New Roman" w:cs="Times New Roman"/>
          <w:sz w:val="24"/>
          <w:szCs w:val="24"/>
        </w:rPr>
        <w:t>. The cytotoxicity increased with an incremental change in Au concentration. The cytotoxicity for the mPEG-PGNSs was lower than that for the PGNSs on account of the stealth effect of PEGylation, which gives rise to the enhanced reduction of serum protein binding and reduced cellular uptake</w:t>
      </w:r>
      <w:r>
        <w:fldChar w:fldCharType="begin"/>
      </w:r>
      <w:r>
        <w:instrText xml:space="preserve"> HYPERLINK \l "_ENREF_5" \o "Verhoef, 2013 #649" </w:instrText>
      </w:r>
      <w: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&lt;EndNote&gt;&lt;Cite&gt;&lt;Author&gt;Verhoef&lt;/Author&gt;&lt;Year&gt;2013&lt;/Year&gt;&lt;RecNum&gt;649&lt;/RecNum&gt;&lt;DisplayText&gt;&lt;style face="superscript"&gt;5&lt;/style&gt;&lt;/DisplayText&gt;&lt;record&gt;&lt;rec-number&gt;649&lt;/rec-number&gt;&lt;foreign-keys&gt;&lt;key app="EN" db-id="rrpfddf5sfvaf2evr58vsdr39090vdaw9pse" timestamp="1564404541" guid="ef4f1cfe-1989-4122-900f-35efe74906df"&gt;649&lt;/key&gt;&lt;/foreign-keys&gt;&lt;ref-type name="Journal Article"&gt;17&lt;/ref-type&gt;&lt;contributors&gt;&lt;authors&gt;&lt;author&gt;Verhoef, Johan J. F.&lt;/author&gt;&lt;author&gt;Anchordoquy, Thomas J.&lt;/author&gt;&lt;/authors&gt;&lt;/contributors&gt;&lt;titles&gt;&lt;title&gt;Questioning the use of PEGylation for drug delivery&lt;/title&gt;&lt;secondary-title&gt;Drug Deliv Transl Res&lt;/secondary-title&gt;&lt;/titles&gt;&lt;periodical&gt;&lt;full-title&gt;Drug Deliv Transl Res&lt;/full-title&gt;&lt;/periodical&gt;&lt;pages&gt;499-503&lt;/pages&gt;&lt;volume&gt;3&lt;/volume&gt;&lt;number&gt;6&lt;/number&gt;&lt;dates&gt;&lt;year&gt;2013&lt;/year&gt;&lt;/dates&gt;&lt;urls&gt;&lt;/urls&gt;&lt;/record&gt;&lt;/Cite&gt;&lt;/EndNote&gt;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5</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 this might explain the reduced cytotoxicity of the mPEG-PGNSs as less nanoparticles were internalized into the cells. However, when the concentration was above 100 μg</w:t>
      </w:r>
      <w:r>
        <w:rPr>
          <w:rFonts w:ascii="Times New Roman" w:hAnsi="Times New Roman" w:eastAsia="黑体" w:cs="Times New Roman"/>
          <w:sz w:val="24"/>
          <w:szCs w:val="24"/>
        </w:rPr>
        <w:t xml:space="preserve"> mL</w:t>
      </w:r>
      <w:r>
        <w:rPr>
          <w:rFonts w:ascii="Times New Roman" w:hAnsi="Times New Roman" w:eastAsia="黑体" w:cs="Times New Roman"/>
          <w:sz w:val="24"/>
          <w:szCs w:val="24"/>
          <w:vertAlign w:val="superscript"/>
        </w:rPr>
        <w:t>-1</w:t>
      </w:r>
      <w:r>
        <w:rPr>
          <w:rFonts w:ascii="Times New Roman" w:hAnsi="Times New Roman" w:cs="Times New Roman"/>
          <w:sz w:val="24"/>
          <w:szCs w:val="24"/>
        </w:rPr>
        <w:t xml:space="preserve">, the cytotoxicity of all of the three formulations increased due to the larger concentration of Au. In conclusion, </w:t>
      </w:r>
      <w:bookmarkStart w:id="26" w:name="OLE_LINK8"/>
      <w:r>
        <w:rPr>
          <w:rFonts w:ascii="Times New Roman" w:hAnsi="Times New Roman" w:cs="Times New Roman"/>
          <w:sz w:val="24"/>
          <w:szCs w:val="24"/>
        </w:rPr>
        <w:t>the modification of mPEG or Herceptin did not create additional toxicity to the PGNSs.</w:t>
      </w:r>
      <w:bookmarkEnd w:id="26"/>
    </w:p>
    <w:p>
      <w:pPr>
        <w:autoSpaceDE w:val="0"/>
        <w:autoSpaceDN w:val="0"/>
        <w:adjustRightInd w:val="0"/>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The synergistic eff</w:t>
      </w:r>
      <w:r>
        <w:rPr>
          <w:rFonts w:ascii="Times New Roman" w:hAnsi="Times New Roman" w:cs="Times New Roman"/>
          <w:bCs/>
          <w:sz w:val="24"/>
          <w:szCs w:val="24"/>
        </w:rPr>
        <w:t xml:space="preserve">ect of the chemotherapy and photothermal therapy in SK-BR-3 cells can be evaluated by the combination index (CI) </w:t>
      </w:r>
      <w:r>
        <w:fldChar w:fldCharType="begin"/>
      </w:r>
      <w:r>
        <w:instrText xml:space="preserve"> HYPERLINK \l "_ENREF_6" \o "Lei, 2019 #87" </w:instrText>
      </w:r>
      <w:r>
        <w:fldChar w:fldCharType="separate"/>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&lt;EndNote&gt;&lt;Cite&gt;&lt;Author&gt;Lei&lt;/Author&gt;&lt;Year&gt;2019&lt;/Year&gt;&lt;RecNum&gt;87&lt;/RecNum&gt;&lt;DisplayText&gt;&lt;style face="superscript"&gt;6&lt;/style&gt;&lt;/DisplayText&gt;&lt;record&gt;&lt;rec-number&gt;87&lt;/rec-number&gt;&lt;foreign-keys&gt;&lt;key app="EN" db-id="d0f550xrqxv02gezpxpp0eag2wvd9dx5ex9a"&gt;87&lt;/key&gt;&lt;/foreign-keys&gt;&lt;ref-type name="Journal Article"&gt;17&lt;/ref-type&gt;&lt;contributors&gt;&lt;authors&gt;&lt;author&gt;Lei, Wei&lt;/author&gt;&lt;author&gt;Sun, Changshan&lt;/author&gt;&lt;author&gt;Jiang, Tongying&lt;/author&gt;&lt;author&gt;Gao, Yikun&lt;/author&gt;&lt;author&gt;Yang, Yang&lt;/author&gt;&lt;author&gt;Zhao, Qinfu&lt;/author&gt;&lt;author&gt;Wang, Siling&lt;/author&gt;&lt;/authors&gt;&lt;/contributors&gt;&lt;titles&gt;&lt;title&gt;Polydopamine-coated mesoporous silica nanoparticles for multi-responsive drug delivery and combined chemo-photothermal therapy&lt;/title&gt;&lt;secondary-title&gt;Materials Science and Engineering: C&lt;/secondary-title&gt;&lt;/titles&gt;&lt;pages&gt;110103&lt;/pages&gt;&lt;volume&gt;105&lt;/volume&gt;&lt;keywords&gt;&lt;keyword&gt;Polydopamine&lt;/keyword&gt;&lt;keyword&gt;Mesoporous silica&lt;/keyword&gt;&lt;keyword&gt;Multi-responsive&lt;/keyword&gt;&lt;keyword&gt;Chemotherapy&lt;/keyword&gt;&lt;keyword&gt;Photothermal therapy&lt;/keyword&gt;&lt;/keywords&gt;&lt;dates&gt;&lt;year&gt;2019&lt;/year&gt;&lt;pub-dates&gt;&lt;date&gt;2019/12/01/&lt;/date&gt;&lt;/pub-dates&gt;&lt;/dates&gt;&lt;isbn&gt;0928-4931&lt;/isbn&gt;&lt;urls&gt;&lt;related-urls&gt;&lt;url&gt;http://www.sciencedirect.com/science/article/pii/S0928493119312469&lt;/url&gt;&lt;/related-urls&gt;&lt;/urls&gt;&lt;electronic-resource-num&gt;https://doi.org/10.1016/j.msec.2019.110103&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vertAlign w:val="superscript"/>
        </w:rPr>
        <w:t>6</w:t>
      </w:r>
      <w:r>
        <w:rPr>
          <w:rFonts w:ascii="Times New Roman" w:hAnsi="Times New Roman" w:cs="Times New Roman"/>
          <w:bCs/>
          <w:sz w:val="24"/>
          <w:szCs w:val="24"/>
        </w:rPr>
        <w:fldChar w:fldCharType="end"/>
      </w:r>
      <w:r>
        <w:rPr>
          <w:rFonts w:ascii="Times New Roman" w:hAnsi="Times New Roman" w:cs="Times New Roman"/>
          <w:bCs/>
          <w:sz w:val="24"/>
          <w:szCs w:val="24"/>
        </w:rPr>
        <w:fldChar w:fldCharType="end"/>
      </w:r>
      <w:r>
        <w:rPr>
          <w:rFonts w:ascii="Times New Roman" w:hAnsi="Times New Roman" w:cs="Times New Roman"/>
          <w:sz w:val="24"/>
          <w:szCs w:val="24"/>
        </w:rPr>
        <w:t xml:space="preserve"> using CompuSyn software (ComboSyn Inc, Paramus, NJ; </w:t>
      </w:r>
      <w:r>
        <w:fldChar w:fldCharType="begin"/>
      </w:r>
      <w:r>
        <w:instrText xml:space="preserve"> HYPERLINK "http://www.combosyn.com/" </w:instrText>
      </w:r>
      <w:r>
        <w:fldChar w:fldCharType="separate"/>
      </w:r>
      <w:r>
        <w:rPr>
          <w:rFonts w:ascii="Times New Roman" w:hAnsi="Times New Roman" w:cs="Times New Roman"/>
          <w:sz w:val="24"/>
          <w:szCs w:val="24"/>
        </w:rPr>
        <w:t>www.combosyn.com</w:t>
      </w:r>
      <w:r>
        <w:rPr>
          <w:rFonts w:ascii="Times New Roman" w:hAnsi="Times New Roman" w:cs="Times New Roman"/>
          <w:sz w:val="24"/>
          <w:szCs w:val="24"/>
        </w:rPr>
        <w:fldChar w:fldCharType="end"/>
      </w:r>
      <w:r>
        <w:rPr>
          <w:rFonts w:ascii="Times New Roman" w:hAnsi="Times New Roman" w:cs="Times New Roman"/>
          <w:sz w:val="24"/>
          <w:szCs w:val="24"/>
        </w:rPr>
        <w:t>) as the equation describes below</w:t>
      </w:r>
      <w:r>
        <w:fldChar w:fldCharType="begin"/>
      </w:r>
      <w:r>
        <w:instrText xml:space="preserve"> HYPERLINK \l "_ENREF_7" \o "Chou,  #84" </w:instrText>
      </w:r>
      <w: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&lt;EndNote&gt;&lt;Cite&gt;&lt;Author&gt;Chou&lt;/Author&gt;&lt;RecNum&gt;84&lt;/RecNum&gt;&lt;DisplayText&gt;&lt;style face="superscript"&gt;7&lt;/style&gt;&lt;/DisplayText&gt;&lt;record&gt;&lt;rec-number&gt;84&lt;/rec-number&gt;&lt;foreign-keys&gt;&lt;key app="EN" db-id="d0f550xrqxv02gezpxpp0eag2wvd9dx5ex9a"&gt;84&lt;/key&gt;&lt;/foreign-keys&gt;&lt;ref-type name="Journal Article"&gt;17&lt;/ref-type&gt;&lt;contributors&gt;&lt;authors&gt;&lt;author&gt;Chou&lt;/author&gt;&lt;author&gt;T.-C.&lt;/author&gt;&lt;/authors&gt;&lt;/contributors&gt;&lt;titles&gt;&lt;title&gt;Theoretical Basis, Experimental Design, and Computerized Simulation of Synergism and Antagonism in Drug Combination Studies&lt;/title&gt;&lt;secondary-title&gt;Pharmacological Reviews&lt;/secondary-title&gt;&lt;/titles&gt;&lt;pages&gt;621-681&lt;/pages&gt;&lt;volume&gt;58&lt;/volume&gt;&lt;number&gt;3&lt;/number&gt;&lt;dates&gt;&lt;/dates&gt;&lt;urls&gt;&lt;/urls&gt;&lt;/record&gt;&lt;/Cite&gt;&lt;/EndNote&gt;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w:t>
      </w:r>
    </w:p>
    <w:p>
      <w:pPr>
        <w:autoSpaceDE w:val="0"/>
        <w:autoSpaceDN w:val="0"/>
        <w:adjustRightInd w:val="0"/>
        <w:spacing w:line="480" w:lineRule="auto"/>
        <w:ind w:firstLine="240" w:firstLineChars="100"/>
        <w:jc w:val="center"/>
        <w:rPr>
          <w:rFonts w:ascii="Times New Roman" w:hAnsi="Times New Roman" w:cs="Times New Roman"/>
          <w:b/>
          <w:sz w:val="24"/>
          <w:szCs w:val="24"/>
        </w:rPr>
      </w:pPr>
      <w:r>
        <w:rPr>
          <w:rFonts w:ascii="Times New Roman" w:hAnsi="Times New Roman" w:cs="Times New Roman"/>
          <w:b/>
          <w:sz w:val="24"/>
          <w:szCs w:val="24"/>
        </w:rPr>
        <w:t>CI=</w:t>
      </w:r>
      <m:oMath>
        <m:f>
          <m:fPr>
            <m:ctrlPr>
              <w:rPr>
                <w:rFonts w:ascii="Cambria Math" w:hAnsi="Cambria Math" w:cs="Times New Roman"/>
                <w:b/>
                <w:sz w:val="24"/>
                <w:szCs w:val="24"/>
              </w:rPr>
            </m:ctrlPr>
          </m:fPr>
          <m:num>
            <m:sSub>
              <m:sSubPr>
                <m:ctrlPr>
                  <w:rPr>
                    <w:rFonts w:ascii="Cambria Math" w:hAnsi="Cambria Math" w:cs="Times New Roman"/>
                    <w:b/>
                    <w:i/>
                    <w:sz w:val="24"/>
                    <w:szCs w:val="24"/>
                  </w:rPr>
                </m:ctrlPr>
              </m:sSubPr>
              <m:e>
                <m:r>
                  <m:rPr>
                    <m:sty m:val="bi"/>
                  </m:rPr>
                  <w:rPr>
                    <w:rFonts w:ascii="Cambria Math" w:hAnsi="Cambria Math" w:cs="Times New Roman"/>
                    <w:sz w:val="24"/>
                    <w:szCs w:val="24"/>
                  </w:rPr>
                  <m:t>(D)</m:t>
                </m:r>
                <m:ctrlPr>
                  <w:rPr>
                    <w:rFonts w:ascii="Cambria Math" w:hAnsi="Cambria Math" w:cs="Times New Roman"/>
                    <w:b/>
                    <w:i/>
                    <w:sz w:val="24"/>
                    <w:szCs w:val="24"/>
                  </w:rPr>
                </m:ctrlPr>
              </m:e>
              <m:sub>
                <m:r>
                  <m:rPr>
                    <m:sty m:val="bi"/>
                  </m:rPr>
                  <w:rPr>
                    <w:rFonts w:ascii="Cambria Math" w:hAnsi="Cambria Math" w:cs="Times New Roman"/>
                    <w:sz w:val="24"/>
                    <w:szCs w:val="24"/>
                  </w:rPr>
                  <m:t>1,50</m:t>
                </m:r>
                <m:ctrlPr>
                  <w:rPr>
                    <w:rFonts w:ascii="Cambria Math" w:hAnsi="Cambria Math" w:cs="Times New Roman"/>
                    <w:b/>
                    <w:i/>
                    <w:sz w:val="24"/>
                    <w:szCs w:val="24"/>
                  </w:rPr>
                </m:ctrlPr>
              </m:sub>
            </m:sSub>
            <m:ctrlPr>
              <w:rPr>
                <w:rFonts w:ascii="Cambria Math" w:hAnsi="Cambria Math" w:cs="Times New Roman"/>
                <w:b/>
                <w:sz w:val="24"/>
                <w:szCs w:val="24"/>
              </w:rPr>
            </m:ctrlPr>
          </m:num>
          <m:den>
            <m:sSub>
              <m:sSubPr>
                <m:ctrlPr>
                  <w:rPr>
                    <w:rFonts w:ascii="Cambria Math" w:hAnsi="Cambria Math" w:cs="Times New Roman"/>
                    <w:b/>
                    <w:i/>
                    <w:sz w:val="24"/>
                    <w:szCs w:val="24"/>
                  </w:rPr>
                </m:ctrlPr>
              </m:sSubPr>
              <m:e>
                <m:sSub>
                  <m:sSubPr>
                    <m:ctrlPr>
                      <w:rPr>
                        <w:rFonts w:ascii="Cambria Math" w:hAnsi="Cambria Math" w:cs="Times New Roman"/>
                        <w:b/>
                        <w:i/>
                        <w:sz w:val="24"/>
                        <w:szCs w:val="24"/>
                      </w:rPr>
                    </m:ctrlPr>
                  </m:sSubPr>
                  <m:e>
                    <m:r>
                      <m:rPr>
                        <m:sty m:val="bi"/>
                      </m:rPr>
                      <w:rPr>
                        <w:rFonts w:ascii="Cambria Math" w:hAnsi="Cambria Math" w:cs="Times New Roman"/>
                        <w:sz w:val="24"/>
                        <w:szCs w:val="24"/>
                      </w:rPr>
                      <m:t>(D</m:t>
                    </m:r>
                    <m:ctrlPr>
                      <w:rPr>
                        <w:rFonts w:ascii="Cambria Math" w:hAnsi="Cambria Math" w:cs="Times New Roman"/>
                        <w:b/>
                        <w:i/>
                        <w:sz w:val="24"/>
                        <w:szCs w:val="24"/>
                      </w:rPr>
                    </m:ctrlPr>
                  </m:e>
                  <m:sub>
                    <m:r>
                      <m:rPr>
                        <m:sty m:val="bi"/>
                      </m:rPr>
                      <w:rPr>
                        <w:rFonts w:ascii="Cambria Math" w:hAnsi="Cambria Math" w:cs="Times New Roman"/>
                        <w:sz w:val="24"/>
                        <w:szCs w:val="24"/>
                      </w:rPr>
                      <m:t>50</m:t>
                    </m:r>
                    <m:ctrlPr>
                      <w:rPr>
                        <w:rFonts w:ascii="Cambria Math" w:hAnsi="Cambria Math" w:cs="Times New Roman"/>
                        <w:b/>
                        <w:i/>
                        <w:sz w:val="24"/>
                        <w:szCs w:val="24"/>
                      </w:rPr>
                    </m:ctrlPr>
                  </m:sub>
                </m:sSub>
                <m:r>
                  <m:rPr>
                    <m:sty m:val="bi"/>
                  </m:rPr>
                  <w:rPr>
                    <w:rFonts w:ascii="Cambria Math" w:hAnsi="Cambria Math" w:cs="Times New Roman"/>
                    <w:sz w:val="24"/>
                    <w:szCs w:val="24"/>
                  </w:rPr>
                  <m:t>)</m:t>
                </m:r>
                <m:ctrlPr>
                  <w:rPr>
                    <w:rFonts w:ascii="Cambria Math" w:hAnsi="Cambria Math" w:cs="Times New Roman"/>
                    <w:b/>
                    <w:i/>
                    <w:sz w:val="24"/>
                    <w:szCs w:val="24"/>
                  </w:rPr>
                </m:ctrlPr>
              </m:e>
              <m:sub>
                <m:r>
                  <m:rPr>
                    <m:sty m:val="bi"/>
                  </m:rPr>
                  <w:rPr>
                    <w:rFonts w:ascii="Cambria Math" w:hAnsi="Cambria Math" w:cs="Times New Roman"/>
                    <w:sz w:val="24"/>
                    <w:szCs w:val="24"/>
                  </w:rPr>
                  <m:t>1</m:t>
                </m:r>
                <m:ctrlPr>
                  <w:rPr>
                    <w:rFonts w:ascii="Cambria Math" w:hAnsi="Cambria Math" w:cs="Times New Roman"/>
                    <w:b/>
                    <w:i/>
                    <w:sz w:val="24"/>
                    <w:szCs w:val="24"/>
                  </w:rPr>
                </m:ctrlPr>
              </m:sub>
            </m:sSub>
            <m:ctrlPr>
              <w:rPr>
                <w:rFonts w:ascii="Cambria Math" w:hAnsi="Cambria Math" w:cs="Times New Roman"/>
                <w:b/>
                <w:sz w:val="24"/>
                <w:szCs w:val="24"/>
              </w:rPr>
            </m:ctrlPr>
          </m:den>
        </m:f>
        <m:r>
          <m:rPr>
            <m:sty m:val="bi"/>
          </m:rPr>
          <w:rPr>
            <w:rFonts w:ascii="Cambria Math" w:hAnsi="Cambria Math" w:cs="Times New Roman"/>
            <w:sz w:val="24"/>
            <w:szCs w:val="24"/>
          </w:rPr>
          <m:t>+</m:t>
        </m:r>
        <m:f>
          <m:fPr>
            <m:ctrlPr>
              <w:rPr>
                <w:rFonts w:ascii="Cambria Math" w:hAnsi="Cambria Math" w:cs="Times New Roman"/>
                <w:b/>
                <w:sz w:val="24"/>
                <w:szCs w:val="24"/>
              </w:rPr>
            </m:ctrlPr>
          </m:fPr>
          <m:num>
            <m:sSub>
              <m:sSubPr>
                <m:ctrlPr>
                  <w:rPr>
                    <w:rFonts w:ascii="Cambria Math" w:hAnsi="Cambria Math" w:cs="Times New Roman"/>
                    <w:b/>
                    <w:i/>
                    <w:sz w:val="24"/>
                    <w:szCs w:val="24"/>
                  </w:rPr>
                </m:ctrlPr>
              </m:sSubPr>
              <m:e>
                <m:r>
                  <m:rPr>
                    <m:sty m:val="bi"/>
                  </m:rPr>
                  <w:rPr>
                    <w:rFonts w:ascii="Cambria Math" w:hAnsi="Cambria Math" w:cs="Times New Roman"/>
                    <w:sz w:val="24"/>
                    <w:szCs w:val="24"/>
                  </w:rPr>
                  <m:t>(D)</m:t>
                </m:r>
                <m:ctrlPr>
                  <w:rPr>
                    <w:rFonts w:ascii="Cambria Math" w:hAnsi="Cambria Math" w:cs="Times New Roman"/>
                    <w:b/>
                    <w:i/>
                    <w:sz w:val="24"/>
                    <w:szCs w:val="24"/>
                  </w:rPr>
                </m:ctrlPr>
              </m:e>
              <m:sub>
                <m:r>
                  <m:rPr>
                    <m:sty m:val="bi"/>
                  </m:rPr>
                  <w:rPr>
                    <w:rFonts w:ascii="Cambria Math" w:hAnsi="Cambria Math" w:cs="Times New Roman"/>
                    <w:sz w:val="24"/>
                    <w:szCs w:val="24"/>
                  </w:rPr>
                  <m:t>2,50</m:t>
                </m:r>
                <m:ctrlPr>
                  <w:rPr>
                    <w:rFonts w:ascii="Cambria Math" w:hAnsi="Cambria Math" w:cs="Times New Roman"/>
                    <w:b/>
                    <w:i/>
                    <w:sz w:val="24"/>
                    <w:szCs w:val="24"/>
                  </w:rPr>
                </m:ctrlPr>
              </m:sub>
            </m:sSub>
            <m:ctrlPr>
              <w:rPr>
                <w:rFonts w:ascii="Cambria Math" w:hAnsi="Cambria Math" w:cs="Times New Roman"/>
                <w:b/>
                <w:sz w:val="24"/>
                <w:szCs w:val="24"/>
              </w:rPr>
            </m:ctrlPr>
          </m:num>
          <m:den>
            <m:sSub>
              <m:sSubPr>
                <m:ctrlPr>
                  <w:rPr>
                    <w:rFonts w:ascii="Cambria Math" w:hAnsi="Cambria Math" w:cs="Times New Roman"/>
                    <w:b/>
                    <w:i/>
                    <w:sz w:val="24"/>
                    <w:szCs w:val="24"/>
                  </w:rPr>
                </m:ctrlPr>
              </m:sSubPr>
              <m:e>
                <m:sSub>
                  <m:sSubPr>
                    <m:ctrlPr>
                      <w:rPr>
                        <w:rFonts w:ascii="Cambria Math" w:hAnsi="Cambria Math" w:cs="Times New Roman"/>
                        <w:b/>
                        <w:i/>
                        <w:sz w:val="24"/>
                        <w:szCs w:val="24"/>
                      </w:rPr>
                    </m:ctrlPr>
                  </m:sSubPr>
                  <m:e>
                    <m:r>
                      <m:rPr>
                        <m:sty m:val="bi"/>
                      </m:rPr>
                      <w:rPr>
                        <w:rFonts w:ascii="Cambria Math" w:hAnsi="Cambria Math" w:cs="Times New Roman"/>
                        <w:sz w:val="24"/>
                        <w:szCs w:val="24"/>
                      </w:rPr>
                      <m:t>(D</m:t>
                    </m:r>
                    <m:ctrlPr>
                      <w:rPr>
                        <w:rFonts w:ascii="Cambria Math" w:hAnsi="Cambria Math" w:cs="Times New Roman"/>
                        <w:b/>
                        <w:i/>
                        <w:sz w:val="24"/>
                        <w:szCs w:val="24"/>
                      </w:rPr>
                    </m:ctrlPr>
                  </m:e>
                  <m:sub>
                    <m:r>
                      <m:rPr>
                        <m:sty m:val="bi"/>
                      </m:rPr>
                      <w:rPr>
                        <w:rFonts w:ascii="Cambria Math" w:hAnsi="Cambria Math" w:cs="Times New Roman"/>
                        <w:sz w:val="24"/>
                        <w:szCs w:val="24"/>
                      </w:rPr>
                      <m:t>50</m:t>
                    </m:r>
                    <m:ctrlPr>
                      <w:rPr>
                        <w:rFonts w:ascii="Cambria Math" w:hAnsi="Cambria Math" w:cs="Times New Roman"/>
                        <w:b/>
                        <w:i/>
                        <w:sz w:val="24"/>
                        <w:szCs w:val="24"/>
                      </w:rPr>
                    </m:ctrlPr>
                  </m:sub>
                </m:sSub>
                <m:r>
                  <m:rPr>
                    <m:sty m:val="bi"/>
                  </m:rPr>
                  <w:rPr>
                    <w:rFonts w:ascii="Cambria Math" w:hAnsi="Cambria Math" w:cs="Times New Roman"/>
                    <w:sz w:val="24"/>
                    <w:szCs w:val="24"/>
                  </w:rPr>
                  <m:t>)</m:t>
                </m:r>
                <m:ctrlPr>
                  <w:rPr>
                    <w:rFonts w:ascii="Cambria Math" w:hAnsi="Cambria Math" w:cs="Times New Roman"/>
                    <w:b/>
                    <w:i/>
                    <w:sz w:val="24"/>
                    <w:szCs w:val="24"/>
                  </w:rPr>
                </m:ctrlPr>
              </m:e>
              <m:sub>
                <m:r>
                  <m:rPr>
                    <m:sty m:val="bi"/>
                  </m:rPr>
                  <w:rPr>
                    <w:rFonts w:ascii="Cambria Math" w:hAnsi="Cambria Math" w:cs="Times New Roman"/>
                    <w:sz w:val="24"/>
                    <w:szCs w:val="24"/>
                  </w:rPr>
                  <m:t>2</m:t>
                </m:r>
                <m:ctrlPr>
                  <w:rPr>
                    <w:rFonts w:ascii="Cambria Math" w:hAnsi="Cambria Math" w:cs="Times New Roman"/>
                    <w:b/>
                    <w:i/>
                    <w:sz w:val="24"/>
                    <w:szCs w:val="24"/>
                  </w:rPr>
                </m:ctrlPr>
              </m:sub>
            </m:sSub>
            <m:ctrlPr>
              <w:rPr>
                <w:rFonts w:ascii="Cambria Math" w:hAnsi="Cambria Math" w:cs="Times New Roman"/>
                <w:b/>
                <w:sz w:val="24"/>
                <w:szCs w:val="24"/>
              </w:rPr>
            </m:ctrlPr>
          </m:den>
        </m:f>
      </m:oMath>
      <w:r>
        <w:rPr>
          <w:rFonts w:ascii="Times New Roman" w:hAnsi="Times New Roman" w:cs="Times New Roman"/>
          <w:b/>
          <w:sz w:val="24"/>
          <w:szCs w:val="24"/>
        </w:rPr>
        <w:t xml:space="preserve">          (5)</w:t>
      </w:r>
    </w:p>
    <w:p>
      <w:pPr>
        <w:autoSpaceDE w:val="0"/>
        <w:autoSpaceDN w:val="0"/>
        <w:adjustRightInd w:val="0"/>
        <w:spacing w:line="480" w:lineRule="auto"/>
        <w:rPr>
          <w:rFonts w:ascii="Times New Roman" w:hAnsi="Times New Roman" w:cs="Times New Roman"/>
          <w:sz w:val="24"/>
          <w:szCs w:val="24"/>
        </w:rPr>
      </w:pPr>
      <w:r>
        <w:rPr>
          <w:rFonts w:ascii="Times New Roman" w:hAnsi="Times New Roman" w:cs="Times New Roman"/>
          <w:sz w:val="24"/>
          <w:szCs w:val="24"/>
        </w:rPr>
        <w:t>Where (D</w:t>
      </w:r>
      <w:r>
        <w:rPr>
          <w:rFonts w:ascii="Times New Roman" w:hAnsi="Times New Roman" w:cs="Times New Roman"/>
          <w:sz w:val="24"/>
          <w:szCs w:val="24"/>
          <w:vertAlign w:val="subscript"/>
        </w:rPr>
        <w:t>X</w:t>
      </w:r>
      <w:r>
        <w:rPr>
          <w:rFonts w:ascii="Times New Roman" w:hAnsi="Times New Roman" w:cs="Times New Roman"/>
          <w:sz w:val="24"/>
          <w:szCs w:val="24"/>
        </w:rPr>
        <w:t>)</w:t>
      </w:r>
      <w:r>
        <w:rPr>
          <w:rFonts w:ascii="Times New Roman" w:hAnsi="Times New Roman" w:cs="Times New Roman"/>
          <w:sz w:val="24"/>
          <w:szCs w:val="24"/>
          <w:vertAlign w:val="subscript"/>
        </w:rPr>
        <w:t>1</w:t>
      </w:r>
      <w:r>
        <w:rPr>
          <w:rFonts w:ascii="Times New Roman" w:hAnsi="Times New Roman" w:cs="Times New Roman"/>
          <w:sz w:val="24"/>
          <w:szCs w:val="24"/>
        </w:rPr>
        <w:t xml:space="preserve"> and (D</w:t>
      </w:r>
      <w:r>
        <w:rPr>
          <w:rFonts w:ascii="Times New Roman" w:hAnsi="Times New Roman" w:cs="Times New Roman"/>
          <w:sz w:val="24"/>
          <w:szCs w:val="24"/>
          <w:vertAlign w:val="subscript"/>
        </w:rPr>
        <w:t>X</w:t>
      </w:r>
      <w:r>
        <w:rPr>
          <w:rFonts w:ascii="Times New Roman" w:hAnsi="Times New Roman" w:cs="Times New Roman"/>
          <w:sz w:val="24"/>
          <w:szCs w:val="24"/>
        </w:rPr>
        <w:t>)</w:t>
      </w:r>
      <w:r>
        <w:rPr>
          <w:rFonts w:ascii="Times New Roman" w:hAnsi="Times New Roman" w:cs="Times New Roman"/>
          <w:sz w:val="24"/>
          <w:szCs w:val="24"/>
          <w:vertAlign w:val="subscript"/>
        </w:rPr>
        <w:t xml:space="preserve">2 </w:t>
      </w:r>
      <w:r>
        <w:rPr>
          <w:rFonts w:ascii="Times New Roman" w:hAnsi="Times New Roman" w:cs="Times New Roman"/>
          <w:sz w:val="24"/>
          <w:szCs w:val="24"/>
        </w:rPr>
        <w:t>are the concentration of DM1 and PGNSs with NIR alone resulting in 50% growth inhibition, while (D)</w:t>
      </w:r>
      <w:r>
        <w:rPr>
          <w:rFonts w:ascii="Times New Roman" w:hAnsi="Times New Roman" w:cs="Times New Roman"/>
          <w:sz w:val="24"/>
          <w:szCs w:val="24"/>
          <w:vertAlign w:val="subscript"/>
        </w:rPr>
        <w:t>1</w:t>
      </w:r>
      <w:r>
        <w:rPr>
          <w:rFonts w:ascii="Times New Roman" w:hAnsi="Times New Roman" w:cs="Times New Roman"/>
          <w:sz w:val="24"/>
          <w:szCs w:val="24"/>
        </w:rPr>
        <w:t xml:space="preserve"> and (D)</w:t>
      </w:r>
      <w:r>
        <w:rPr>
          <w:rFonts w:ascii="Times New Roman" w:hAnsi="Times New Roman" w:cs="Times New Roman"/>
          <w:sz w:val="24"/>
          <w:szCs w:val="24"/>
          <w:vertAlign w:val="subscript"/>
        </w:rPr>
        <w:t xml:space="preserve">2 </w:t>
      </w:r>
      <w:r>
        <w:rPr>
          <w:rFonts w:ascii="Times New Roman" w:hAnsi="Times New Roman" w:cs="Times New Roman"/>
          <w:sz w:val="24"/>
          <w:szCs w:val="24"/>
        </w:rPr>
        <w:t xml:space="preserve">are the concentration of DM1 and PGNSs with NIR in the combination leading to the same growth inhibition. </w:t>
      </w:r>
      <w:r>
        <w:rPr>
          <w:rFonts w:ascii="Times New Roman" w:hAnsi="Times New Roman" w:cs="Times New Roman"/>
          <w:sz w:val="24"/>
          <w:szCs w:val="24"/>
          <w:shd w:val="clear" w:color="auto" w:fill="FFFFFF"/>
        </w:rPr>
        <w:t>The values of (DX)1, (DX)2, (D)1 and (D)2 were 4.15477, 37.3929, 16.8080 and 178.738, respectively, and t</w:t>
      </w:r>
      <w:r>
        <w:rPr>
          <w:rFonts w:ascii="Times New Roman" w:hAnsi="Times New Roman" w:cs="Times New Roman"/>
          <w:sz w:val="24"/>
          <w:szCs w:val="24"/>
        </w:rPr>
        <w:t>he combination index was</w:t>
      </w:r>
      <w:r>
        <w:rPr>
          <w:rFonts w:ascii="Times New Roman" w:hAnsi="Times New Roman" w:eastAsia="宋体" w:cs="Times New Roman"/>
          <w:sz w:val="24"/>
          <w:szCs w:val="24"/>
        </w:rPr>
        <w:t xml:space="preserve"> 0.45164</w:t>
      </w:r>
      <w:r>
        <w:rPr>
          <w:rFonts w:ascii="Times New Roman" w:hAnsi="Times New Roman" w:cs="Times New Roman"/>
          <w:sz w:val="24"/>
          <w:szCs w:val="24"/>
        </w:rPr>
        <w:t xml:space="preserve"> at the IC50 value according to Figure S4B-D, which indicated the synergistic effect of DM1-mediated chemotherapy and PGNSs-mediated photothermal therapy (CI&lt;1, =1, and &gt;1 indicated synergism, additive effect and antagonism, respectively</w:t>
      </w:r>
      <w:r>
        <w:fldChar w:fldCharType="begin"/>
      </w:r>
      <w:r>
        <w:instrText xml:space="preserve"> HYPERLINK \l "_ENREF_7" \o "Chou,  #84" </w:instrText>
      </w:r>
      <w: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&lt;EndNote&gt;&lt;Cite&gt;&lt;Author&gt;Chou&lt;/Author&gt;&lt;RecNum&gt;84&lt;/RecNum&gt;&lt;DisplayText&gt;&lt;style face="superscript"&gt;7&lt;/style&gt;&lt;/DisplayText&gt;&lt;record&gt;&lt;rec-number&gt;84&lt;/rec-number&gt;&lt;foreign-keys&gt;&lt;key app="EN" db-id="d0f550xrqxv02gezpxpp0eag2wvd9dx5ex9a"&gt;84&lt;/key&gt;&lt;/foreign-keys&gt;&lt;ref-type name="Journal Article"&gt;17&lt;/ref-type&gt;&lt;contributors&gt;&lt;authors&gt;&lt;author&gt;Chou&lt;/author&gt;&lt;author&gt;T.-C.&lt;/author&gt;&lt;/authors&gt;&lt;/contributors&gt;&lt;titles&gt;&lt;title&gt;Theoretical Basis, Experimental Design, and Computerized Simulation of Synergism and Antagonism in Drug Combination Studies&lt;/title&gt;&lt;secondary-title&gt;Pharmacological Reviews&lt;/secondary-title&gt;&lt;/titles&gt;&lt;pages&gt;621-681&lt;/pages&gt;&lt;volume&gt;58&lt;/volume&gt;&lt;number&gt;3&lt;/number&gt;&lt;dates&gt;&lt;/dates&gt;&lt;urls&gt;&lt;/urls&gt;&lt;/record&gt;&lt;/Cite&gt;&lt;/EndNote&gt;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w:t>
      </w:r>
    </w:p>
    <w:p>
      <w:pPr>
        <w:autoSpaceDE w:val="0"/>
        <w:autoSpaceDN w:val="0"/>
        <w:adjustRightInd w:val="0"/>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MCF-7 cells were used to verify the higher inhibition effect of the Herceptin modified drug-loaded PGNSs (Figure S4E). Due to the targeting effect of Herceptin modification, which promoted more </w:t>
      </w:r>
      <w:r>
        <w:rPr>
          <w:rFonts w:ascii="Times New Roman" w:hAnsi="Times New Roman" w:cs="Times New Roman"/>
          <w:bCs/>
          <w:sz w:val="24"/>
          <w:szCs w:val="24"/>
        </w:rPr>
        <w:t>DM1-mPEG/HER-PGNSs</w:t>
      </w:r>
      <w:r>
        <w:rPr>
          <w:rFonts w:ascii="Times New Roman" w:hAnsi="Times New Roman" w:cs="Times New Roman"/>
          <w:sz w:val="24"/>
          <w:szCs w:val="24"/>
        </w:rPr>
        <w:t xml:space="preserve"> to be ingested into cells, higher cytotoxicity was observed with the lowest survival viability of 36% to SK-BR-3 cells (Figure 3G) which showed a significant difference (</w:t>
      </w:r>
      <w:r>
        <w:rPr>
          <w:rFonts w:ascii="Times New Roman" w:hAnsi="Times New Roman" w:cs="Times New Roman"/>
          <w:sz w:val="24"/>
          <w:szCs w:val="24"/>
          <w:vertAlign w:val="superscript"/>
        </w:rPr>
        <w:t>*</w:t>
      </w:r>
      <w:r>
        <w:rPr>
          <w:rFonts w:ascii="Times New Roman" w:hAnsi="Times New Roman" w:cs="Times New Roman"/>
          <w:i/>
          <w:sz w:val="24"/>
          <w:szCs w:val="24"/>
        </w:rPr>
        <w:t>p</w:t>
      </w:r>
      <w:r>
        <w:rPr>
          <w:rFonts w:ascii="Times New Roman" w:hAnsi="Times New Roman" w:cs="Times New Roman"/>
          <w:sz w:val="24"/>
          <w:szCs w:val="24"/>
        </w:rPr>
        <w:t>&lt;0.05) compared to the MCF-7 cells with the lowest survival viability of 57%.</w:t>
      </w:r>
      <w:bookmarkStart w:id="27" w:name="OLE_LINK71"/>
      <w:bookmarkStart w:id="28" w:name="OLE_LINK70"/>
      <w:r>
        <w:rPr>
          <w:rFonts w:ascii="Times New Roman" w:hAnsi="Times New Roman" w:cs="Times New Roman"/>
          <w:sz w:val="24"/>
          <w:szCs w:val="24"/>
        </w:rPr>
        <w:t xml:space="preserve"> Cell apoptosis is usually accompanied by a distinct set of morphological changes</w:t>
      </w:r>
      <w:bookmarkEnd w:id="27"/>
      <w:bookmarkEnd w:id="28"/>
      <w:r>
        <w:rPr>
          <w:rFonts w:ascii="Times New Roman" w:hAnsi="Times New Roman" w:cs="Times New Roman"/>
          <w:sz w:val="24"/>
          <w:szCs w:val="24"/>
        </w:rPr>
        <w:t xml:space="preserve">. As shown in the fluorescence micrographs of the nucleus in Figure S4F, the nucleus architectures were completely circular or oval with sharpened edges for the control group for both two cells. There were varying degrees of apoptosis for the different formulations of DM1 and DM1-loaded PGNSs including </w:t>
      </w:r>
      <w:r>
        <w:rPr>
          <w:rFonts w:ascii="Times New Roman" w:hAnsi="Times New Roman" w:cs="Times New Roman"/>
          <w:color w:val="000000" w:themeColor="text1"/>
          <w:sz w:val="24"/>
        </w:rPr>
        <w:t>DM1-mPEG-PGNSs</w:t>
      </w:r>
      <w:r>
        <w:rPr>
          <w:rFonts w:ascii="Times New Roman" w:hAnsi="Times New Roman" w:cs="Times New Roman"/>
          <w:sz w:val="24"/>
          <w:szCs w:val="24"/>
        </w:rPr>
        <w:t xml:space="preserve"> and </w:t>
      </w:r>
      <w:r>
        <w:rPr>
          <w:rFonts w:ascii="Times New Roman" w:hAnsi="Times New Roman" w:cs="Times New Roman"/>
          <w:bCs/>
          <w:sz w:val="24"/>
          <w:szCs w:val="24"/>
        </w:rPr>
        <w:t>DM1-mPEG/HER-PGNSs</w:t>
      </w:r>
      <w:r>
        <w:rPr>
          <w:rFonts w:ascii="Times New Roman" w:hAnsi="Times New Roman" w:cs="Times New Roman"/>
          <w:sz w:val="24"/>
          <w:szCs w:val="24"/>
        </w:rPr>
        <w:t xml:space="preserve"> including the destruction and condensation of the nuclei, some even broke up into circular particles in different sizes, which appeared as bright blue hyperchromia of granular or blocky fluorescence.</w:t>
      </w:r>
    </w:p>
    <w:p>
      <w:pPr>
        <w:pStyle w:val="28"/>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The Annexin-V/FITC and PI double staining kit was used to quantify SK-BR-3 and MCF-7 cell apoptosis (Figure S4G). The total cell apoptosis rate for the </w:t>
      </w:r>
      <w:r>
        <w:rPr>
          <w:rFonts w:ascii="Times New Roman" w:hAnsi="Times New Roman" w:cs="Times New Roman"/>
          <w:bCs/>
          <w:sz w:val="24"/>
          <w:szCs w:val="24"/>
        </w:rPr>
        <w:t>DM1-mPEG/HER-PGNSs</w:t>
      </w:r>
      <w:r>
        <w:rPr>
          <w:rFonts w:ascii="Times New Roman" w:hAnsi="Times New Roman" w:cs="Times New Roman"/>
          <w:sz w:val="24"/>
          <w:szCs w:val="24"/>
        </w:rPr>
        <w:t xml:space="preserve"> plus NIR group was ~8.4-fold and ~12.5-fold higher than the control group for MCF-7 cells and SK-BR-3 cells, respectively (Figure 3H). It was observed that the </w:t>
      </w:r>
      <w:r>
        <w:rPr>
          <w:rFonts w:ascii="Times New Roman" w:hAnsi="Times New Roman" w:cs="Times New Roman"/>
          <w:bCs/>
          <w:sz w:val="24"/>
          <w:szCs w:val="24"/>
        </w:rPr>
        <w:t>DM1-mPEG/HER-PGNSs</w:t>
      </w:r>
      <w:r>
        <w:rPr>
          <w:rFonts w:ascii="Times New Roman" w:hAnsi="Times New Roman" w:cs="Times New Roman"/>
          <w:sz w:val="24"/>
          <w:szCs w:val="24"/>
        </w:rPr>
        <w:t xml:space="preserve"> with Herceptin modification could induce more (</w:t>
      </w:r>
      <w:r>
        <w:rPr>
          <w:rFonts w:ascii="Times New Roman" w:hAnsi="Times New Roman" w:cs="Times New Roman"/>
          <w:i/>
          <w:sz w:val="24"/>
          <w:szCs w:val="24"/>
        </w:rPr>
        <w:t>p</w:t>
      </w:r>
      <w:r>
        <w:rPr>
          <w:rFonts w:ascii="Times New Roman" w:hAnsi="Times New Roman" w:cs="Times New Roman"/>
          <w:sz w:val="24"/>
          <w:szCs w:val="24"/>
        </w:rPr>
        <w:t xml:space="preserve">&lt;0.01) SK-BR-3 cell apoptosis with a higher expression of the </w:t>
      </w:r>
      <w:r>
        <w:rPr>
          <w:rFonts w:hint="eastAsia" w:ascii="Times New Roman" w:hAnsi="Times New Roman" w:cs="Times New Roman" w:eastAsiaTheme="minorEastAsia"/>
          <w:sz w:val="24"/>
          <w:szCs w:val="24"/>
        </w:rPr>
        <w:t>Her</w:t>
      </w:r>
      <w:r>
        <w:rPr>
          <w:rFonts w:ascii="Times New Roman" w:hAnsi="Times New Roman" w:cs="Times New Roman"/>
          <w:sz w:val="24"/>
          <w:szCs w:val="24"/>
        </w:rPr>
        <w:t>-2 receptor. In addition, the combination of NIR illumination could achieve a synergistic effect in both two kinds of breast cells, which corresponded to the cytotoxic study results.</w:t>
      </w:r>
    </w:p>
    <w:p>
      <w:pPr>
        <w:autoSpaceDE w:val="0"/>
        <w:autoSpaceDN w:val="0"/>
        <w:adjustRightInd w:val="0"/>
        <w:spacing w:line="480" w:lineRule="auto"/>
        <w:jc w:val="center"/>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sz w:val="24"/>
          <w:szCs w:val="24"/>
        </w:rPr>
        <w:drawing>
          <wp:inline distT="0" distB="0" distL="0" distR="0">
            <wp:extent cx="5065395" cy="5065395"/>
            <wp:effectExtent l="0" t="0" r="1905" b="1905"/>
            <wp:docPr id="6" name="图片 6" descr="E:\STUDY\YWQ\王茹师姐\BM文章\ACPS\图片\Fig.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STUDY\YWQ\王茹师姐\BM文章\ACPS\图片\Fig.S4.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073553" cy="5073553"/>
                    </a:xfrm>
                    <a:prstGeom prst="rect">
                      <a:avLst/>
                    </a:prstGeom>
                    <a:noFill/>
                    <a:ln>
                      <a:noFill/>
                    </a:ln>
                  </pic:spPr>
                </pic:pic>
              </a:graphicData>
            </a:graphic>
          </wp:inline>
        </w:drawing>
      </w:r>
    </w:p>
    <w:p>
      <w:pPr>
        <w:autoSpaceDE w:val="0"/>
        <w:autoSpaceDN w:val="0"/>
        <w:adjustRightInd w:val="0"/>
        <w:spacing w:line="480" w:lineRule="auto"/>
        <w:jc w:val="center"/>
        <w:rPr>
          <w:rFonts w:ascii="Times New Roman" w:hAnsi="Times New Roman" w:cs="Times New Roman"/>
          <w:b/>
          <w:bCs/>
          <w:sz w:val="24"/>
          <w:szCs w:val="24"/>
        </w:rPr>
      </w:pPr>
      <w:r>
        <w:rPr>
          <w:rFonts w:ascii="Times New Roman" w:hAnsi="Times New Roman" w:cs="Times New Roman"/>
          <w:b/>
          <w:sz w:val="24"/>
          <w:szCs w:val="24"/>
        </w:rPr>
        <w:t xml:space="preserve">Figure S4. </w:t>
      </w:r>
      <w:r>
        <w:rPr>
          <w:rFonts w:ascii="Times New Roman" w:hAnsi="Times New Roman" w:cs="Times New Roman"/>
          <w:sz w:val="24"/>
          <w:szCs w:val="24"/>
        </w:rPr>
        <w:t xml:space="preserve">(A) LO2 cell viability when exposed to PGNSs, mPEG-PGNSs, and </w:t>
      </w:r>
      <w:r>
        <w:rPr>
          <w:rFonts w:ascii="Times New Roman" w:hAnsi="Times New Roman" w:cs="Times New Roman"/>
          <w:bCs/>
          <w:sz w:val="24"/>
          <w:szCs w:val="24"/>
        </w:rPr>
        <w:t>mPEG/HER-PGNSs</w:t>
      </w:r>
      <w:r>
        <w:rPr>
          <w:rFonts w:ascii="Times New Roman" w:hAnsi="Times New Roman" w:cs="Times New Roman"/>
          <w:sz w:val="24"/>
          <w:szCs w:val="24"/>
        </w:rPr>
        <w:t xml:space="preserve"> for 24h; (B) SK-BR-3 cell viability when exposed to free DM1 for 24h and 48h; (C) Cell viability of PGNSs against SK-BR-3 cells; (D) Cell viability of </w:t>
      </w:r>
      <w:r>
        <w:rPr>
          <w:rFonts w:ascii="Times New Roman" w:hAnsi="Times New Roman" w:cs="Times New Roman"/>
          <w:bCs/>
          <w:sz w:val="24"/>
          <w:szCs w:val="24"/>
        </w:rPr>
        <w:t>DM1-mPEG/HER-PGNSs</w:t>
      </w:r>
      <w:r>
        <w:rPr>
          <w:rFonts w:ascii="Times New Roman" w:hAnsi="Times New Roman" w:cs="Times New Roman"/>
          <w:sz w:val="24"/>
          <w:szCs w:val="24"/>
        </w:rPr>
        <w:t xml:space="preserve"> plus NIR against SK-BR-3 cells; (E) MCF7 cell viability when exposed to PGNSs, </w:t>
      </w:r>
      <w:r>
        <w:rPr>
          <w:rFonts w:ascii="Times New Roman" w:hAnsi="Times New Roman" w:cs="Times New Roman"/>
          <w:color w:val="000000" w:themeColor="text1"/>
          <w:sz w:val="24"/>
        </w:rPr>
        <w:t>DM1-mPEG-PGNSs</w:t>
      </w:r>
      <w:r>
        <w:rPr>
          <w:rFonts w:ascii="Times New Roman" w:hAnsi="Times New Roman" w:cs="Times New Roman"/>
          <w:sz w:val="24"/>
          <w:szCs w:val="24"/>
        </w:rPr>
        <w:t xml:space="preserve">, </w:t>
      </w:r>
      <w:r>
        <w:rPr>
          <w:rFonts w:ascii="Times New Roman" w:hAnsi="Times New Roman" w:cs="Times New Roman"/>
          <w:bCs/>
          <w:sz w:val="24"/>
          <w:szCs w:val="24"/>
        </w:rPr>
        <w:t>DM1-mPEG/HER-PGNSs</w:t>
      </w:r>
      <w:r>
        <w:rPr>
          <w:rFonts w:ascii="Times New Roman" w:hAnsi="Times New Roman" w:cs="Times New Roman"/>
          <w:sz w:val="24"/>
          <w:szCs w:val="24"/>
        </w:rPr>
        <w:t xml:space="preserve"> and </w:t>
      </w:r>
      <w:r>
        <w:rPr>
          <w:rFonts w:ascii="Times New Roman" w:hAnsi="Times New Roman" w:cs="Times New Roman"/>
          <w:bCs/>
          <w:sz w:val="24"/>
          <w:szCs w:val="24"/>
        </w:rPr>
        <w:t>DM1-mPEG/HER-PGNSs</w:t>
      </w:r>
      <w:r>
        <w:rPr>
          <w:rFonts w:ascii="Times New Roman" w:hAnsi="Times New Roman" w:cs="Times New Roman"/>
          <w:sz w:val="24"/>
          <w:szCs w:val="24"/>
        </w:rPr>
        <w:t xml:space="preserve"> plus NIR illumination for 24h; (F) Fluorescence micrographs of SK-BR-3 and MCF7 cell nuclei labeled with DAPI (white arrows indicate morphological changes of nuclear, scale bar=50μm); and (G) Cell apoptosis evaluated with Annexin V-FITC/PI Apoptosis Detection kit. Cells were treated with medium, DM1, </w:t>
      </w:r>
      <w:r>
        <w:rPr>
          <w:rFonts w:ascii="Times New Roman" w:hAnsi="Times New Roman" w:cs="Times New Roman"/>
          <w:color w:val="000000" w:themeColor="text1"/>
          <w:sz w:val="24"/>
        </w:rPr>
        <w:t>DM1-mPEG-PGNSs</w:t>
      </w:r>
      <w:r>
        <w:rPr>
          <w:rFonts w:ascii="Times New Roman" w:hAnsi="Times New Roman" w:cs="Times New Roman"/>
          <w:sz w:val="24"/>
          <w:szCs w:val="24"/>
        </w:rPr>
        <w:t xml:space="preserve">, </w:t>
      </w:r>
      <w:r>
        <w:rPr>
          <w:rFonts w:ascii="Times New Roman" w:hAnsi="Times New Roman" w:cs="Times New Roman"/>
          <w:bCs/>
          <w:sz w:val="24"/>
          <w:szCs w:val="24"/>
        </w:rPr>
        <w:t>DM1-mPEG/HER-PGNSs</w:t>
      </w:r>
      <w:r>
        <w:rPr>
          <w:rFonts w:ascii="Times New Roman" w:hAnsi="Times New Roman" w:cs="Times New Roman"/>
          <w:sz w:val="24"/>
          <w:szCs w:val="24"/>
        </w:rPr>
        <w:t xml:space="preserve"> and </w:t>
      </w:r>
      <w:r>
        <w:rPr>
          <w:rFonts w:ascii="Times New Roman" w:hAnsi="Times New Roman" w:cs="Times New Roman"/>
          <w:bCs/>
          <w:sz w:val="24"/>
          <w:szCs w:val="24"/>
        </w:rPr>
        <w:t>DM1-mPEG/HER-PGNSs</w:t>
      </w:r>
      <w:r>
        <w:rPr>
          <w:rFonts w:ascii="Times New Roman" w:hAnsi="Times New Roman" w:cs="Times New Roman"/>
          <w:sz w:val="24"/>
          <w:szCs w:val="24"/>
        </w:rPr>
        <w:t xml:space="preserve"> plus NIR illumination for 24 h (</w:t>
      </w:r>
      <w:r>
        <w:rPr>
          <w:rFonts w:ascii="Times New Roman" w:hAnsi="Times New Roman" w:eastAsia="微软雅黑" w:cs="Times New Roman"/>
          <w:i/>
          <w:sz w:val="24"/>
          <w:szCs w:val="24"/>
          <w:vertAlign w:val="superscript"/>
        </w:rPr>
        <w:t>**</w:t>
      </w:r>
      <w:r>
        <w:rPr>
          <w:rFonts w:ascii="Times New Roman" w:hAnsi="Times New Roman" w:eastAsia="微软雅黑" w:cs="Times New Roman"/>
          <w:i/>
          <w:sz w:val="24"/>
          <w:szCs w:val="24"/>
        </w:rPr>
        <w:t>p&lt;</w:t>
      </w:r>
      <w:r>
        <w:rPr>
          <w:rFonts w:ascii="Times New Roman" w:hAnsi="Times New Roman" w:eastAsia="微软雅黑" w:cs="Times New Roman"/>
          <w:sz w:val="24"/>
          <w:szCs w:val="24"/>
        </w:rPr>
        <w:t xml:space="preserve">0.01, </w:t>
      </w:r>
      <w:r>
        <w:rPr>
          <w:rFonts w:ascii="Times New Roman" w:hAnsi="Times New Roman" w:eastAsia="微软雅黑" w:cs="Times New Roman"/>
          <w:i/>
          <w:sz w:val="24"/>
          <w:szCs w:val="24"/>
          <w:vertAlign w:val="superscript"/>
        </w:rPr>
        <w:t>***</w:t>
      </w:r>
      <w:r>
        <w:rPr>
          <w:rFonts w:ascii="Times New Roman" w:hAnsi="Times New Roman" w:eastAsia="微软雅黑" w:cs="Times New Roman"/>
          <w:i/>
          <w:sz w:val="24"/>
          <w:szCs w:val="24"/>
        </w:rPr>
        <w:t>p</w:t>
      </w:r>
      <w:r>
        <w:rPr>
          <w:rFonts w:ascii="Times New Roman" w:hAnsi="Times New Roman" w:eastAsia="微软雅黑" w:cs="Times New Roman"/>
          <w:sz w:val="24"/>
          <w:szCs w:val="24"/>
        </w:rPr>
        <w:t>&lt;0.001</w:t>
      </w:r>
      <w:r>
        <w:rPr>
          <w:rFonts w:ascii="Times New Roman" w:hAnsi="Times New Roman" w:eastAsia="微软雅黑" w:cs="Times New Roman"/>
          <w:i/>
          <w:sz w:val="24"/>
          <w:szCs w:val="24"/>
        </w:rPr>
        <w:t>).</w:t>
      </w:r>
    </w:p>
    <w:p>
      <w:pPr>
        <w:spacing w:line="480" w:lineRule="auto"/>
        <w:jc w:val="left"/>
        <w:rPr>
          <w:rFonts w:ascii="Times New Roman" w:hAnsi="Times New Roman" w:cs="Times New Roman"/>
          <w:sz w:val="24"/>
          <w:szCs w:val="24"/>
        </w:rPr>
      </w:pPr>
      <w:r>
        <w:rPr>
          <w:rFonts w:ascii="Times New Roman" w:hAnsi="Times New Roman" w:cs="Times New Roman"/>
          <w:b/>
          <w:sz w:val="24"/>
          <w:szCs w:val="24"/>
        </w:rPr>
        <w:t>2.5</w:t>
      </w:r>
      <w:r>
        <w:rPr>
          <w:rFonts w:ascii="Times New Roman" w:hAnsi="Times New Roman" w:cs="Times New Roman"/>
          <w:b/>
          <w:sz w:val="24"/>
          <w:szCs w:val="24"/>
        </w:rPr>
        <w:tab/>
      </w:r>
      <w:r>
        <w:rPr>
          <w:rFonts w:ascii="Times New Roman" w:hAnsi="Times New Roman" w:cs="Times New Roman"/>
          <w:b/>
          <w:sz w:val="24"/>
          <w:szCs w:val="24"/>
        </w:rPr>
        <w:t>Photoacoustic phantom imaging in vitro</w:t>
      </w:r>
    </w:p>
    <w:p>
      <w:pPr>
        <w:autoSpaceDE w:val="0"/>
        <w:autoSpaceDN w:val="0"/>
        <w:adjustRightInd w:val="0"/>
        <w:spacing w:line="480" w:lineRule="auto"/>
        <w:ind w:firstLine="420"/>
        <w:rPr>
          <w:rFonts w:ascii="Times New Roman" w:hAnsi="Times New Roman" w:cs="Times New Roman"/>
          <w:sz w:val="24"/>
          <w:szCs w:val="24"/>
        </w:rPr>
      </w:pPr>
      <w:r>
        <w:rPr>
          <w:rFonts w:ascii="Times New Roman" w:hAnsi="Times New Roman" w:cs="Times New Roman"/>
          <w:sz w:val="24"/>
          <w:szCs w:val="24"/>
        </w:rPr>
        <w:t>Different mPEG/HER-PGNSs concentrations (0.1, 0.2, 0.4, 0.6, 0.8 and 1.0 mg</w:t>
      </w:r>
      <w:r>
        <w:rPr>
          <w:rFonts w:ascii="Times New Roman" w:hAnsi="Times New Roman" w:eastAsia="黑体" w:cs="Times New Roman"/>
          <w:sz w:val="24"/>
          <w:szCs w:val="24"/>
        </w:rPr>
        <w:t xml:space="preserve"> mL</w:t>
      </w:r>
      <w:r>
        <w:rPr>
          <w:rFonts w:ascii="Times New Roman" w:hAnsi="Times New Roman" w:eastAsia="黑体" w:cs="Times New Roman"/>
          <w:sz w:val="24"/>
          <w:szCs w:val="24"/>
          <w:vertAlign w:val="superscript"/>
        </w:rPr>
        <w:t>-1</w:t>
      </w:r>
      <w:r>
        <w:rPr>
          <w:rFonts w:ascii="Times New Roman" w:hAnsi="Times New Roman" w:cs="Times New Roman"/>
          <w:sz w:val="24"/>
          <w:szCs w:val="24"/>
        </w:rPr>
        <w:t xml:space="preserve">) were imaged (Figure S5B) at a laser wavelength of 735 nm according to the result of wavelength scanning (Figure S5A). Obviously, PA intensity increased gradually with increasing concentrations of mPEG/HER-PGNSs. In addition, as shown in Figure S5C, PA intensity grew linearly with the Au concentration. </w:t>
      </w:r>
    </w:p>
    <w:p>
      <w:pPr>
        <w:autoSpaceDE w:val="0"/>
        <w:autoSpaceDN w:val="0"/>
        <w:adjustRightInd w:val="0"/>
        <w:spacing w:line="480" w:lineRule="auto"/>
        <w:ind w:firstLine="420"/>
        <w:jc w:val="left"/>
        <w:rPr>
          <w:rFonts w:ascii="Times New Roman" w:hAnsi="Times New Roman" w:cs="Times New Roman"/>
          <w:sz w:val="24"/>
          <w:szCs w:val="24"/>
        </w:rPr>
      </w:pPr>
      <w:r>
        <w:rPr>
          <w:rFonts w:ascii="Times New Roman" w:hAnsi="Times New Roman" w:cs="Times New Roman"/>
          <w:sz w:val="24"/>
          <w:szCs w:val="24"/>
        </w:rPr>
        <w:drawing>
          <wp:inline distT="0" distB="0" distL="0" distR="0">
            <wp:extent cx="6170295" cy="2245360"/>
            <wp:effectExtent l="0" t="0" r="1905" b="2540"/>
            <wp:docPr id="8" name="图片 8" descr="E:\STUDY\YWQ\王茹师姐\整理数据\第四章\Fig.S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E:\STUDY\YWQ\王茹师姐\整理数据\第四章\Fig.S8.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6190608" cy="2252806"/>
                    </a:xfrm>
                    <a:prstGeom prst="rect">
                      <a:avLst/>
                    </a:prstGeom>
                    <a:noFill/>
                    <a:ln>
                      <a:noFill/>
                    </a:ln>
                  </pic:spPr>
                </pic:pic>
              </a:graphicData>
            </a:graphic>
          </wp:inline>
        </w:drawing>
      </w:r>
    </w:p>
    <w:p>
      <w:pPr>
        <w:spacing w:line="480" w:lineRule="auto"/>
        <w:jc w:val="center"/>
        <w:rPr>
          <w:rFonts w:ascii="Times New Roman" w:hAnsi="Times New Roman" w:cs="Times New Roman"/>
          <w:sz w:val="24"/>
          <w:szCs w:val="24"/>
        </w:rPr>
      </w:pPr>
      <w:r>
        <w:rPr>
          <w:rFonts w:ascii="Times New Roman" w:hAnsi="Times New Roman" w:cs="Times New Roman"/>
          <w:b/>
          <w:sz w:val="24"/>
          <w:szCs w:val="24"/>
        </w:rPr>
        <w:t>Figure S5.</w:t>
      </w:r>
      <w:r>
        <w:rPr>
          <w:rFonts w:ascii="Times New Roman" w:hAnsi="Times New Roman" w:cs="Times New Roman"/>
          <w:sz w:val="24"/>
          <w:szCs w:val="24"/>
        </w:rPr>
        <w:t xml:space="preserve"> (A) PA wavelength scanning of mPEG/HER-PGNSs between 680-980nm; (B) PA images of mPEG/HER-PGNSs samples at different concentrations; and (C) Quantification of PA intensity versus mPEG/HER-PGNSs concentrations.</w:t>
      </w:r>
    </w:p>
    <w:p>
      <w:pPr>
        <w:autoSpaceDE w:val="0"/>
        <w:autoSpaceDN w:val="0"/>
        <w:adjustRightInd w:val="0"/>
        <w:spacing w:line="480" w:lineRule="auto"/>
        <w:jc w:val="left"/>
        <w:rPr>
          <w:rFonts w:ascii="Times New Roman" w:hAnsi="Times New Roman" w:cs="Times New Roman"/>
          <w:b/>
          <w:sz w:val="24"/>
          <w:szCs w:val="24"/>
        </w:rPr>
      </w:pPr>
      <w:r>
        <w:rPr>
          <w:rFonts w:ascii="Times New Roman" w:hAnsi="Times New Roman" w:cs="Times New Roman"/>
          <w:b/>
          <w:sz w:val="24"/>
          <w:szCs w:val="24"/>
        </w:rPr>
        <w:t>2.6</w:t>
      </w:r>
      <w:r>
        <w:rPr>
          <w:rFonts w:ascii="Times New Roman" w:hAnsi="Times New Roman" w:cs="Times New Roman"/>
          <w:b/>
          <w:sz w:val="24"/>
          <w:szCs w:val="24"/>
        </w:rPr>
        <w:tab/>
      </w:r>
      <w:r>
        <w:rPr>
          <w:rFonts w:ascii="Times New Roman" w:hAnsi="Times New Roman" w:cs="Times New Roman"/>
          <w:b/>
          <w:sz w:val="24"/>
          <w:szCs w:val="24"/>
        </w:rPr>
        <w:t>In vivo toxicity assays</w:t>
      </w:r>
    </w:p>
    <w:p>
      <w:pPr>
        <w:spacing w:line="480" w:lineRule="auto"/>
        <w:ind w:firstLine="420"/>
        <w:jc w:val="left"/>
        <w:rPr>
          <w:rFonts w:ascii="Times New Roman" w:hAnsi="Times New Roman" w:cs="Times New Roman"/>
          <w:sz w:val="24"/>
          <w:szCs w:val="24"/>
        </w:rPr>
      </w:pPr>
      <w:r>
        <w:rPr>
          <w:rFonts w:ascii="Times New Roman" w:hAnsi="Times New Roman" w:cs="Times New Roman"/>
          <w:sz w:val="24"/>
          <w:szCs w:val="24"/>
        </w:rPr>
        <w:t>The side effects of cancer chemotherapeutics on normal organs in clinical practice are an urgent problem. To evaluate the biocompatibility and toxicity of these DM1 formulations, alterations of clinical chemical parameters in mice including ALT, AST, BUN and CREA were also determined to evaluate their safety (Figure S6A). The results showed that all parameters for the different groups were substantially maintained at normal levels as well as no significant differences compared to control group were found. In addition, pathological changes in the heart, liver, spleen, lung and kidney were assayed using HE staining after treatment with different formulations. As show in Figure S6B, no obvious damage (such as inflammatory responses) in the main organs were observed during the DM1- mPEG/HER-PGNSs treatment period, while there appeared cell degeneration and necrosis in the liver tissue with the free DM1 solution. These results suggested that this delivery system did not cause remarkable damage during treatment and could decrease the side effects of DM1 to the kidney which were consistent with the weight changes</w:t>
      </w:r>
      <w:r>
        <w:rPr>
          <w:rFonts w:ascii="Times New Roman" w:hAnsi="Times New Roman" w:cs="Times New Roman"/>
          <w:sz w:val="24"/>
          <w:szCs w:val="24"/>
          <w:shd w:val="clear" w:color="auto" w:fill="FFFFFF"/>
        </w:rPr>
        <w:t xml:space="preserve"> because the nanoparticles could be ingested by hepatocytes then entered the small intestine through the bile duct, and were excreted by feces</w:t>
      </w:r>
      <w:r>
        <w:fldChar w:fldCharType="begin"/>
      </w:r>
      <w:r>
        <w:instrText xml:space="preserve"> HYPERLINK \l "_ENREF_8" \o "Johnston, 2010 #190" </w:instrText>
      </w:r>
      <w:r>
        <w:fldChar w:fldCharType="separate"/>
      </w:r>
      <w:r>
        <w:rPr>
          <w:rFonts w:ascii="Times New Roman" w:hAnsi="Times New Roman" w:cs="Times New Roman"/>
          <w:sz w:val="24"/>
          <w:szCs w:val="24"/>
          <w:shd w:val="clear" w:color="auto" w:fill="FFFFFF"/>
        </w:rPr>
        <w:fldChar w:fldCharType="begin"/>
      </w:r>
      <w:r>
        <w:rPr>
          <w:rFonts w:ascii="Times New Roman" w:hAnsi="Times New Roman" w:cs="Times New Roman"/>
          <w:sz w:val="24"/>
          <w:szCs w:val="24"/>
          <w:shd w:val="clear" w:color="auto" w:fill="FFFFFF"/>
        </w:rPr>
        <w:instrText xml:space="preserve"> ADDIN EN.CITE &lt;EndNote&gt;&lt;Cite&gt;&lt;Author&gt;Johnston&lt;/Author&gt;&lt;Year&gt;2010&lt;/Year&gt;&lt;RecNum&gt;190&lt;/RecNum&gt;&lt;DisplayText&gt;&lt;style face="superscript"&gt;8&lt;/style&gt;&lt;/DisplayText&gt;&lt;record&gt;&lt;rec-number&gt;190&lt;/rec-number&gt;&lt;foreign-keys&gt;&lt;key app="EN" db-id="d0f550xrqxv02gezpxpp0eag2wvd9dx5ex9a"&gt;190&lt;/key&gt;&lt;/foreign-keys&gt;&lt;ref-type name="Journal Article"&gt;17&lt;/ref-type&gt;&lt;contributors&gt;&lt;authors&gt;&lt;author&gt;Johnston, Helinor&lt;/author&gt;&lt;author&gt;Hutchison, Gary&lt;/author&gt;&lt;author&gt;Christensen, Frans&lt;/author&gt;&lt;author&gt;Read, Sheona&lt;/author&gt;&lt;author&gt;Hankin, Steve&lt;/author&gt;&lt;author&gt;Stone, Vicki&lt;/author&gt;&lt;/authors&gt;&lt;/contributors&gt;&lt;titles&gt;&lt;title&gt;A review of the in vivo and in vitro toxicity of silver and gold particulates: Particle attributes and biological mechanisms responsible for the observed toxicity&lt;/title&gt;&lt;secondary-title&gt;Critical reviews in toxicology&lt;/secondary-title&gt;&lt;/titles&gt;&lt;periodical&gt;&lt;full-title&gt;Critical Reviews in Toxicology&lt;/full-title&gt;&lt;abbr-1&gt;Crit. Rev. Toxicol.&lt;/abbr-1&gt;&lt;abbr-2&gt;Crit Rev Toxicol&lt;/abbr-2&gt;&lt;/periodical&gt;&lt;pages&gt;328-46&lt;/pages&gt;&lt;volume&gt;40&lt;/volume&gt;&lt;dates&gt;&lt;year&gt;2010&lt;/year&gt;&lt;pub-dates&gt;&lt;date&gt;04/01&lt;/date&gt;&lt;/pub-dates&gt;&lt;/dates&gt;&lt;urls&gt;&lt;/urls&gt;&lt;electronic-resource-num&gt;10.3109/10408440903453074&lt;/electronic-resource-num&gt;&lt;/record&gt;&lt;/Cite&gt;&lt;/EndNote&gt;</w:instrText>
      </w:r>
      <w:r>
        <w:rPr>
          <w:rFonts w:ascii="Times New Roman" w:hAnsi="Times New Roman" w:cs="Times New Roman"/>
          <w:sz w:val="24"/>
          <w:szCs w:val="24"/>
          <w:shd w:val="clear" w:color="auto" w:fill="FFFFFF"/>
        </w:rPr>
        <w:fldChar w:fldCharType="separate"/>
      </w:r>
      <w:r>
        <w:rPr>
          <w:rFonts w:ascii="Times New Roman" w:hAnsi="Times New Roman" w:cs="Times New Roman"/>
          <w:sz w:val="24"/>
          <w:szCs w:val="24"/>
          <w:shd w:val="clear" w:color="auto" w:fill="FFFFFF"/>
          <w:vertAlign w:val="superscript"/>
        </w:rPr>
        <w:t>8</w:t>
      </w:r>
      <w:r>
        <w:rPr>
          <w:rFonts w:ascii="Times New Roman" w:hAnsi="Times New Roman" w:cs="Times New Roman"/>
          <w:sz w:val="24"/>
          <w:szCs w:val="24"/>
          <w:shd w:val="clear" w:color="auto" w:fill="FFFFFF"/>
        </w:rPr>
        <w:fldChar w:fldCharType="end"/>
      </w:r>
      <w:r>
        <w:rPr>
          <w:rFonts w:ascii="Times New Roman" w:hAnsi="Times New Roman" w:cs="Times New Roman"/>
          <w:sz w:val="24"/>
          <w:szCs w:val="24"/>
          <w:shd w:val="clear" w:color="auto" w:fill="FFFFFF"/>
        </w:rPr>
        <w:fldChar w:fldCharType="end"/>
      </w:r>
      <w:r>
        <w:rPr>
          <w:rFonts w:ascii="Times New Roman" w:hAnsi="Times New Roman" w:cs="Times New Roman"/>
          <w:sz w:val="24"/>
          <w:szCs w:val="24"/>
          <w:shd w:val="clear" w:color="auto" w:fill="FFFFFF"/>
        </w:rPr>
        <w:t>.</w:t>
      </w:r>
    </w:p>
    <w:p>
      <w:pPr>
        <w:spacing w:line="480" w:lineRule="auto"/>
        <w:ind w:firstLine="420"/>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drawing>
          <wp:inline distT="0" distB="0" distL="0" distR="0">
            <wp:extent cx="5760085" cy="6547485"/>
            <wp:effectExtent l="0" t="0" r="0" b="5715"/>
            <wp:docPr id="9" name="图片 9" descr="E:\STUDY\YWQ\王茹师姐\BM文章\ACPS\图片\Fig.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STUDY\YWQ\王茹师姐\BM文章\ACPS\图片\Fig.S6.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760085" cy="6547485"/>
                    </a:xfrm>
                    <a:prstGeom prst="rect">
                      <a:avLst/>
                    </a:prstGeom>
                    <a:noFill/>
                    <a:ln>
                      <a:noFill/>
                    </a:ln>
                  </pic:spPr>
                </pic:pic>
              </a:graphicData>
            </a:graphic>
          </wp:inline>
        </w:drawing>
      </w:r>
    </w:p>
    <w:p>
      <w:pPr>
        <w:spacing w:line="480" w:lineRule="auto"/>
        <w:jc w:val="center"/>
        <w:rPr>
          <w:rFonts w:ascii="Times New Roman" w:hAnsi="Times New Roman" w:cs="Times New Roman"/>
          <w:sz w:val="24"/>
          <w:szCs w:val="24"/>
        </w:rPr>
      </w:pPr>
      <w:r>
        <w:rPr>
          <w:rFonts w:ascii="Times New Roman" w:hAnsi="Times New Roman" w:cs="Times New Roman"/>
          <w:b/>
          <w:sz w:val="24"/>
          <w:szCs w:val="24"/>
        </w:rPr>
        <w:t>Figure S6.</w:t>
      </w:r>
      <w:r>
        <w:rPr>
          <w:rFonts w:ascii="Times New Roman" w:hAnsi="Times New Roman" w:cs="Times New Roman"/>
          <w:sz w:val="24"/>
          <w:szCs w:val="24"/>
        </w:rPr>
        <w:t xml:space="preserve"> In vivo toxicity experiment. A: Liver and kidney function evaluation by detecting AST, ALT, BUN and CREA levels at the end of therapy and B: HE staining images of major organs after treatment (scale bar=100 μm, red arrow indicates damage areas).</w:t>
      </w:r>
    </w:p>
    <w:p>
      <w:pPr>
        <w:spacing w:line="480" w:lineRule="auto"/>
        <w:jc w:val="left"/>
        <w:rPr>
          <w:rFonts w:ascii="Times New Roman" w:hAnsi="Times New Roman" w:cs="Times New Roman"/>
          <w:sz w:val="24"/>
          <w:szCs w:val="24"/>
        </w:rPr>
      </w:pPr>
    </w:p>
    <w:p>
      <w:pPr>
        <w:jc w:val="left"/>
        <w:rPr>
          <w:rFonts w:ascii="Times New Roman" w:hAnsi="Times New Roman" w:cs="Times New Roman"/>
          <w:b/>
          <w:sz w:val="24"/>
          <w:szCs w:val="24"/>
        </w:rPr>
      </w:pPr>
      <w:r>
        <w:rPr>
          <w:rFonts w:ascii="Times New Roman" w:hAnsi="Times New Roman" w:cs="Times New Roman"/>
          <w:b/>
          <w:sz w:val="24"/>
          <w:szCs w:val="24"/>
        </w:rPr>
        <w:t>References</w:t>
      </w:r>
    </w:p>
    <w:p>
      <w:pPr>
        <w:pStyle w:val="28"/>
        <w:rPr>
          <w:rFonts w:ascii="Times New Roman" w:hAnsi="Times New Roman" w:cs="Times New Roman"/>
        </w:rPr>
      </w:pPr>
      <w:r>
        <w:rPr>
          <w:rFonts w:ascii="Times New Roman" w:hAnsi="Times New Roman" w:cs="Times New Roman" w:eastAsiaTheme="minorEastAsia"/>
          <w:sz w:val="24"/>
          <w:szCs w:val="24"/>
        </w:rPr>
        <w:fldChar w:fldCharType="begin"/>
      </w:r>
      <w:r>
        <w:rPr>
          <w:rFonts w:ascii="Times New Roman" w:hAnsi="Times New Roman" w:cs="Times New Roman" w:eastAsiaTheme="minorEastAsia"/>
          <w:sz w:val="24"/>
          <w:szCs w:val="24"/>
        </w:rPr>
        <w:instrText xml:space="preserve"> ADDIN EN.REFLIST </w:instrText>
      </w:r>
      <w:r>
        <w:rPr>
          <w:rFonts w:ascii="Times New Roman" w:hAnsi="Times New Roman" w:cs="Times New Roman" w:eastAsiaTheme="minorEastAsia"/>
          <w:sz w:val="24"/>
          <w:szCs w:val="24"/>
        </w:rPr>
        <w:fldChar w:fldCharType="separate"/>
      </w:r>
      <w:bookmarkStart w:id="29" w:name="_ENREF_1"/>
      <w:r>
        <w:rPr>
          <w:rFonts w:ascii="Times New Roman" w:hAnsi="Times New Roman" w:cs="Times New Roman"/>
        </w:rPr>
        <w:t>1</w:t>
      </w:r>
      <w:r>
        <w:rPr>
          <w:rFonts w:ascii="Times New Roman" w:hAnsi="Times New Roman" w:eastAsia="System" w:cs="Times New Roman"/>
        </w:rPr>
        <w:t>.</w:t>
      </w:r>
      <w:r>
        <w:rPr>
          <w:rFonts w:ascii="Times New Roman" w:hAnsi="Times New Roman" w:cs="Times New Roman"/>
        </w:rPr>
        <w:t>R. Wang, J. Deng, D. He, E. Yang, W. Yang, D. Shi, et al., PEGylated hollow gold nanoparticles for combined X-ray radiation and photothermal therapy in vitro and enhanced CT imaging in vivo, Nanomedicine, 16 (2019) 195-205.</w:t>
      </w:r>
      <w:bookmarkEnd w:id="29"/>
    </w:p>
    <w:p>
      <w:pPr>
        <w:pStyle w:val="28"/>
        <w:rPr>
          <w:rFonts w:ascii="Times New Roman" w:hAnsi="Times New Roman" w:cs="Times New Roman"/>
        </w:rPr>
      </w:pPr>
      <w:bookmarkStart w:id="30" w:name="_ENREF_2"/>
      <w:r>
        <w:rPr>
          <w:rFonts w:ascii="Times New Roman" w:hAnsi="Times New Roman" w:cs="Times New Roman"/>
        </w:rPr>
        <w:t>2</w:t>
      </w:r>
      <w:r>
        <w:rPr>
          <w:rFonts w:ascii="Times New Roman" w:hAnsi="Times New Roman" w:eastAsia="System" w:cs="Times New Roman"/>
        </w:rPr>
        <w:t>.</w:t>
      </w:r>
      <w:r>
        <w:rPr>
          <w:rFonts w:ascii="Times New Roman" w:hAnsi="Times New Roman" w:cs="Times New Roman"/>
        </w:rPr>
        <w:t>Y. Yang, Y. Lin, D. Di, X. Zhang, D. Wang, Q. Zhao, et al., Gold nanoparticle-gated mesoporous silica as redox-triggered drug delivery for chemo-photothermal synergistic therapy, J. Colloid Interface Sci., 508 (2017) 323-331.</w:t>
      </w:r>
      <w:bookmarkEnd w:id="30"/>
    </w:p>
    <w:p>
      <w:pPr>
        <w:pStyle w:val="28"/>
        <w:rPr>
          <w:rFonts w:ascii="Times New Roman" w:hAnsi="Times New Roman" w:cs="Times New Roman"/>
        </w:rPr>
      </w:pPr>
      <w:bookmarkStart w:id="31" w:name="_ENREF_3"/>
      <w:r>
        <w:rPr>
          <w:rFonts w:ascii="Times New Roman" w:hAnsi="Times New Roman" w:cs="Times New Roman"/>
        </w:rPr>
        <w:t>3</w:t>
      </w:r>
      <w:r>
        <w:rPr>
          <w:rFonts w:ascii="Times New Roman" w:hAnsi="Times New Roman" w:eastAsia="System" w:cs="Times New Roman"/>
        </w:rPr>
        <w:t>.</w:t>
      </w:r>
      <w:r>
        <w:rPr>
          <w:rFonts w:ascii="Times New Roman" w:hAnsi="Times New Roman" w:cs="Times New Roman"/>
        </w:rPr>
        <w:t>Y. Li, D. He, J. Tu, R. Wang, C. Zu, Y. Chen, et al., The comparative effect of wrapping solid gold nanoparticles and hollow gold nanoparticles with doxorubicin-loaded thermosensitive liposomes for cancer thermo-chemotherapy, 10 (2018) 10.1039.C1037NR09083H.</w:t>
      </w:r>
      <w:bookmarkEnd w:id="31"/>
    </w:p>
    <w:p>
      <w:pPr>
        <w:pStyle w:val="28"/>
        <w:rPr>
          <w:rFonts w:ascii="Times New Roman" w:hAnsi="Times New Roman" w:cs="Times New Roman"/>
        </w:rPr>
      </w:pPr>
      <w:bookmarkStart w:id="32" w:name="_ENREF_4"/>
      <w:r>
        <w:rPr>
          <w:rFonts w:ascii="Times New Roman" w:hAnsi="Times New Roman" w:cs="Times New Roman"/>
        </w:rPr>
        <w:t>4</w:t>
      </w:r>
      <w:r>
        <w:rPr>
          <w:rFonts w:ascii="Times New Roman" w:hAnsi="Times New Roman" w:eastAsia="System" w:cs="Times New Roman"/>
        </w:rPr>
        <w:t>.</w:t>
      </w:r>
      <w:r>
        <w:rPr>
          <w:rFonts w:ascii="Times New Roman" w:hAnsi="Times New Roman" w:cs="Times New Roman"/>
        </w:rPr>
        <w:t>S. Aryal, R. B.K.C, N. Dharmaraj, N. Bhattarai, C.H. Kim, H.Y. Kim, Spectroscopic identification of SAu interaction in cysteine capped gold nanoparticles, Spectrochimica Acta Part A: Molecular and Biomolecular Spectroscopy, 63 (2006) 160-163.</w:t>
      </w:r>
      <w:bookmarkEnd w:id="32"/>
    </w:p>
    <w:p>
      <w:pPr>
        <w:pStyle w:val="28"/>
        <w:rPr>
          <w:rFonts w:ascii="Times New Roman" w:hAnsi="Times New Roman" w:cs="Times New Roman"/>
        </w:rPr>
      </w:pPr>
      <w:bookmarkStart w:id="33" w:name="_ENREF_5"/>
      <w:r>
        <w:rPr>
          <w:rFonts w:ascii="Times New Roman" w:hAnsi="Times New Roman" w:cs="Times New Roman"/>
        </w:rPr>
        <w:t>5</w:t>
      </w:r>
      <w:r>
        <w:rPr>
          <w:rFonts w:ascii="Times New Roman" w:hAnsi="Times New Roman" w:eastAsia="System" w:cs="Times New Roman"/>
        </w:rPr>
        <w:t>.</w:t>
      </w:r>
      <w:r>
        <w:rPr>
          <w:rFonts w:ascii="Times New Roman" w:hAnsi="Times New Roman" w:cs="Times New Roman"/>
        </w:rPr>
        <w:t>J.J.F. Verhoef, T.J. Anchordoquy, Questioning the use of PEGylation for drug delivery, Drug Deliv Transl Res, 3 (2013) 499-503.</w:t>
      </w:r>
      <w:bookmarkEnd w:id="33"/>
    </w:p>
    <w:p>
      <w:pPr>
        <w:pStyle w:val="28"/>
        <w:rPr>
          <w:rFonts w:ascii="Times New Roman" w:hAnsi="Times New Roman" w:cs="Times New Roman"/>
        </w:rPr>
      </w:pPr>
      <w:bookmarkStart w:id="34" w:name="_ENREF_6"/>
      <w:r>
        <w:rPr>
          <w:rFonts w:ascii="Times New Roman" w:hAnsi="Times New Roman" w:cs="Times New Roman"/>
        </w:rPr>
        <w:t>6</w:t>
      </w:r>
      <w:r>
        <w:rPr>
          <w:rFonts w:ascii="Times New Roman" w:hAnsi="Times New Roman" w:eastAsia="System" w:cs="Times New Roman"/>
        </w:rPr>
        <w:t>.</w:t>
      </w:r>
      <w:r>
        <w:rPr>
          <w:rFonts w:ascii="Times New Roman" w:hAnsi="Times New Roman" w:cs="Times New Roman"/>
        </w:rPr>
        <w:t>W. Lei, C. Sun, T. Jiang, Y. Gao, Y. Yang, Q. Zhao, et al., Polydopamine-coated mesoporous silica nanoparticles for multi-responsive drug delivery and combined chemo-photothermal therapy, Materials Science and Engineering: C, 105 (2019) 110103.</w:t>
      </w:r>
      <w:bookmarkEnd w:id="34"/>
    </w:p>
    <w:p>
      <w:pPr>
        <w:pStyle w:val="28"/>
        <w:rPr>
          <w:rFonts w:ascii="Times New Roman" w:hAnsi="Times New Roman" w:cs="Times New Roman"/>
        </w:rPr>
      </w:pPr>
      <w:bookmarkStart w:id="35" w:name="_ENREF_7"/>
      <w:r>
        <w:rPr>
          <w:rFonts w:ascii="Times New Roman" w:hAnsi="Times New Roman" w:cs="Times New Roman"/>
        </w:rPr>
        <w:t>7</w:t>
      </w:r>
      <w:r>
        <w:rPr>
          <w:rFonts w:ascii="Times New Roman" w:hAnsi="Times New Roman" w:eastAsia="System" w:cs="Times New Roman"/>
        </w:rPr>
        <w:t>.</w:t>
      </w:r>
      <w:r>
        <w:rPr>
          <w:rFonts w:ascii="Times New Roman" w:hAnsi="Times New Roman" w:cs="Times New Roman"/>
        </w:rPr>
        <w:t>Chou, T.-C., Theoretical Basis, Experimental Design, and Computerized Simulation of Synergism and Antagonism in Drug Combination Studies, Pharmacological Reviews, 58  621-681.</w:t>
      </w:r>
      <w:bookmarkEnd w:id="35"/>
    </w:p>
    <w:p>
      <w:pPr>
        <w:pStyle w:val="28"/>
        <w:rPr>
          <w:rFonts w:ascii="Times New Roman" w:hAnsi="Times New Roman" w:cs="Times New Roman"/>
        </w:rPr>
      </w:pPr>
      <w:bookmarkStart w:id="36" w:name="_ENREF_8"/>
      <w:r>
        <w:rPr>
          <w:rFonts w:ascii="Times New Roman" w:hAnsi="Times New Roman" w:cs="Times New Roman"/>
        </w:rPr>
        <w:t>8</w:t>
      </w:r>
      <w:r>
        <w:rPr>
          <w:rFonts w:ascii="Times New Roman" w:hAnsi="Times New Roman" w:eastAsia="System" w:cs="Times New Roman"/>
        </w:rPr>
        <w:t>.</w:t>
      </w:r>
      <w:r>
        <w:rPr>
          <w:rFonts w:ascii="Times New Roman" w:hAnsi="Times New Roman" w:cs="Times New Roman"/>
        </w:rPr>
        <w:t>H. Johnston, G. Hutchison, F. Christensen, S. Read, S. Hankin, V. Stone, A review of the in vivo and in vitro toxicity of silver and gold particulates: Particle attributes and biological mechanisms responsible for the observed toxicity, Crit. Rev. Toxicol., 40 (2010) 328-346.</w:t>
      </w:r>
      <w:bookmarkEnd w:id="36"/>
    </w:p>
    <w:p>
      <w:pPr>
        <w:jc w:val="left"/>
        <w:rPr>
          <w:rFonts w:ascii="Times New Roman" w:hAnsi="Times New Roman" w:cs="Times New Roman"/>
          <w:sz w:val="24"/>
          <w:szCs w:val="24"/>
        </w:rPr>
      </w:pPr>
      <w:r>
        <w:rPr>
          <w:rFonts w:ascii="Times New Roman" w:hAnsi="Times New Roman" w:cs="Times New Roman"/>
          <w:sz w:val="24"/>
          <w:szCs w:val="24"/>
        </w:rPr>
        <w:fldChar w:fldCharType="end"/>
      </w: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等线 Light">
    <w:panose1 w:val="02010600030101010101"/>
    <w:charset w:val="86"/>
    <w:family w:val="roman"/>
    <w:pitch w:val="default"/>
    <w:sig w:usb0="A00002BF" w:usb1="38CF7CFA" w:usb2="00000016" w:usb3="00000000" w:csb0="0004000F" w:csb1="00000000"/>
  </w:font>
  <w:font w:name="Times">
    <w:altName w:val="Times New Roman"/>
    <w:panose1 w:val="02020603050405020304"/>
    <w:charset w:val="00"/>
    <w:family w:val="auto"/>
    <w:pitch w:val="default"/>
    <w:sig w:usb0="00000000" w:usb1="00000000" w:usb2="00000000" w:usb3="00000000" w:csb0="0000019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AdvOT2e364b11+fb">
    <w:altName w:val="微软雅黑"/>
    <w:panose1 w:val="00000000000000000000"/>
    <w:charset w:val="86"/>
    <w:family w:val="auto"/>
    <w:pitch w:val="default"/>
    <w:sig w:usb0="00000000" w:usb1="00000000" w:usb2="00000010" w:usb3="00000000" w:csb0="00040000" w:csb1="00000000"/>
  </w:font>
  <w:font w:name="System">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5073381"/>
      <w:docPartObj>
        <w:docPartGallery w:val="autotext"/>
      </w:docPartObj>
    </w:sdtPr>
    <w:sdtEndPr>
      <w:rPr>
        <w:rFonts w:ascii="Times New Roman" w:hAnsi="Times New Roman" w:cs="Times New Roman"/>
        <w:sz w:val="24"/>
        <w:szCs w:val="24"/>
      </w:rPr>
    </w:sdtEndPr>
    <w:sdtContent>
      <w:p>
        <w:pPr>
          <w:pStyle w:val="13"/>
          <w:jc w:val="right"/>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18</w:t>
        </w:r>
        <w:r>
          <w:rPr>
            <w:rFonts w:ascii="Times New Roman" w:hAnsi="Times New Roman" w:cs="Times New Roman"/>
            <w:sz w:val="24"/>
            <w:szCs w:val="24"/>
          </w:rPr>
          <w:fldChar w:fldCharType="end"/>
        </w:r>
      </w:p>
    </w:sdtContent>
  </w:sdt>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E17B2"/>
    <w:multiLevelType w:val="multilevel"/>
    <w:tmpl w:val="128E17B2"/>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rPr>
        <w:color w:val="000000" w:themeColor="text1"/>
      </w:rPr>
    </w:lvl>
    <w:lvl w:ilvl="2" w:tentative="0">
      <w:start w:val="1"/>
      <w:numFmt w:val="decimal"/>
      <w:pStyle w:val="4"/>
      <w:lvlText w:val="%1.%2.%3"/>
      <w:lvlJc w:val="left"/>
      <w:pPr>
        <w:ind w:left="720" w:hanging="720"/>
      </w:pPr>
      <w:rPr>
        <w:color w:val="000000" w:themeColor="text1"/>
      </w:r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EN.InstantFormat" w:val="&lt;ENInstantFormat&gt;&lt;Enabled&gt;1&lt;/Enabled&gt;&lt;ScanUnformatted&gt;1&lt;/ScanUnformatted&gt;&lt;ScanChanges&gt;1&lt;/ScanChanges&gt;&lt;Suspended&gt;0&lt;/Suspended&gt;&lt;/ENInstantFormat&gt;"/>
    <w:docVar w:name="EN.Layout" w:val="&lt;ENLayout&gt;&lt;Style&gt;J Controlled Release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d0f550xrqxv02gezpxpp0eag2wvd9dx5ex9a&quot;&gt;My EndNote Library&lt;record-ids&gt;&lt;item&gt;84&lt;/item&gt;&lt;item&gt;87&lt;/item&gt;&lt;item&gt;91&lt;/item&gt;&lt;item&gt;92&lt;/item&gt;&lt;item&gt;99&lt;/item&gt;&lt;item&gt;190&lt;/item&gt;&lt;/record-ids&gt;&lt;/item&gt;&lt;/Libraries&gt;"/>
  </w:docVars>
  <w:rsids>
    <w:rsidRoot w:val="00725C4A"/>
    <w:rsid w:val="00003CBC"/>
    <w:rsid w:val="000150BC"/>
    <w:rsid w:val="00025C59"/>
    <w:rsid w:val="00052ABB"/>
    <w:rsid w:val="00066A90"/>
    <w:rsid w:val="000A33A2"/>
    <w:rsid w:val="000D5BD8"/>
    <w:rsid w:val="00105E33"/>
    <w:rsid w:val="00114EFC"/>
    <w:rsid w:val="0014240C"/>
    <w:rsid w:val="00151B5F"/>
    <w:rsid w:val="00154277"/>
    <w:rsid w:val="00155CB6"/>
    <w:rsid w:val="00160A99"/>
    <w:rsid w:val="001756F5"/>
    <w:rsid w:val="00192B2B"/>
    <w:rsid w:val="001A7287"/>
    <w:rsid w:val="001C4E45"/>
    <w:rsid w:val="001C52B7"/>
    <w:rsid w:val="001D618C"/>
    <w:rsid w:val="001D6B2A"/>
    <w:rsid w:val="001E1306"/>
    <w:rsid w:val="001F65AA"/>
    <w:rsid w:val="00206107"/>
    <w:rsid w:val="00224BBC"/>
    <w:rsid w:val="00225284"/>
    <w:rsid w:val="00231B84"/>
    <w:rsid w:val="002406D7"/>
    <w:rsid w:val="00286338"/>
    <w:rsid w:val="00290CAD"/>
    <w:rsid w:val="00292321"/>
    <w:rsid w:val="0029567B"/>
    <w:rsid w:val="002A1854"/>
    <w:rsid w:val="002C00F0"/>
    <w:rsid w:val="002C645B"/>
    <w:rsid w:val="002D5DCB"/>
    <w:rsid w:val="002E2D67"/>
    <w:rsid w:val="002F31E9"/>
    <w:rsid w:val="00300F5E"/>
    <w:rsid w:val="00320E4E"/>
    <w:rsid w:val="003341FA"/>
    <w:rsid w:val="00374814"/>
    <w:rsid w:val="00375536"/>
    <w:rsid w:val="00380797"/>
    <w:rsid w:val="003955BF"/>
    <w:rsid w:val="003971A0"/>
    <w:rsid w:val="003A0F0F"/>
    <w:rsid w:val="003B27D9"/>
    <w:rsid w:val="003C5042"/>
    <w:rsid w:val="003D25E0"/>
    <w:rsid w:val="003E6186"/>
    <w:rsid w:val="003F6073"/>
    <w:rsid w:val="0040085B"/>
    <w:rsid w:val="00422A08"/>
    <w:rsid w:val="00432EC3"/>
    <w:rsid w:val="0043326E"/>
    <w:rsid w:val="0044501F"/>
    <w:rsid w:val="004850E5"/>
    <w:rsid w:val="004932E7"/>
    <w:rsid w:val="004D53DC"/>
    <w:rsid w:val="005054E5"/>
    <w:rsid w:val="005141FA"/>
    <w:rsid w:val="005201CB"/>
    <w:rsid w:val="005221EB"/>
    <w:rsid w:val="00527778"/>
    <w:rsid w:val="00532B31"/>
    <w:rsid w:val="005356BB"/>
    <w:rsid w:val="00552C56"/>
    <w:rsid w:val="00566047"/>
    <w:rsid w:val="00574FFF"/>
    <w:rsid w:val="00586CF3"/>
    <w:rsid w:val="005A1399"/>
    <w:rsid w:val="005C529B"/>
    <w:rsid w:val="00602B40"/>
    <w:rsid w:val="00604189"/>
    <w:rsid w:val="006324F4"/>
    <w:rsid w:val="00641116"/>
    <w:rsid w:val="006539B8"/>
    <w:rsid w:val="00666F8F"/>
    <w:rsid w:val="00674783"/>
    <w:rsid w:val="006A3F89"/>
    <w:rsid w:val="006B17A0"/>
    <w:rsid w:val="006B6182"/>
    <w:rsid w:val="006F7973"/>
    <w:rsid w:val="007134B8"/>
    <w:rsid w:val="00725C4A"/>
    <w:rsid w:val="00732F63"/>
    <w:rsid w:val="0074394F"/>
    <w:rsid w:val="007607A6"/>
    <w:rsid w:val="00764465"/>
    <w:rsid w:val="007831C3"/>
    <w:rsid w:val="00787757"/>
    <w:rsid w:val="007A0E8D"/>
    <w:rsid w:val="007C43B0"/>
    <w:rsid w:val="007D2B26"/>
    <w:rsid w:val="0080632F"/>
    <w:rsid w:val="00817F0D"/>
    <w:rsid w:val="00827E0F"/>
    <w:rsid w:val="00885AA8"/>
    <w:rsid w:val="00891165"/>
    <w:rsid w:val="00892EE6"/>
    <w:rsid w:val="008946B6"/>
    <w:rsid w:val="008B54C6"/>
    <w:rsid w:val="008B5A9C"/>
    <w:rsid w:val="008B7C25"/>
    <w:rsid w:val="008C53CE"/>
    <w:rsid w:val="008C6A1A"/>
    <w:rsid w:val="008D1564"/>
    <w:rsid w:val="008E51CC"/>
    <w:rsid w:val="00917832"/>
    <w:rsid w:val="00930680"/>
    <w:rsid w:val="00936E1A"/>
    <w:rsid w:val="009770EB"/>
    <w:rsid w:val="0098382C"/>
    <w:rsid w:val="00994AB8"/>
    <w:rsid w:val="009A0957"/>
    <w:rsid w:val="009D0277"/>
    <w:rsid w:val="009D16E7"/>
    <w:rsid w:val="009E4427"/>
    <w:rsid w:val="009F0370"/>
    <w:rsid w:val="009F294D"/>
    <w:rsid w:val="00A11EFC"/>
    <w:rsid w:val="00A61108"/>
    <w:rsid w:val="00A63FD7"/>
    <w:rsid w:val="00A6585A"/>
    <w:rsid w:val="00A6644B"/>
    <w:rsid w:val="00A71721"/>
    <w:rsid w:val="00AA5FA1"/>
    <w:rsid w:val="00AB0F90"/>
    <w:rsid w:val="00AB3E06"/>
    <w:rsid w:val="00AC027D"/>
    <w:rsid w:val="00AD1748"/>
    <w:rsid w:val="00AD6A36"/>
    <w:rsid w:val="00AE6725"/>
    <w:rsid w:val="00AF2B81"/>
    <w:rsid w:val="00B07C04"/>
    <w:rsid w:val="00B14A66"/>
    <w:rsid w:val="00B20E17"/>
    <w:rsid w:val="00B271AC"/>
    <w:rsid w:val="00B34A86"/>
    <w:rsid w:val="00B35351"/>
    <w:rsid w:val="00B66488"/>
    <w:rsid w:val="00B74A1C"/>
    <w:rsid w:val="00B769FC"/>
    <w:rsid w:val="00BB0107"/>
    <w:rsid w:val="00BB2FC4"/>
    <w:rsid w:val="00BB668A"/>
    <w:rsid w:val="00BD15E7"/>
    <w:rsid w:val="00BD5E95"/>
    <w:rsid w:val="00BD6356"/>
    <w:rsid w:val="00BE3612"/>
    <w:rsid w:val="00BF1304"/>
    <w:rsid w:val="00C03120"/>
    <w:rsid w:val="00C20D42"/>
    <w:rsid w:val="00C2341F"/>
    <w:rsid w:val="00C24A16"/>
    <w:rsid w:val="00C25773"/>
    <w:rsid w:val="00C25BFD"/>
    <w:rsid w:val="00C353CC"/>
    <w:rsid w:val="00C459FD"/>
    <w:rsid w:val="00C51393"/>
    <w:rsid w:val="00C673F1"/>
    <w:rsid w:val="00C7209F"/>
    <w:rsid w:val="00C821EB"/>
    <w:rsid w:val="00C96674"/>
    <w:rsid w:val="00CA3F24"/>
    <w:rsid w:val="00CA64C8"/>
    <w:rsid w:val="00CB1B20"/>
    <w:rsid w:val="00D04229"/>
    <w:rsid w:val="00D070FC"/>
    <w:rsid w:val="00D273AD"/>
    <w:rsid w:val="00D41CEF"/>
    <w:rsid w:val="00D43D78"/>
    <w:rsid w:val="00D52E1E"/>
    <w:rsid w:val="00D7238A"/>
    <w:rsid w:val="00D75F5B"/>
    <w:rsid w:val="00D86156"/>
    <w:rsid w:val="00D86956"/>
    <w:rsid w:val="00D91B05"/>
    <w:rsid w:val="00D97DD9"/>
    <w:rsid w:val="00D97E1B"/>
    <w:rsid w:val="00DA28B6"/>
    <w:rsid w:val="00DA5DD1"/>
    <w:rsid w:val="00DC5C89"/>
    <w:rsid w:val="00DD15D3"/>
    <w:rsid w:val="00DE33CB"/>
    <w:rsid w:val="00DE573A"/>
    <w:rsid w:val="00E012F7"/>
    <w:rsid w:val="00E0763C"/>
    <w:rsid w:val="00E10656"/>
    <w:rsid w:val="00E17764"/>
    <w:rsid w:val="00E17F0B"/>
    <w:rsid w:val="00E472B3"/>
    <w:rsid w:val="00E47BE3"/>
    <w:rsid w:val="00E50B0F"/>
    <w:rsid w:val="00E53726"/>
    <w:rsid w:val="00E5673E"/>
    <w:rsid w:val="00E6635B"/>
    <w:rsid w:val="00EA74D5"/>
    <w:rsid w:val="00EC1577"/>
    <w:rsid w:val="00ED1E1A"/>
    <w:rsid w:val="00ED1F30"/>
    <w:rsid w:val="00ED31E4"/>
    <w:rsid w:val="00ED4322"/>
    <w:rsid w:val="00EE4339"/>
    <w:rsid w:val="00EF6E37"/>
    <w:rsid w:val="00F04E3B"/>
    <w:rsid w:val="00F21A53"/>
    <w:rsid w:val="00F2400C"/>
    <w:rsid w:val="00F34C69"/>
    <w:rsid w:val="00F4398A"/>
    <w:rsid w:val="00F53681"/>
    <w:rsid w:val="00F55735"/>
    <w:rsid w:val="00F61AB3"/>
    <w:rsid w:val="00F7362D"/>
    <w:rsid w:val="00F77CD1"/>
    <w:rsid w:val="00F8052D"/>
    <w:rsid w:val="00F9706A"/>
    <w:rsid w:val="00FA30B8"/>
    <w:rsid w:val="00FB6877"/>
    <w:rsid w:val="00FC3959"/>
    <w:rsid w:val="00FF0ED5"/>
    <w:rsid w:val="00FF578C"/>
    <w:rsid w:val="32FB55AC"/>
    <w:rsid w:val="528815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8"/>
    <w:qFormat/>
    <w:uiPriority w:val="9"/>
    <w:pPr>
      <w:keepNext/>
      <w:keepLines/>
      <w:widowControl/>
      <w:numPr>
        <w:ilvl w:val="0"/>
        <w:numId w:val="1"/>
      </w:numPr>
      <w:spacing w:before="240" w:line="276" w:lineRule="auto"/>
      <w:jc w:val="left"/>
      <w:outlineLvl w:val="0"/>
    </w:pPr>
    <w:rPr>
      <w:rFonts w:ascii="Times New Roman" w:hAnsi="Times New Roman" w:eastAsiaTheme="majorEastAsia" w:cstheme="majorBidi"/>
      <w:b/>
      <w:color w:val="000000" w:themeColor="text1"/>
      <w:kern w:val="0"/>
      <w:sz w:val="24"/>
      <w:szCs w:val="32"/>
      <w:lang w:eastAsia="en-US"/>
    </w:rPr>
  </w:style>
  <w:style w:type="paragraph" w:styleId="3">
    <w:name w:val="heading 2"/>
    <w:basedOn w:val="1"/>
    <w:next w:val="1"/>
    <w:link w:val="39"/>
    <w:unhideWhenUsed/>
    <w:qFormat/>
    <w:uiPriority w:val="9"/>
    <w:pPr>
      <w:keepNext/>
      <w:keepLines/>
      <w:widowControl/>
      <w:numPr>
        <w:ilvl w:val="1"/>
        <w:numId w:val="1"/>
      </w:numPr>
      <w:spacing w:before="40" w:line="276" w:lineRule="auto"/>
      <w:jc w:val="left"/>
      <w:outlineLvl w:val="1"/>
    </w:pPr>
    <w:rPr>
      <w:rFonts w:ascii="Times New Roman" w:hAnsi="Times New Roman" w:eastAsiaTheme="majorEastAsia" w:cstheme="majorBidi"/>
      <w:b/>
      <w:color w:val="000000" w:themeColor="text1"/>
      <w:kern w:val="0"/>
      <w:sz w:val="24"/>
      <w:szCs w:val="26"/>
      <w:lang w:eastAsia="en-US"/>
    </w:rPr>
  </w:style>
  <w:style w:type="paragraph" w:styleId="4">
    <w:name w:val="heading 3"/>
    <w:basedOn w:val="1"/>
    <w:next w:val="1"/>
    <w:link w:val="40"/>
    <w:unhideWhenUsed/>
    <w:qFormat/>
    <w:uiPriority w:val="9"/>
    <w:pPr>
      <w:keepNext/>
      <w:keepLines/>
      <w:widowControl/>
      <w:numPr>
        <w:ilvl w:val="2"/>
        <w:numId w:val="1"/>
      </w:numPr>
      <w:spacing w:before="40" w:line="276" w:lineRule="auto"/>
      <w:jc w:val="left"/>
      <w:outlineLvl w:val="2"/>
    </w:pPr>
    <w:rPr>
      <w:rFonts w:ascii="Times New Roman" w:hAnsi="Times New Roman" w:eastAsiaTheme="majorEastAsia" w:cstheme="majorBidi"/>
      <w:i/>
      <w:color w:val="000000" w:themeColor="text1"/>
      <w:kern w:val="0"/>
      <w:sz w:val="24"/>
      <w:szCs w:val="24"/>
      <w:lang w:eastAsia="en-US"/>
    </w:rPr>
  </w:style>
  <w:style w:type="paragraph" w:styleId="5">
    <w:name w:val="heading 4"/>
    <w:basedOn w:val="1"/>
    <w:next w:val="1"/>
    <w:link w:val="41"/>
    <w:unhideWhenUsed/>
    <w:qFormat/>
    <w:uiPriority w:val="9"/>
    <w:pPr>
      <w:keepNext/>
      <w:keepLines/>
      <w:widowControl/>
      <w:numPr>
        <w:ilvl w:val="3"/>
        <w:numId w:val="1"/>
      </w:numPr>
      <w:spacing w:before="40" w:line="276" w:lineRule="auto"/>
      <w:jc w:val="left"/>
      <w:outlineLvl w:val="3"/>
    </w:pPr>
    <w:rPr>
      <w:rFonts w:ascii="Times New Roman" w:hAnsi="Times New Roman" w:eastAsiaTheme="majorEastAsia" w:cstheme="majorBidi"/>
      <w:i/>
      <w:iCs/>
      <w:color w:val="000000" w:themeColor="text1"/>
      <w:kern w:val="0"/>
      <w:sz w:val="24"/>
      <w:lang w:eastAsia="en-US"/>
    </w:rPr>
  </w:style>
  <w:style w:type="paragraph" w:styleId="6">
    <w:name w:val="heading 5"/>
    <w:basedOn w:val="1"/>
    <w:next w:val="1"/>
    <w:link w:val="42"/>
    <w:semiHidden/>
    <w:unhideWhenUsed/>
    <w:qFormat/>
    <w:uiPriority w:val="9"/>
    <w:pPr>
      <w:keepNext/>
      <w:keepLines/>
      <w:widowControl/>
      <w:numPr>
        <w:ilvl w:val="4"/>
        <w:numId w:val="1"/>
      </w:numPr>
      <w:spacing w:before="40" w:line="276" w:lineRule="auto"/>
      <w:jc w:val="left"/>
      <w:outlineLvl w:val="4"/>
    </w:pPr>
    <w:rPr>
      <w:rFonts w:asciiTheme="majorHAnsi" w:hAnsiTheme="majorHAnsi" w:eastAsiaTheme="majorEastAsia" w:cstheme="majorBidi"/>
      <w:color w:val="2F5496" w:themeColor="accent1" w:themeShade="BF"/>
      <w:kern w:val="0"/>
      <w:sz w:val="22"/>
      <w:lang w:eastAsia="en-US"/>
    </w:rPr>
  </w:style>
  <w:style w:type="paragraph" w:styleId="7">
    <w:name w:val="heading 6"/>
    <w:basedOn w:val="1"/>
    <w:next w:val="1"/>
    <w:link w:val="43"/>
    <w:semiHidden/>
    <w:unhideWhenUsed/>
    <w:qFormat/>
    <w:uiPriority w:val="9"/>
    <w:pPr>
      <w:keepNext/>
      <w:keepLines/>
      <w:widowControl/>
      <w:numPr>
        <w:ilvl w:val="5"/>
        <w:numId w:val="1"/>
      </w:numPr>
      <w:spacing w:before="40" w:line="276" w:lineRule="auto"/>
      <w:jc w:val="left"/>
      <w:outlineLvl w:val="5"/>
    </w:pPr>
    <w:rPr>
      <w:rFonts w:asciiTheme="majorHAnsi" w:hAnsiTheme="majorHAnsi" w:eastAsiaTheme="majorEastAsia" w:cstheme="majorBidi"/>
      <w:color w:val="1F3863" w:themeColor="accent1" w:themeShade="7F"/>
      <w:kern w:val="0"/>
      <w:sz w:val="22"/>
      <w:lang w:eastAsia="en-US"/>
    </w:rPr>
  </w:style>
  <w:style w:type="paragraph" w:styleId="8">
    <w:name w:val="heading 7"/>
    <w:basedOn w:val="1"/>
    <w:next w:val="1"/>
    <w:link w:val="44"/>
    <w:semiHidden/>
    <w:unhideWhenUsed/>
    <w:qFormat/>
    <w:uiPriority w:val="9"/>
    <w:pPr>
      <w:keepNext/>
      <w:keepLines/>
      <w:widowControl/>
      <w:numPr>
        <w:ilvl w:val="6"/>
        <w:numId w:val="1"/>
      </w:numPr>
      <w:spacing w:before="40" w:line="276" w:lineRule="auto"/>
      <w:jc w:val="left"/>
      <w:outlineLvl w:val="6"/>
    </w:pPr>
    <w:rPr>
      <w:rFonts w:asciiTheme="majorHAnsi" w:hAnsiTheme="majorHAnsi" w:eastAsiaTheme="majorEastAsia" w:cstheme="majorBidi"/>
      <w:i/>
      <w:iCs/>
      <w:color w:val="1F3863" w:themeColor="accent1" w:themeShade="7F"/>
      <w:kern w:val="0"/>
      <w:sz w:val="22"/>
      <w:lang w:eastAsia="en-US"/>
    </w:rPr>
  </w:style>
  <w:style w:type="paragraph" w:styleId="9">
    <w:name w:val="heading 8"/>
    <w:basedOn w:val="1"/>
    <w:next w:val="1"/>
    <w:link w:val="45"/>
    <w:semiHidden/>
    <w:unhideWhenUsed/>
    <w:qFormat/>
    <w:uiPriority w:val="9"/>
    <w:pPr>
      <w:keepNext/>
      <w:keepLines/>
      <w:widowControl/>
      <w:numPr>
        <w:ilvl w:val="7"/>
        <w:numId w:val="1"/>
      </w:numPr>
      <w:spacing w:before="40" w:line="276" w:lineRule="auto"/>
      <w:jc w:val="left"/>
      <w:outlineLvl w:val="7"/>
    </w:pPr>
    <w:rPr>
      <w:rFonts w:asciiTheme="majorHAnsi" w:hAnsiTheme="majorHAnsi" w:eastAsiaTheme="majorEastAsia" w:cstheme="majorBidi"/>
      <w:color w:val="262626" w:themeColor="text1" w:themeTint="D8"/>
      <w:kern w:val="0"/>
      <w:szCs w:val="21"/>
      <w:lang w:eastAsia="en-US"/>
    </w:rPr>
  </w:style>
  <w:style w:type="paragraph" w:styleId="10">
    <w:name w:val="heading 9"/>
    <w:basedOn w:val="1"/>
    <w:next w:val="1"/>
    <w:link w:val="46"/>
    <w:semiHidden/>
    <w:unhideWhenUsed/>
    <w:qFormat/>
    <w:uiPriority w:val="9"/>
    <w:pPr>
      <w:keepNext/>
      <w:keepLines/>
      <w:widowControl/>
      <w:numPr>
        <w:ilvl w:val="8"/>
        <w:numId w:val="1"/>
      </w:numPr>
      <w:spacing w:before="40" w:line="276" w:lineRule="auto"/>
      <w:jc w:val="left"/>
      <w:outlineLvl w:val="8"/>
    </w:pPr>
    <w:rPr>
      <w:rFonts w:asciiTheme="majorHAnsi" w:hAnsiTheme="majorHAnsi" w:eastAsiaTheme="majorEastAsia" w:cstheme="majorBidi"/>
      <w:i/>
      <w:iCs/>
      <w:color w:val="262626" w:themeColor="text1" w:themeTint="D8"/>
      <w:kern w:val="0"/>
      <w:szCs w:val="21"/>
      <w:lang w:eastAsia="en-US"/>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1"/>
    <w:qFormat/>
    <w:uiPriority w:val="99"/>
    <w:pPr>
      <w:jc w:val="left"/>
    </w:pPr>
    <w:rPr>
      <w:rFonts w:ascii="Calibri" w:hAnsi="Calibri" w:eastAsia="宋体" w:cs="Times New Roman"/>
      <w:szCs w:val="24"/>
    </w:rPr>
  </w:style>
  <w:style w:type="paragraph" w:styleId="12">
    <w:name w:val="Balloon Text"/>
    <w:basedOn w:val="1"/>
    <w:link w:val="25"/>
    <w:semiHidden/>
    <w:unhideWhenUsed/>
    <w:uiPriority w:val="99"/>
    <w:rPr>
      <w:sz w:val="18"/>
      <w:szCs w:val="18"/>
    </w:rPr>
  </w:style>
  <w:style w:type="paragraph" w:styleId="13">
    <w:name w:val="footer"/>
    <w:basedOn w:val="1"/>
    <w:link w:val="23"/>
    <w:unhideWhenUsed/>
    <w:uiPriority w:val="99"/>
    <w:pPr>
      <w:tabs>
        <w:tab w:val="center" w:pos="4153"/>
        <w:tab w:val="right" w:pos="8306"/>
      </w:tabs>
      <w:snapToGrid w:val="0"/>
      <w:jc w:val="left"/>
    </w:pPr>
    <w:rPr>
      <w:sz w:val="18"/>
      <w:szCs w:val="18"/>
    </w:rPr>
  </w:style>
  <w:style w:type="paragraph" w:styleId="14">
    <w:name w:val="header"/>
    <w:basedOn w:val="1"/>
    <w:link w:val="22"/>
    <w:unhideWhenUsed/>
    <w:uiPriority w:val="99"/>
    <w:pPr>
      <w:pBdr>
        <w:bottom w:val="single" w:color="auto" w:sz="6" w:space="1"/>
      </w:pBdr>
      <w:tabs>
        <w:tab w:val="center" w:pos="4153"/>
        <w:tab w:val="right" w:pos="8306"/>
      </w:tabs>
      <w:snapToGrid w:val="0"/>
      <w:jc w:val="center"/>
    </w:pPr>
    <w:rPr>
      <w:sz w:val="18"/>
      <w:szCs w:val="18"/>
    </w:rPr>
  </w:style>
  <w:style w:type="paragraph" w:styleId="15">
    <w:name w:val="annotation subject"/>
    <w:basedOn w:val="11"/>
    <w:next w:val="11"/>
    <w:link w:val="49"/>
    <w:semiHidden/>
    <w:unhideWhenUsed/>
    <w:uiPriority w:val="99"/>
    <w:rPr>
      <w:rFonts w:asciiTheme="minorHAnsi" w:hAnsiTheme="minorHAnsi" w:eastAsiaTheme="minorEastAsia" w:cstheme="minorBidi"/>
      <w:b/>
      <w:bCs/>
      <w:szCs w:val="22"/>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Emphasis"/>
    <w:basedOn w:val="18"/>
    <w:qFormat/>
    <w:uiPriority w:val="20"/>
    <w:rPr>
      <w:i/>
      <w:iCs/>
    </w:rPr>
  </w:style>
  <w:style w:type="character" w:styleId="20">
    <w:name w:val="Hyperlink"/>
    <w:basedOn w:val="18"/>
    <w:unhideWhenUsed/>
    <w:qFormat/>
    <w:uiPriority w:val="99"/>
    <w:rPr>
      <w:color w:val="0000FF"/>
      <w:u w:val="single"/>
    </w:rPr>
  </w:style>
  <w:style w:type="character" w:styleId="21">
    <w:name w:val="annotation reference"/>
    <w:basedOn w:val="18"/>
    <w:qFormat/>
    <w:uiPriority w:val="99"/>
    <w:rPr>
      <w:sz w:val="21"/>
      <w:szCs w:val="21"/>
    </w:rPr>
  </w:style>
  <w:style w:type="character" w:customStyle="1" w:styleId="22">
    <w:name w:val="页眉 Char"/>
    <w:basedOn w:val="18"/>
    <w:link w:val="14"/>
    <w:uiPriority w:val="99"/>
    <w:rPr>
      <w:sz w:val="18"/>
      <w:szCs w:val="18"/>
    </w:rPr>
  </w:style>
  <w:style w:type="character" w:customStyle="1" w:styleId="23">
    <w:name w:val="页脚 Char"/>
    <w:basedOn w:val="18"/>
    <w:link w:val="13"/>
    <w:uiPriority w:val="99"/>
    <w:rPr>
      <w:sz w:val="18"/>
      <w:szCs w:val="18"/>
    </w:rPr>
  </w:style>
  <w:style w:type="table" w:customStyle="1" w:styleId="24">
    <w:name w:val="网格型浅色1"/>
    <w:basedOn w:val="16"/>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25">
    <w:name w:val="批注框文本 Char"/>
    <w:basedOn w:val="18"/>
    <w:link w:val="12"/>
    <w:semiHidden/>
    <w:uiPriority w:val="99"/>
    <w:rPr>
      <w:sz w:val="18"/>
      <w:szCs w:val="18"/>
    </w:rPr>
  </w:style>
  <w:style w:type="paragraph" w:customStyle="1" w:styleId="26">
    <w:name w:val="EndNote Bibliography Title"/>
    <w:basedOn w:val="1"/>
    <w:link w:val="27"/>
    <w:qFormat/>
    <w:uiPriority w:val="0"/>
    <w:pPr>
      <w:jc w:val="center"/>
    </w:pPr>
    <w:rPr>
      <w:rFonts w:ascii="等线" w:hAnsi="等线" w:eastAsia="等线"/>
      <w:sz w:val="20"/>
    </w:rPr>
  </w:style>
  <w:style w:type="character" w:customStyle="1" w:styleId="27">
    <w:name w:val="EndNote Bibliography Title 字符"/>
    <w:basedOn w:val="18"/>
    <w:link w:val="26"/>
    <w:qFormat/>
    <w:uiPriority w:val="0"/>
    <w:rPr>
      <w:rFonts w:ascii="等线" w:hAnsi="等线" w:eastAsia="等线"/>
      <w:sz w:val="20"/>
    </w:rPr>
  </w:style>
  <w:style w:type="paragraph" w:customStyle="1" w:styleId="28">
    <w:name w:val="EndNote Bibliography"/>
    <w:basedOn w:val="1"/>
    <w:link w:val="29"/>
    <w:qFormat/>
    <w:uiPriority w:val="0"/>
    <w:pPr>
      <w:jc w:val="left"/>
    </w:pPr>
    <w:rPr>
      <w:rFonts w:ascii="等线" w:hAnsi="等线" w:eastAsia="等线"/>
      <w:sz w:val="20"/>
    </w:rPr>
  </w:style>
  <w:style w:type="character" w:customStyle="1" w:styleId="29">
    <w:name w:val="EndNote Bibliography 字符"/>
    <w:basedOn w:val="18"/>
    <w:link w:val="28"/>
    <w:qFormat/>
    <w:uiPriority w:val="0"/>
    <w:rPr>
      <w:rFonts w:ascii="等线" w:hAnsi="等线" w:eastAsia="等线"/>
      <w:sz w:val="20"/>
    </w:rPr>
  </w:style>
  <w:style w:type="paragraph" w:customStyle="1" w:styleId="30">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31">
    <w:name w:val="批注文字 Char"/>
    <w:basedOn w:val="18"/>
    <w:link w:val="11"/>
    <w:qFormat/>
    <w:uiPriority w:val="99"/>
    <w:rPr>
      <w:rFonts w:ascii="Calibri" w:hAnsi="Calibri" w:eastAsia="宋体" w:cs="Times New Roman"/>
      <w:szCs w:val="24"/>
    </w:rPr>
  </w:style>
  <w:style w:type="paragraph" w:styleId="32">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3">
    <w:name w:val="Default"/>
    <w:qFormat/>
    <w:uiPriority w:val="0"/>
    <w:pPr>
      <w:widowControl w:val="0"/>
      <w:autoSpaceDE w:val="0"/>
      <w:autoSpaceDN w:val="0"/>
      <w:adjustRightInd w:val="0"/>
    </w:pPr>
    <w:rPr>
      <w:rFonts w:ascii="Arial" w:hAnsi="Arial" w:eastAsia="宋体" w:cs="Arial"/>
      <w:color w:val="000000"/>
      <w:kern w:val="0"/>
      <w:sz w:val="24"/>
      <w:szCs w:val="24"/>
      <w:lang w:val="en-US" w:eastAsia="zh-CN" w:bidi="ar-SA"/>
    </w:rPr>
  </w:style>
  <w:style w:type="character" w:customStyle="1" w:styleId="34">
    <w:name w:val="affiliation__name"/>
    <w:basedOn w:val="18"/>
    <w:qFormat/>
    <w:uiPriority w:val="0"/>
  </w:style>
  <w:style w:type="character" w:customStyle="1" w:styleId="35">
    <w:name w:val="affiliation__city"/>
    <w:basedOn w:val="18"/>
    <w:qFormat/>
    <w:uiPriority w:val="0"/>
  </w:style>
  <w:style w:type="character" w:customStyle="1" w:styleId="36">
    <w:name w:val="affiliation__country"/>
    <w:basedOn w:val="18"/>
    <w:qFormat/>
    <w:uiPriority w:val="0"/>
  </w:style>
  <w:style w:type="paragraph" w:styleId="37">
    <w:name w:val="List Paragraph"/>
    <w:basedOn w:val="1"/>
    <w:qFormat/>
    <w:uiPriority w:val="99"/>
    <w:pPr>
      <w:ind w:firstLine="420" w:firstLineChars="200"/>
    </w:pPr>
  </w:style>
  <w:style w:type="character" w:customStyle="1" w:styleId="38">
    <w:name w:val="标题 1 Char"/>
    <w:basedOn w:val="18"/>
    <w:link w:val="2"/>
    <w:uiPriority w:val="9"/>
    <w:rPr>
      <w:rFonts w:ascii="Times New Roman" w:hAnsi="Times New Roman" w:eastAsiaTheme="majorEastAsia" w:cstheme="majorBidi"/>
      <w:b/>
      <w:color w:val="000000" w:themeColor="text1"/>
      <w:kern w:val="0"/>
      <w:sz w:val="24"/>
      <w:szCs w:val="32"/>
      <w:lang w:eastAsia="en-US"/>
    </w:rPr>
  </w:style>
  <w:style w:type="character" w:customStyle="1" w:styleId="39">
    <w:name w:val="标题 2 Char"/>
    <w:basedOn w:val="18"/>
    <w:link w:val="3"/>
    <w:uiPriority w:val="9"/>
    <w:rPr>
      <w:rFonts w:ascii="Times New Roman" w:hAnsi="Times New Roman" w:eastAsiaTheme="majorEastAsia" w:cstheme="majorBidi"/>
      <w:b/>
      <w:color w:val="000000" w:themeColor="text1"/>
      <w:kern w:val="0"/>
      <w:sz w:val="24"/>
      <w:szCs w:val="26"/>
      <w:lang w:eastAsia="en-US"/>
    </w:rPr>
  </w:style>
  <w:style w:type="character" w:customStyle="1" w:styleId="40">
    <w:name w:val="标题 3 Char"/>
    <w:basedOn w:val="18"/>
    <w:link w:val="4"/>
    <w:uiPriority w:val="9"/>
    <w:rPr>
      <w:rFonts w:ascii="Times New Roman" w:hAnsi="Times New Roman" w:eastAsiaTheme="majorEastAsia" w:cstheme="majorBidi"/>
      <w:i/>
      <w:color w:val="000000" w:themeColor="text1"/>
      <w:kern w:val="0"/>
      <w:sz w:val="24"/>
      <w:szCs w:val="24"/>
      <w:lang w:eastAsia="en-US"/>
    </w:rPr>
  </w:style>
  <w:style w:type="character" w:customStyle="1" w:styleId="41">
    <w:name w:val="标题 4 Char"/>
    <w:basedOn w:val="18"/>
    <w:link w:val="5"/>
    <w:uiPriority w:val="9"/>
    <w:rPr>
      <w:rFonts w:ascii="Times New Roman" w:hAnsi="Times New Roman" w:eastAsiaTheme="majorEastAsia" w:cstheme="majorBidi"/>
      <w:i/>
      <w:iCs/>
      <w:color w:val="000000" w:themeColor="text1"/>
      <w:kern w:val="0"/>
      <w:sz w:val="24"/>
      <w:lang w:eastAsia="en-US"/>
    </w:rPr>
  </w:style>
  <w:style w:type="character" w:customStyle="1" w:styleId="42">
    <w:name w:val="标题 5 Char"/>
    <w:basedOn w:val="18"/>
    <w:link w:val="6"/>
    <w:semiHidden/>
    <w:uiPriority w:val="9"/>
    <w:rPr>
      <w:rFonts w:asciiTheme="majorHAnsi" w:hAnsiTheme="majorHAnsi" w:eastAsiaTheme="majorEastAsia" w:cstheme="majorBidi"/>
      <w:color w:val="2F5496" w:themeColor="accent1" w:themeShade="BF"/>
      <w:kern w:val="0"/>
      <w:sz w:val="22"/>
      <w:lang w:eastAsia="en-US"/>
    </w:rPr>
  </w:style>
  <w:style w:type="character" w:customStyle="1" w:styleId="43">
    <w:name w:val="标题 6 Char"/>
    <w:basedOn w:val="18"/>
    <w:link w:val="7"/>
    <w:semiHidden/>
    <w:uiPriority w:val="9"/>
    <w:rPr>
      <w:rFonts w:asciiTheme="majorHAnsi" w:hAnsiTheme="majorHAnsi" w:eastAsiaTheme="majorEastAsia" w:cstheme="majorBidi"/>
      <w:color w:val="1F3863" w:themeColor="accent1" w:themeShade="7F"/>
      <w:kern w:val="0"/>
      <w:sz w:val="22"/>
      <w:lang w:eastAsia="en-US"/>
    </w:rPr>
  </w:style>
  <w:style w:type="character" w:customStyle="1" w:styleId="44">
    <w:name w:val="标题 7 Char"/>
    <w:basedOn w:val="18"/>
    <w:link w:val="8"/>
    <w:semiHidden/>
    <w:uiPriority w:val="9"/>
    <w:rPr>
      <w:rFonts w:asciiTheme="majorHAnsi" w:hAnsiTheme="majorHAnsi" w:eastAsiaTheme="majorEastAsia" w:cstheme="majorBidi"/>
      <w:i/>
      <w:iCs/>
      <w:color w:val="1F3863" w:themeColor="accent1" w:themeShade="7F"/>
      <w:kern w:val="0"/>
      <w:sz w:val="22"/>
      <w:lang w:eastAsia="en-US"/>
    </w:rPr>
  </w:style>
  <w:style w:type="character" w:customStyle="1" w:styleId="45">
    <w:name w:val="标题 8 Char"/>
    <w:basedOn w:val="18"/>
    <w:link w:val="9"/>
    <w:semiHidden/>
    <w:uiPriority w:val="9"/>
    <w:rPr>
      <w:rFonts w:asciiTheme="majorHAnsi" w:hAnsiTheme="majorHAnsi" w:eastAsiaTheme="majorEastAsia" w:cstheme="majorBidi"/>
      <w:color w:val="262626" w:themeColor="text1" w:themeTint="D8"/>
      <w:kern w:val="0"/>
      <w:szCs w:val="21"/>
      <w:lang w:eastAsia="en-US"/>
    </w:rPr>
  </w:style>
  <w:style w:type="character" w:customStyle="1" w:styleId="46">
    <w:name w:val="标题 9 Char"/>
    <w:basedOn w:val="18"/>
    <w:link w:val="10"/>
    <w:semiHidden/>
    <w:uiPriority w:val="9"/>
    <w:rPr>
      <w:rFonts w:asciiTheme="majorHAnsi" w:hAnsiTheme="majorHAnsi" w:eastAsiaTheme="majorEastAsia" w:cstheme="majorBidi"/>
      <w:i/>
      <w:iCs/>
      <w:color w:val="262626" w:themeColor="text1" w:themeTint="D8"/>
      <w:kern w:val="0"/>
      <w:szCs w:val="21"/>
      <w:lang w:eastAsia="en-US"/>
    </w:rPr>
  </w:style>
  <w:style w:type="paragraph" w:customStyle="1" w:styleId="47">
    <w:name w:val="FA_Author_Info_Subtitle"/>
    <w:basedOn w:val="1"/>
    <w:link w:val="48"/>
    <w:uiPriority w:val="0"/>
    <w:pPr>
      <w:widowControl/>
      <w:spacing w:before="120" w:after="60" w:line="480" w:lineRule="auto"/>
      <w:jc w:val="left"/>
    </w:pPr>
    <w:rPr>
      <w:rFonts w:ascii="Times" w:hAnsi="Times" w:cs="Times New Roman"/>
      <w:b/>
      <w:kern w:val="0"/>
      <w:sz w:val="24"/>
      <w:szCs w:val="20"/>
      <w:lang w:eastAsia="en-US"/>
    </w:rPr>
  </w:style>
  <w:style w:type="character" w:customStyle="1" w:styleId="48">
    <w:name w:val="FA_Author_Info_Subtitle Char"/>
    <w:link w:val="47"/>
    <w:uiPriority w:val="0"/>
    <w:rPr>
      <w:rFonts w:ascii="Times" w:hAnsi="Times" w:cs="Times New Roman"/>
      <w:b/>
      <w:kern w:val="0"/>
      <w:sz w:val="24"/>
      <w:szCs w:val="20"/>
      <w:lang w:eastAsia="en-US"/>
    </w:rPr>
  </w:style>
  <w:style w:type="character" w:customStyle="1" w:styleId="49">
    <w:name w:val="批注主题 Char"/>
    <w:basedOn w:val="31"/>
    <w:link w:val="15"/>
    <w:semiHidden/>
    <w:uiPriority w:val="99"/>
    <w:rPr>
      <w:rFonts w:ascii="Calibri" w:hAnsi="Calibri" w:eastAsia="宋体" w:cs="Times New Roman"/>
      <w:b/>
      <w:bCs/>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tiff"/><Relationship Id="rId8" Type="http://schemas.openxmlformats.org/officeDocument/2006/relationships/image" Target="media/image3.tiff"/><Relationship Id="rId7" Type="http://schemas.openxmlformats.org/officeDocument/2006/relationships/image" Target="media/image2.tiff"/><Relationship Id="rId6" Type="http://schemas.openxmlformats.org/officeDocument/2006/relationships/image" Target="media/image1.em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6A28F0-CF52-4B21-B92E-7205365841B2}">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5070</Words>
  <Characters>28904</Characters>
  <Lines>240</Lines>
  <Paragraphs>67</Paragraphs>
  <TotalTime>114</TotalTime>
  <ScaleCrop>false</ScaleCrop>
  <LinksUpToDate>false</LinksUpToDate>
  <CharactersWithSpaces>33907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2020-08-01T14:25:00Z</dcterms:created>
  <dc:creator>Lenovo</dc:creator>
  <cp:lastModifiedBy>炎炎</cp:lastModifiedBy>
  <dcterms:modified xsi:type="dcterms:W3CDTF">2020-09-26T06:00:41Z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