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E4CCA" w14:textId="77777777" w:rsidR="008B64FB" w:rsidRDefault="008B64FB" w:rsidP="008B64FB">
      <w:pPr>
        <w:spacing w:line="480" w:lineRule="auto"/>
        <w:rPr>
          <w:rFonts w:ascii="Arial" w:eastAsia="Arial" w:hAnsi="Arial" w:cs="Arial"/>
          <w:sz w:val="24"/>
          <w:szCs w:val="24"/>
        </w:rPr>
      </w:pPr>
      <w:r>
        <w:rPr>
          <w:rFonts w:ascii="Arial" w:eastAsia="Arial" w:hAnsi="Arial" w:cs="Arial"/>
          <w:sz w:val="24"/>
          <w:szCs w:val="24"/>
        </w:rPr>
        <w:t>Supplementary Figure Legends:</w:t>
      </w:r>
    </w:p>
    <w:p w14:paraId="3354B740" w14:textId="77777777" w:rsidR="008B64FB" w:rsidRDefault="008B64FB" w:rsidP="008B64FB">
      <w:pPr>
        <w:spacing w:line="480" w:lineRule="auto"/>
        <w:rPr>
          <w:rFonts w:ascii="Arial" w:eastAsia="Arial" w:hAnsi="Arial" w:cs="Arial"/>
          <w:b/>
          <w:bCs/>
          <w:sz w:val="24"/>
          <w:szCs w:val="24"/>
        </w:rPr>
      </w:pPr>
      <w:r>
        <w:rPr>
          <w:rFonts w:ascii="Arial" w:eastAsia="Arial" w:hAnsi="Arial" w:cs="Arial"/>
          <w:b/>
          <w:bCs/>
          <w:sz w:val="24"/>
          <w:szCs w:val="24"/>
        </w:rPr>
        <w:t>Supplementary Figure 1 Legend</w:t>
      </w:r>
      <w:r w:rsidRPr="2B9F827E">
        <w:rPr>
          <w:rFonts w:ascii="Arial" w:eastAsia="Arial" w:hAnsi="Arial" w:cs="Arial"/>
          <w:b/>
          <w:bCs/>
          <w:sz w:val="24"/>
          <w:szCs w:val="24"/>
        </w:rPr>
        <w:t>. Percent of Incident SARS-CoV-2 Hospitalizations Meeting Criteria for Moderate to Severe Disease During the Period from 3/1/2020-</w:t>
      </w:r>
      <w:r>
        <w:rPr>
          <w:rFonts w:ascii="Arial" w:eastAsia="Arial" w:hAnsi="Arial" w:cs="Arial"/>
          <w:b/>
          <w:bCs/>
          <w:sz w:val="24"/>
          <w:szCs w:val="24"/>
        </w:rPr>
        <w:t>11/22</w:t>
      </w:r>
      <w:r w:rsidRPr="2B9F827E">
        <w:rPr>
          <w:rFonts w:ascii="Arial" w:eastAsia="Arial" w:hAnsi="Arial" w:cs="Arial"/>
          <w:b/>
          <w:bCs/>
          <w:sz w:val="24"/>
          <w:szCs w:val="24"/>
        </w:rPr>
        <w:t>/2021</w:t>
      </w:r>
      <w:r>
        <w:rPr>
          <w:rFonts w:ascii="Arial" w:eastAsia="Arial" w:hAnsi="Arial" w:cs="Arial"/>
          <w:b/>
          <w:bCs/>
          <w:sz w:val="24"/>
          <w:szCs w:val="24"/>
        </w:rPr>
        <w:t>, Stratified by Region.</w:t>
      </w:r>
    </w:p>
    <w:p w14:paraId="5406F23B" w14:textId="77777777" w:rsidR="008B64FB" w:rsidRDefault="008B64FB" w:rsidP="008B64FB">
      <w:pPr>
        <w:spacing w:line="480" w:lineRule="auto"/>
        <w:rPr>
          <w:rFonts w:ascii="Arial" w:eastAsia="Arial" w:hAnsi="Arial" w:cs="Arial"/>
          <w:sz w:val="24"/>
          <w:szCs w:val="24"/>
        </w:rPr>
      </w:pPr>
      <w:r w:rsidRPr="2B9F827E">
        <w:rPr>
          <w:rFonts w:ascii="Arial" w:eastAsia="Arial" w:hAnsi="Arial" w:cs="Arial"/>
          <w:sz w:val="24"/>
          <w:szCs w:val="24"/>
        </w:rPr>
        <w:t>Points represent observed percent</w:t>
      </w:r>
      <w:r>
        <w:rPr>
          <w:rFonts w:ascii="Arial" w:eastAsia="Arial" w:hAnsi="Arial" w:cs="Arial"/>
          <w:sz w:val="24"/>
          <w:szCs w:val="24"/>
        </w:rPr>
        <w:t>ages</w:t>
      </w:r>
      <w:r w:rsidRPr="2B9F827E">
        <w:rPr>
          <w:rFonts w:ascii="Arial" w:eastAsia="Arial" w:hAnsi="Arial" w:cs="Arial"/>
          <w:sz w:val="24"/>
          <w:szCs w:val="24"/>
        </w:rPr>
        <w:t xml:space="preserve"> of incident hospitalizations with documented SpO2 &lt;94% or any supplemental oxygen usage (circles) or use of dexamethasone (squares) in each week of the study period, among unvaccinated (blank) or vaccinated (cross) patients. Lines (respectively, shaded areas) represent smoothed estimates (respectively, their 95% confidence intervals) over time based on Poisson regression with a penalized spline term, among unvaccinated (solid) and vaccinated (dashed) patients.</w:t>
      </w:r>
      <w:r>
        <w:rPr>
          <w:rFonts w:ascii="Arial" w:eastAsia="Arial" w:hAnsi="Arial" w:cs="Arial"/>
          <w:sz w:val="24"/>
          <w:szCs w:val="24"/>
        </w:rPr>
        <w:t xml:space="preserve"> Panel A is the North Atlantic Region, Panel B is the Midwest Region, Panel C is the Continental Region, Panel D is the </w:t>
      </w:r>
      <w:proofErr w:type="gramStart"/>
      <w:r>
        <w:rPr>
          <w:rFonts w:ascii="Arial" w:eastAsia="Arial" w:hAnsi="Arial" w:cs="Arial"/>
          <w:sz w:val="24"/>
          <w:szCs w:val="24"/>
        </w:rPr>
        <w:t>South East</w:t>
      </w:r>
      <w:proofErr w:type="gramEnd"/>
      <w:r>
        <w:rPr>
          <w:rFonts w:ascii="Arial" w:eastAsia="Arial" w:hAnsi="Arial" w:cs="Arial"/>
          <w:sz w:val="24"/>
          <w:szCs w:val="24"/>
        </w:rPr>
        <w:t xml:space="preserve"> Region, and Panel E is the Pacific Region.</w:t>
      </w:r>
    </w:p>
    <w:p w14:paraId="2987B56D" w14:textId="77777777" w:rsidR="008B64FB" w:rsidRDefault="008B64FB" w:rsidP="008B64FB">
      <w:pPr>
        <w:spacing w:line="480" w:lineRule="auto"/>
        <w:rPr>
          <w:rFonts w:ascii="Arial" w:eastAsia="Arial" w:hAnsi="Arial" w:cs="Arial"/>
          <w:sz w:val="24"/>
          <w:szCs w:val="24"/>
        </w:rPr>
      </w:pPr>
    </w:p>
    <w:p w14:paraId="5647D0F7" w14:textId="77777777" w:rsidR="008B64FB" w:rsidRDefault="008B64FB" w:rsidP="008B64FB">
      <w:pPr>
        <w:spacing w:line="480" w:lineRule="auto"/>
        <w:rPr>
          <w:rFonts w:ascii="Arial" w:eastAsia="Arial" w:hAnsi="Arial" w:cs="Arial"/>
          <w:b/>
          <w:bCs/>
          <w:sz w:val="24"/>
          <w:szCs w:val="24"/>
        </w:rPr>
      </w:pPr>
      <w:r>
        <w:rPr>
          <w:rFonts w:ascii="Arial" w:eastAsia="Arial" w:hAnsi="Arial" w:cs="Arial"/>
          <w:b/>
          <w:bCs/>
          <w:sz w:val="24"/>
          <w:szCs w:val="24"/>
        </w:rPr>
        <w:t>Supplementary Figure 2 Legend</w:t>
      </w:r>
      <w:r w:rsidRPr="2B9F827E">
        <w:rPr>
          <w:rFonts w:ascii="Arial" w:eastAsia="Arial" w:hAnsi="Arial" w:cs="Arial"/>
          <w:b/>
          <w:bCs/>
          <w:sz w:val="24"/>
          <w:szCs w:val="24"/>
        </w:rPr>
        <w:t>. Percent of Incident SARS-CoV-2 Hospitalizations Meeting Criteria for Moderate to Severe Disease During the Period from 3/1/2020-</w:t>
      </w:r>
      <w:r>
        <w:rPr>
          <w:rFonts w:ascii="Arial" w:eastAsia="Arial" w:hAnsi="Arial" w:cs="Arial"/>
          <w:b/>
          <w:bCs/>
          <w:sz w:val="24"/>
          <w:szCs w:val="24"/>
        </w:rPr>
        <w:t>11/22</w:t>
      </w:r>
      <w:r w:rsidRPr="2B9F827E">
        <w:rPr>
          <w:rFonts w:ascii="Arial" w:eastAsia="Arial" w:hAnsi="Arial" w:cs="Arial"/>
          <w:b/>
          <w:bCs/>
          <w:sz w:val="24"/>
          <w:szCs w:val="24"/>
        </w:rPr>
        <w:t>/2021</w:t>
      </w:r>
      <w:r>
        <w:rPr>
          <w:rFonts w:ascii="Arial" w:eastAsia="Arial" w:hAnsi="Arial" w:cs="Arial"/>
          <w:b/>
          <w:bCs/>
          <w:sz w:val="24"/>
          <w:szCs w:val="24"/>
        </w:rPr>
        <w:t>, Excluding patients with Lung Cancer Diagnosis.</w:t>
      </w:r>
    </w:p>
    <w:p w14:paraId="1C2880AE" w14:textId="77777777" w:rsidR="008B64FB" w:rsidRDefault="008B64FB" w:rsidP="008B64FB">
      <w:pPr>
        <w:spacing w:line="480" w:lineRule="auto"/>
        <w:rPr>
          <w:rFonts w:ascii="Arial" w:eastAsia="Arial" w:hAnsi="Arial" w:cs="Arial"/>
          <w:sz w:val="24"/>
          <w:szCs w:val="24"/>
        </w:rPr>
      </w:pPr>
      <w:r w:rsidRPr="2B9F827E">
        <w:rPr>
          <w:rFonts w:ascii="Arial" w:eastAsia="Arial" w:hAnsi="Arial" w:cs="Arial"/>
          <w:sz w:val="24"/>
          <w:szCs w:val="24"/>
        </w:rPr>
        <w:t>Points represent observed percent</w:t>
      </w:r>
      <w:r>
        <w:rPr>
          <w:rFonts w:ascii="Arial" w:eastAsia="Arial" w:hAnsi="Arial" w:cs="Arial"/>
          <w:sz w:val="24"/>
          <w:szCs w:val="24"/>
        </w:rPr>
        <w:t>ages</w:t>
      </w:r>
      <w:r w:rsidRPr="2B9F827E">
        <w:rPr>
          <w:rFonts w:ascii="Arial" w:eastAsia="Arial" w:hAnsi="Arial" w:cs="Arial"/>
          <w:sz w:val="24"/>
          <w:szCs w:val="24"/>
        </w:rPr>
        <w:t xml:space="preserve"> of incident hospitalizations with documented SpO2 &lt;94% or any supplemental oxygen usage (circles) or use of dexamethasone (squares) in each week of the study period, among unvaccinated (blank) or vaccinated (cross) patients. Lines (respectively, shaded areas) represent smoothed estimates (respectively, their 95% confidence intervals) over time based on Poisson regression </w:t>
      </w:r>
      <w:r w:rsidRPr="2B9F827E">
        <w:rPr>
          <w:rFonts w:ascii="Arial" w:eastAsia="Arial" w:hAnsi="Arial" w:cs="Arial"/>
          <w:sz w:val="24"/>
          <w:szCs w:val="24"/>
        </w:rPr>
        <w:lastRenderedPageBreak/>
        <w:t>with a penalized spline term, among unvaccinated (solid) and vaccinated (dashed) patients.</w:t>
      </w:r>
      <w:r>
        <w:rPr>
          <w:rFonts w:ascii="Arial" w:eastAsia="Arial" w:hAnsi="Arial" w:cs="Arial"/>
          <w:sz w:val="24"/>
          <w:szCs w:val="24"/>
        </w:rPr>
        <w:t xml:space="preserve"> Lung cancer diagnosis was identified using the Chronic Conditions Warehouse definitions.</w:t>
      </w:r>
    </w:p>
    <w:p w14:paraId="58DD4ABB" w14:textId="77777777" w:rsidR="008B64FB" w:rsidRDefault="008B64FB" w:rsidP="008B64FB">
      <w:pPr>
        <w:rPr>
          <w:rFonts w:ascii="Arial" w:eastAsia="Arial" w:hAnsi="Arial" w:cs="Arial"/>
          <w:sz w:val="24"/>
          <w:szCs w:val="24"/>
        </w:rPr>
      </w:pPr>
    </w:p>
    <w:p w14:paraId="3C88D8A0" w14:textId="77777777" w:rsidR="008B64FB" w:rsidRDefault="008B64FB" w:rsidP="008B64FB">
      <w:pPr>
        <w:spacing w:line="480" w:lineRule="auto"/>
        <w:rPr>
          <w:rFonts w:ascii="Arial" w:eastAsia="Arial" w:hAnsi="Arial" w:cs="Arial"/>
          <w:b/>
          <w:bCs/>
          <w:sz w:val="24"/>
          <w:szCs w:val="24"/>
        </w:rPr>
      </w:pPr>
      <w:r>
        <w:rPr>
          <w:rFonts w:ascii="Arial" w:eastAsia="Arial" w:hAnsi="Arial" w:cs="Arial"/>
          <w:b/>
          <w:bCs/>
          <w:sz w:val="24"/>
          <w:szCs w:val="24"/>
        </w:rPr>
        <w:t>Supplementary Figure 3 Legend</w:t>
      </w:r>
      <w:r w:rsidRPr="2B9F827E">
        <w:rPr>
          <w:rFonts w:ascii="Arial" w:eastAsia="Arial" w:hAnsi="Arial" w:cs="Arial"/>
          <w:b/>
          <w:bCs/>
          <w:sz w:val="24"/>
          <w:szCs w:val="24"/>
        </w:rPr>
        <w:t>. Percent of Incident SARS-CoV-2 Hospitalizations Meeting Criteria for Moderate to Severe Disease During the Period from 3/1/2020-</w:t>
      </w:r>
      <w:r>
        <w:rPr>
          <w:rFonts w:ascii="Arial" w:eastAsia="Arial" w:hAnsi="Arial" w:cs="Arial"/>
          <w:b/>
          <w:bCs/>
          <w:sz w:val="24"/>
          <w:szCs w:val="24"/>
        </w:rPr>
        <w:t>11/22</w:t>
      </w:r>
      <w:r w:rsidRPr="2B9F827E">
        <w:rPr>
          <w:rFonts w:ascii="Arial" w:eastAsia="Arial" w:hAnsi="Arial" w:cs="Arial"/>
          <w:b/>
          <w:bCs/>
          <w:sz w:val="24"/>
          <w:szCs w:val="24"/>
        </w:rPr>
        <w:t>/2021</w:t>
      </w:r>
      <w:r>
        <w:rPr>
          <w:rFonts w:ascii="Arial" w:eastAsia="Arial" w:hAnsi="Arial" w:cs="Arial"/>
          <w:b/>
          <w:bCs/>
          <w:sz w:val="24"/>
          <w:szCs w:val="24"/>
        </w:rPr>
        <w:t>, Excluding patients with Chronic Obstructive Pulmonary Disease or Related Conditions.</w:t>
      </w:r>
    </w:p>
    <w:p w14:paraId="68EB5328" w14:textId="77777777" w:rsidR="008B64FB" w:rsidRDefault="008B64FB" w:rsidP="008B64FB">
      <w:pPr>
        <w:spacing w:line="480" w:lineRule="auto"/>
        <w:rPr>
          <w:rFonts w:ascii="Arial" w:eastAsia="Arial" w:hAnsi="Arial" w:cs="Arial"/>
          <w:sz w:val="24"/>
          <w:szCs w:val="24"/>
        </w:rPr>
      </w:pPr>
      <w:r w:rsidRPr="2B9F827E">
        <w:rPr>
          <w:rFonts w:ascii="Arial" w:eastAsia="Arial" w:hAnsi="Arial" w:cs="Arial"/>
          <w:sz w:val="24"/>
          <w:szCs w:val="24"/>
        </w:rPr>
        <w:t>Points represent observed percent</w:t>
      </w:r>
      <w:r>
        <w:rPr>
          <w:rFonts w:ascii="Arial" w:eastAsia="Arial" w:hAnsi="Arial" w:cs="Arial"/>
          <w:sz w:val="24"/>
          <w:szCs w:val="24"/>
        </w:rPr>
        <w:t>ages</w:t>
      </w:r>
      <w:r w:rsidRPr="2B9F827E">
        <w:rPr>
          <w:rFonts w:ascii="Arial" w:eastAsia="Arial" w:hAnsi="Arial" w:cs="Arial"/>
          <w:sz w:val="24"/>
          <w:szCs w:val="24"/>
        </w:rPr>
        <w:t xml:space="preserve"> of incident hospitalizations with documented SpO2 &lt;94% or any supplemental oxygen usage (circles) or use of dexamethasone (squares) in each week of the study period, among unvaccinated (blank) or vaccinated (cross) patients. Lines (respectively, shaded areas) represent smoothed estimates (respectively, their 95% confidence intervals) over time based on Poisson regression with a penalized spline term, among unvaccinated (solid) and vaccinated (dashed) patients.</w:t>
      </w:r>
      <w:r>
        <w:rPr>
          <w:rFonts w:ascii="Arial" w:eastAsia="Arial" w:hAnsi="Arial" w:cs="Arial"/>
          <w:sz w:val="24"/>
          <w:szCs w:val="24"/>
        </w:rPr>
        <w:t xml:space="preserve"> Chronic obstructive pulmonary disease or related conditions was identified using the Chronic Conditions Warehouse definitions.</w:t>
      </w:r>
    </w:p>
    <w:p w14:paraId="3A1E1BBA" w14:textId="77777777" w:rsidR="00477870" w:rsidRDefault="00477870"/>
    <w:sectPr w:rsidR="004778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4FB"/>
    <w:rsid w:val="00477870"/>
    <w:rsid w:val="008B64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FBFE8"/>
  <w15:chartTrackingRefBased/>
  <w15:docId w15:val="{CE1CE4E2-DF88-4A77-8D25-AD33B8996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4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387</Words>
  <Characters>2211</Characters>
  <Application>Microsoft Office Word</Application>
  <DocSecurity>0</DocSecurity>
  <Lines>18</Lines>
  <Paragraphs>5</Paragraphs>
  <ScaleCrop>false</ScaleCrop>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2022-01-10T18:35:00Z</dcterms:created>
  <dcterms:modified xsi:type="dcterms:W3CDTF">2022-01-10T18:35:00Z</dcterms:modified>
</cp:coreProperties>
</file>