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33" w:rsidRDefault="000A5E33" w:rsidP="000A5E33">
      <w:pPr>
        <w:spacing w:line="276" w:lineRule="auto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eastAsia="Times New Roman" w:cs="Calibri"/>
          <w:b/>
          <w:bCs/>
          <w:iCs/>
        </w:rPr>
      </w:pPr>
      <w:proofErr w:type="spellStart"/>
      <w:r>
        <w:rPr>
          <w:rFonts w:eastAsia="Times New Roman" w:cs="Calibri"/>
          <w:b/>
          <w:bCs/>
          <w:iCs/>
        </w:rPr>
        <w:t>Table</w:t>
      </w:r>
      <w:proofErr w:type="spellEnd"/>
      <w:r>
        <w:rPr>
          <w:rFonts w:eastAsia="Times New Roman" w:cs="Calibri"/>
          <w:b/>
          <w:bCs/>
          <w:iCs/>
        </w:rPr>
        <w:t xml:space="preserve"> S1: </w:t>
      </w:r>
      <w:proofErr w:type="spellStart"/>
      <w:r>
        <w:rPr>
          <w:rFonts w:eastAsia="Times New Roman" w:cs="Calibri"/>
          <w:b/>
          <w:bCs/>
          <w:iCs/>
        </w:rPr>
        <w:t>Summary</w:t>
      </w:r>
      <w:proofErr w:type="spellEnd"/>
      <w:r>
        <w:rPr>
          <w:rFonts w:eastAsia="Times New Roman" w:cs="Calibri"/>
          <w:b/>
          <w:bCs/>
          <w:iCs/>
        </w:rPr>
        <w:t xml:space="preserve"> of </w:t>
      </w:r>
      <w:proofErr w:type="spellStart"/>
      <w:r>
        <w:rPr>
          <w:rFonts w:eastAsia="Times New Roman" w:cs="Calibri"/>
          <w:b/>
          <w:bCs/>
          <w:iCs/>
        </w:rPr>
        <w:t>disease-causing</w:t>
      </w:r>
      <w:proofErr w:type="spellEnd"/>
      <w:r>
        <w:rPr>
          <w:rFonts w:eastAsia="Times New Roman" w:cs="Calibri"/>
          <w:b/>
          <w:bCs/>
          <w:iCs/>
        </w:rPr>
        <w:t xml:space="preserve"> </w:t>
      </w:r>
      <w:proofErr w:type="spellStart"/>
      <w:r>
        <w:rPr>
          <w:rFonts w:eastAsia="Times New Roman" w:cs="Calibri"/>
          <w:b/>
          <w:bCs/>
          <w:iCs/>
        </w:rPr>
        <w:t>mutations</w:t>
      </w:r>
      <w:proofErr w:type="spellEnd"/>
      <w:r>
        <w:rPr>
          <w:rFonts w:eastAsia="Times New Roman" w:cs="Calibri"/>
          <w:b/>
          <w:bCs/>
          <w:iCs/>
        </w:rPr>
        <w:t xml:space="preserve"> in </w:t>
      </w:r>
      <w:proofErr w:type="spellStart"/>
      <w:r>
        <w:rPr>
          <w:rFonts w:eastAsia="Times New Roman" w:cs="Calibri"/>
          <w:b/>
          <w:bCs/>
          <w:iCs/>
        </w:rPr>
        <w:t>patients</w:t>
      </w:r>
      <w:proofErr w:type="spellEnd"/>
      <w:r>
        <w:rPr>
          <w:rFonts w:eastAsia="Times New Roman" w:cs="Calibri"/>
          <w:b/>
          <w:bCs/>
          <w:iCs/>
        </w:rPr>
        <w:t xml:space="preserve"> </w:t>
      </w:r>
      <w:proofErr w:type="spellStart"/>
      <w:r>
        <w:rPr>
          <w:rFonts w:eastAsia="Times New Roman" w:cs="Calibri"/>
          <w:b/>
          <w:bCs/>
          <w:iCs/>
        </w:rPr>
        <w:t>included</w:t>
      </w:r>
      <w:proofErr w:type="spellEnd"/>
      <w:r>
        <w:rPr>
          <w:rFonts w:eastAsia="Times New Roman" w:cs="Calibri"/>
          <w:b/>
          <w:bCs/>
          <w:iCs/>
        </w:rPr>
        <w:t xml:space="preserve"> in </w:t>
      </w:r>
      <w:proofErr w:type="spellStart"/>
      <w:r>
        <w:rPr>
          <w:rFonts w:eastAsia="Times New Roman" w:cs="Calibri"/>
          <w:b/>
          <w:bCs/>
          <w:iCs/>
        </w:rPr>
        <w:t>the</w:t>
      </w:r>
      <w:proofErr w:type="spellEnd"/>
      <w:r>
        <w:rPr>
          <w:rFonts w:eastAsia="Times New Roman" w:cs="Calibri"/>
          <w:b/>
          <w:bCs/>
          <w:iCs/>
        </w:rPr>
        <w:t xml:space="preserve"> </w:t>
      </w:r>
      <w:proofErr w:type="spellStart"/>
      <w:r>
        <w:rPr>
          <w:rFonts w:eastAsia="Times New Roman" w:cs="Calibri"/>
          <w:b/>
          <w:bCs/>
          <w:iCs/>
        </w:rPr>
        <w:t>study</w:t>
      </w:r>
      <w:proofErr w:type="spellEnd"/>
      <w:r>
        <w:rPr>
          <w:rFonts w:eastAsia="Times New Roman" w:cs="Calibri"/>
          <w:b/>
          <w:bCs/>
          <w:i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3018"/>
        <w:gridCol w:w="3347"/>
      </w:tblGrid>
      <w:tr w:rsidR="000A5E33" w:rsidTr="000A5E33">
        <w:trPr>
          <w:trHeight w:val="377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</w:rPr>
              <w:t>Mutations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  <w:iCs/>
              </w:rPr>
            </w:pPr>
            <w:proofErr w:type="spellStart"/>
            <w:r>
              <w:rPr>
                <w:rFonts w:eastAsia="Times New Roman" w:cs="Calibri"/>
                <w:b/>
                <w:iCs/>
              </w:rPr>
              <w:t>Genetic</w:t>
            </w:r>
            <w:proofErr w:type="spellEnd"/>
            <w:r>
              <w:rPr>
                <w:rFonts w:eastAsia="Times New Roman" w:cs="Calibri"/>
                <w:b/>
                <w:iCs/>
              </w:rPr>
              <w:t xml:space="preserve"> ID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  <w:iCs/>
              </w:rPr>
            </w:pPr>
            <w:proofErr w:type="spellStart"/>
            <w:r>
              <w:rPr>
                <w:rFonts w:eastAsia="Times New Roman" w:cs="Calibri"/>
                <w:b/>
                <w:iCs/>
              </w:rPr>
              <w:t>Clinical</w:t>
            </w:r>
            <w:proofErr w:type="spellEnd"/>
            <w:r>
              <w:rPr>
                <w:rFonts w:eastAsia="Times New Roman" w:cs="Calibri"/>
                <w:b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iCs/>
              </w:rPr>
              <w:t>effect</w:t>
            </w:r>
            <w:proofErr w:type="spellEnd"/>
          </w:p>
        </w:tc>
      </w:tr>
      <w:tr w:rsidR="000A5E33" w:rsidTr="000A5E33">
        <w:trPr>
          <w:trHeight w:val="2133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  </w:t>
            </w:r>
            <w:proofErr w:type="gramStart"/>
            <w:r>
              <w:rPr>
                <w:rFonts w:eastAsia="Times New Roman" w:cs="Calibri"/>
                <w:b/>
                <w:bCs/>
              </w:rPr>
              <w:t>c</w:t>
            </w:r>
            <w:proofErr w:type="gramEnd"/>
            <w:r>
              <w:rPr>
                <w:rFonts w:eastAsia="Times New Roman" w:cs="Calibri"/>
                <w:b/>
                <w:bCs/>
              </w:rPr>
              <w:t xml:space="preserve">.374C&gt;A (p.T125K)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</w:rPr>
              <w:t>Heterozygous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Cs/>
              </w:rPr>
            </w:pPr>
            <w:proofErr w:type="spellStart"/>
            <w:r>
              <w:rPr>
                <w:rFonts w:eastAsia="Times New Roman" w:cs="Calibri"/>
                <w:iCs/>
              </w:rPr>
              <w:t>Allele</w:t>
            </w:r>
            <w:proofErr w:type="spellEnd"/>
            <w:r>
              <w:rPr>
                <w:rFonts w:eastAsia="Times New Roman" w:cs="Calibri"/>
                <w:iCs/>
              </w:rPr>
              <w:t xml:space="preserve"> ID: 526918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Cs/>
              </w:rPr>
            </w:pPr>
            <w:proofErr w:type="spellStart"/>
            <w:r>
              <w:rPr>
                <w:rFonts w:eastAsia="Times New Roman" w:cs="Calibri"/>
                <w:iCs/>
              </w:rPr>
              <w:t>Variant</w:t>
            </w:r>
            <w:proofErr w:type="spellEnd"/>
            <w:r>
              <w:rPr>
                <w:rFonts w:eastAsia="Times New Roman" w:cs="Calibri"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Cs/>
              </w:rPr>
              <w:t>type</w:t>
            </w:r>
            <w:proofErr w:type="spellEnd"/>
            <w:r>
              <w:rPr>
                <w:rFonts w:eastAsia="Times New Roman" w:cs="Calibri"/>
                <w:iCs/>
              </w:rPr>
              <w:t xml:space="preserve">: </w:t>
            </w:r>
            <w:proofErr w:type="spellStart"/>
            <w:r>
              <w:rPr>
                <w:rFonts w:eastAsia="Times New Roman" w:cs="Calibri"/>
                <w:iCs/>
              </w:rPr>
              <w:t>single</w:t>
            </w:r>
            <w:proofErr w:type="spellEnd"/>
            <w:r>
              <w:rPr>
                <w:rFonts w:eastAsia="Times New Roman" w:cs="Calibri"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Cs/>
              </w:rPr>
              <w:t>nucleotide</w:t>
            </w:r>
            <w:proofErr w:type="spellEnd"/>
            <w:r>
              <w:rPr>
                <w:rFonts w:eastAsia="Times New Roman" w:cs="Calibri"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Cs/>
              </w:rPr>
              <w:t>variant</w:t>
            </w:r>
            <w:proofErr w:type="spellEnd"/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Cs/>
              </w:rPr>
            </w:pPr>
            <w:proofErr w:type="spellStart"/>
            <w:r>
              <w:rPr>
                <w:rFonts w:eastAsia="Times New Roman" w:cs="Calibri"/>
                <w:iCs/>
              </w:rPr>
              <w:t>Cytogenetic</w:t>
            </w:r>
            <w:proofErr w:type="spellEnd"/>
            <w:r>
              <w:rPr>
                <w:rFonts w:eastAsia="Times New Roman" w:cs="Calibri"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Cs/>
              </w:rPr>
              <w:t>location</w:t>
            </w:r>
            <w:proofErr w:type="spellEnd"/>
            <w:r>
              <w:rPr>
                <w:rFonts w:eastAsia="Times New Roman" w:cs="Calibri"/>
                <w:iCs/>
              </w:rPr>
              <w:t>: 12q24.11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Cs/>
              </w:rPr>
            </w:pPr>
            <w:r>
              <w:rPr>
                <w:rFonts w:eastAsia="Times New Roman" w:cs="Calibri"/>
                <w:iCs/>
              </w:rPr>
              <w:t xml:space="preserve">Protein </w:t>
            </w:r>
            <w:proofErr w:type="spellStart"/>
            <w:r>
              <w:rPr>
                <w:rFonts w:eastAsia="Times New Roman" w:cs="Calibri"/>
                <w:iCs/>
              </w:rPr>
              <w:t>exchange</w:t>
            </w:r>
            <w:proofErr w:type="spellEnd"/>
            <w:r>
              <w:rPr>
                <w:rFonts w:eastAsia="Times New Roman" w:cs="Calibri"/>
                <w:iCs/>
              </w:rPr>
              <w:t>: p.T125K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b/>
                <w:iCs/>
              </w:rPr>
            </w:pPr>
            <w:proofErr w:type="spellStart"/>
            <w:r>
              <w:rPr>
                <w:rFonts w:eastAsia="Times New Roman" w:cs="Calibri"/>
                <w:b/>
                <w:iCs/>
              </w:rPr>
              <w:t>Genomic</w:t>
            </w:r>
            <w:proofErr w:type="spellEnd"/>
            <w:r>
              <w:rPr>
                <w:rFonts w:eastAsia="Times New Roman" w:cs="Calibri"/>
                <w:b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iCs/>
              </w:rPr>
              <w:t>location</w:t>
            </w:r>
            <w:proofErr w:type="spellEnd"/>
            <w:r>
              <w:rPr>
                <w:rFonts w:eastAsia="Times New Roman" w:cs="Calibri"/>
                <w:b/>
                <w:iCs/>
              </w:rPr>
              <w:t>: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Cs/>
              </w:rPr>
            </w:pPr>
            <w:proofErr w:type="gramStart"/>
            <w:r>
              <w:rPr>
                <w:rFonts w:eastAsia="Times New Roman" w:cs="Calibri"/>
                <w:iCs/>
              </w:rPr>
              <w:t>12:110913124</w:t>
            </w:r>
            <w:proofErr w:type="gramEnd"/>
            <w:r>
              <w:rPr>
                <w:rFonts w:eastAsia="Times New Roman" w:cs="Calibri"/>
                <w:iCs/>
              </w:rPr>
              <w:t xml:space="preserve"> (GRCh38) UCSC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Cs/>
              </w:rPr>
            </w:pPr>
            <w:proofErr w:type="gramStart"/>
            <w:r>
              <w:rPr>
                <w:rFonts w:eastAsia="Times New Roman" w:cs="Calibri"/>
                <w:iCs/>
              </w:rPr>
              <w:t>12:111350928</w:t>
            </w:r>
            <w:proofErr w:type="gramEnd"/>
            <w:r>
              <w:rPr>
                <w:rFonts w:eastAsia="Times New Roman" w:cs="Calibri"/>
                <w:iCs/>
              </w:rPr>
              <w:t xml:space="preserve"> 8GRCh37) UCSC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Familial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hypertrophic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cardiomyopathy</w:t>
            </w:r>
            <w:proofErr w:type="spellEnd"/>
          </w:p>
        </w:tc>
      </w:tr>
      <w:tr w:rsidR="000A5E33" w:rsidTr="000A5E33">
        <w:trPr>
          <w:trHeight w:val="274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  <w:bCs/>
                <w:i/>
                <w:iCs/>
              </w:rPr>
            </w:pPr>
            <w:proofErr w:type="gramStart"/>
            <w:r>
              <w:rPr>
                <w:rFonts w:eastAsia="Times New Roman" w:cs="Calibri"/>
                <w:b/>
                <w:bCs/>
                <w:i/>
                <w:iCs/>
              </w:rPr>
              <w:t>c</w:t>
            </w:r>
            <w:proofErr w:type="gramEnd"/>
            <w:r>
              <w:rPr>
                <w:rFonts w:eastAsia="Times New Roman" w:cs="Calibri"/>
                <w:b/>
                <w:bCs/>
                <w:i/>
                <w:iCs/>
              </w:rPr>
              <w:t xml:space="preserve">.1448T&gt;C (rs421016) (p.L483P)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</w:rPr>
              <w:t>Heterozygous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Allele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ID: 19327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Variant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type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: </w:t>
            </w:r>
            <w:proofErr w:type="spellStart"/>
            <w:r>
              <w:rPr>
                <w:rFonts w:eastAsia="Times New Roman" w:cs="Calibri"/>
                <w:i/>
                <w:iCs/>
              </w:rPr>
              <w:t>single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nucleotide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variant</w:t>
            </w:r>
            <w:proofErr w:type="spellEnd"/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cytogenetic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location:1q22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r>
              <w:rPr>
                <w:rFonts w:eastAsia="Times New Roman" w:cs="Calibri"/>
                <w:i/>
                <w:iCs/>
              </w:rPr>
              <w:t xml:space="preserve">Protein </w:t>
            </w:r>
            <w:proofErr w:type="spellStart"/>
            <w:r>
              <w:rPr>
                <w:rFonts w:eastAsia="Times New Roman" w:cs="Calibri"/>
                <w:i/>
                <w:iCs/>
              </w:rPr>
              <w:t>exchange</w:t>
            </w:r>
            <w:proofErr w:type="spellEnd"/>
            <w:r>
              <w:rPr>
                <w:rFonts w:eastAsia="Times New Roman" w:cs="Calibri"/>
                <w:i/>
                <w:iCs/>
              </w:rPr>
              <w:t>: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r>
              <w:rPr>
                <w:rFonts w:eastAsia="Times New Roman" w:cs="Calibri"/>
                <w:i/>
                <w:iCs/>
              </w:rPr>
              <w:t>L483P, L396P, L434P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b/>
                <w:iCs/>
              </w:rPr>
            </w:pPr>
            <w:proofErr w:type="spellStart"/>
            <w:r>
              <w:rPr>
                <w:rFonts w:eastAsia="Times New Roman" w:cs="Calibri"/>
                <w:b/>
                <w:iCs/>
              </w:rPr>
              <w:t>Genomic</w:t>
            </w:r>
            <w:proofErr w:type="spellEnd"/>
            <w:r>
              <w:rPr>
                <w:rFonts w:eastAsia="Times New Roman" w:cs="Calibri"/>
                <w:b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iCs/>
              </w:rPr>
              <w:t>location</w:t>
            </w:r>
            <w:proofErr w:type="spellEnd"/>
            <w:r>
              <w:rPr>
                <w:rFonts w:eastAsia="Times New Roman" w:cs="Calibri"/>
                <w:b/>
                <w:iCs/>
              </w:rPr>
              <w:t>: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gramStart"/>
            <w:r>
              <w:rPr>
                <w:rFonts w:eastAsia="Times New Roman" w:cs="Calibri"/>
                <w:i/>
                <w:iCs/>
              </w:rPr>
              <w:t>1:155235252</w:t>
            </w:r>
            <w:proofErr w:type="gramEnd"/>
            <w:r>
              <w:rPr>
                <w:rFonts w:eastAsia="Times New Roman" w:cs="Calibri"/>
                <w:i/>
                <w:iCs/>
              </w:rPr>
              <w:t xml:space="preserve"> (GRCh38) GRCh38 UCSC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gramStart"/>
            <w:r>
              <w:rPr>
                <w:rFonts w:eastAsia="Times New Roman" w:cs="Calibri"/>
                <w:i/>
                <w:iCs/>
              </w:rPr>
              <w:t>1:155205043</w:t>
            </w:r>
            <w:proofErr w:type="gramEnd"/>
            <w:r>
              <w:rPr>
                <w:rFonts w:eastAsia="Times New Roman" w:cs="Calibri"/>
                <w:i/>
                <w:iCs/>
              </w:rPr>
              <w:t xml:space="preserve"> (GRCh37) GRCh37 UCSC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Late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onset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Parkinson's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Gaucher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Types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I, II, III</w:t>
            </w:r>
          </w:p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Perinatal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lethal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Gaucher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Dementia</w:t>
            </w:r>
            <w:proofErr w:type="spellEnd"/>
          </w:p>
        </w:tc>
      </w:tr>
      <w:tr w:rsidR="000A5E33" w:rsidTr="000A5E33">
        <w:trPr>
          <w:trHeight w:val="230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  <w:bCs/>
                <w:i/>
                <w:iCs/>
              </w:rPr>
            </w:pPr>
            <w:proofErr w:type="gramStart"/>
            <w:r>
              <w:rPr>
                <w:rFonts w:eastAsia="Times New Roman" w:cs="Calibri"/>
                <w:b/>
                <w:bCs/>
                <w:i/>
                <w:iCs/>
              </w:rPr>
              <w:t>c</w:t>
            </w:r>
            <w:proofErr w:type="gramEnd"/>
            <w:r>
              <w:rPr>
                <w:rFonts w:eastAsia="Times New Roman" w:cs="Calibri"/>
                <w:b/>
                <w:bCs/>
                <w:i/>
                <w:iCs/>
              </w:rPr>
              <w:t xml:space="preserve">.1223C&gt;T (rs75548401) (p.T408M)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</w:rPr>
              <w:t>Heterozygous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Allele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ID: 99354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Variant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type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: </w:t>
            </w:r>
            <w:proofErr w:type="spellStart"/>
            <w:r>
              <w:rPr>
                <w:rFonts w:eastAsia="Times New Roman" w:cs="Calibri"/>
                <w:i/>
                <w:iCs/>
              </w:rPr>
              <w:t>single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nucleotide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variant</w:t>
            </w:r>
            <w:proofErr w:type="spellEnd"/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Cytogenetic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location</w:t>
            </w:r>
            <w:proofErr w:type="spellEnd"/>
            <w:r>
              <w:rPr>
                <w:rFonts w:eastAsia="Times New Roman" w:cs="Calibri"/>
                <w:i/>
                <w:iCs/>
              </w:rPr>
              <w:t>: 1q22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r>
              <w:rPr>
                <w:rFonts w:eastAsia="Times New Roman" w:cs="Calibri"/>
                <w:i/>
                <w:iCs/>
              </w:rPr>
              <w:t xml:space="preserve">Protein </w:t>
            </w:r>
            <w:proofErr w:type="spellStart"/>
            <w:r>
              <w:rPr>
                <w:rFonts w:eastAsia="Times New Roman" w:cs="Calibri"/>
                <w:i/>
                <w:iCs/>
              </w:rPr>
              <w:t>exchange</w:t>
            </w:r>
            <w:proofErr w:type="spellEnd"/>
            <w:r>
              <w:rPr>
                <w:rFonts w:eastAsia="Times New Roman" w:cs="Calibri"/>
                <w:i/>
                <w:iCs/>
              </w:rPr>
              <w:t>: T408M, T359M, T321M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b/>
                <w:iCs/>
              </w:rPr>
            </w:pPr>
            <w:proofErr w:type="spellStart"/>
            <w:r>
              <w:rPr>
                <w:rFonts w:eastAsia="Times New Roman" w:cs="Calibri"/>
                <w:b/>
                <w:iCs/>
              </w:rPr>
              <w:t>Genomic</w:t>
            </w:r>
            <w:proofErr w:type="spellEnd"/>
            <w:r>
              <w:rPr>
                <w:rFonts w:eastAsia="Times New Roman" w:cs="Calibri"/>
                <w:b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iCs/>
              </w:rPr>
              <w:t>location</w:t>
            </w:r>
            <w:proofErr w:type="spellEnd"/>
            <w:r>
              <w:rPr>
                <w:rFonts w:eastAsia="Times New Roman" w:cs="Calibri"/>
                <w:b/>
                <w:iCs/>
              </w:rPr>
              <w:t>: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gramStart"/>
            <w:r>
              <w:rPr>
                <w:rFonts w:eastAsia="Times New Roman" w:cs="Calibri"/>
                <w:i/>
                <w:iCs/>
              </w:rPr>
              <w:t>1:155236246</w:t>
            </w:r>
            <w:proofErr w:type="gramEnd"/>
            <w:r>
              <w:rPr>
                <w:rFonts w:eastAsia="Times New Roman" w:cs="Calibri"/>
                <w:i/>
                <w:iCs/>
              </w:rPr>
              <w:t xml:space="preserve"> (GRCh38) UCSC</w:t>
            </w:r>
          </w:p>
          <w:p w:rsidR="000A5E33" w:rsidRDefault="000A5E33">
            <w:pPr>
              <w:spacing w:line="240" w:lineRule="auto"/>
              <w:ind w:right="568"/>
              <w:rPr>
                <w:rFonts w:eastAsia="Times New Roman" w:cs="Calibri"/>
                <w:i/>
                <w:iCs/>
              </w:rPr>
            </w:pPr>
            <w:proofErr w:type="gramStart"/>
            <w:r>
              <w:rPr>
                <w:rFonts w:eastAsia="Times New Roman" w:cs="Calibri"/>
                <w:i/>
                <w:iCs/>
              </w:rPr>
              <w:t>1:155206037</w:t>
            </w:r>
            <w:proofErr w:type="gramEnd"/>
            <w:r>
              <w:rPr>
                <w:rFonts w:eastAsia="Times New Roman" w:cs="Calibri"/>
                <w:i/>
                <w:iCs/>
              </w:rPr>
              <w:t xml:space="preserve"> (GRCh37) UCSC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Mostly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benign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Late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onset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Parkinson's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  <w:i/>
                <w:iCs/>
              </w:rPr>
            </w:pPr>
            <w:proofErr w:type="spellStart"/>
            <w:r>
              <w:rPr>
                <w:rFonts w:eastAsia="Times New Roman" w:cs="Calibri"/>
                <w:i/>
                <w:iCs/>
              </w:rPr>
              <w:t>Rarely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Perinatal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Lethal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</w:rPr>
              <w:t>Gaucher</w:t>
            </w:r>
            <w:proofErr w:type="spellEnd"/>
          </w:p>
        </w:tc>
      </w:tr>
    </w:tbl>
    <w:p w:rsidR="000A5E33" w:rsidRDefault="000A5E33" w:rsidP="000A5E33">
      <w:pPr>
        <w:ind w:right="568"/>
        <w:rPr>
          <w:rFonts w:cs="Calibri"/>
          <w:b/>
        </w:rPr>
      </w:pPr>
      <w:r>
        <w:rPr>
          <w:rFonts w:cs="Calibri"/>
          <w:b/>
        </w:rPr>
        <w:t>*</w:t>
      </w:r>
      <w:proofErr w:type="spellStart"/>
      <w:r>
        <w:rPr>
          <w:rFonts w:cs="Calibri"/>
          <w:b/>
        </w:rPr>
        <w:t>ClinVar</w:t>
      </w:r>
      <w:proofErr w:type="spellEnd"/>
    </w:p>
    <w:p w:rsidR="000A5E33" w:rsidRDefault="000A5E33" w:rsidP="000A5E33">
      <w:pPr>
        <w:ind w:right="568"/>
        <w:rPr>
          <w:rFonts w:cs="Calibri"/>
          <w:b/>
        </w:rPr>
      </w:pPr>
    </w:p>
    <w:p w:rsidR="000A5E33" w:rsidRDefault="000A5E33" w:rsidP="000A5E33">
      <w:pPr>
        <w:ind w:right="568"/>
        <w:rPr>
          <w:rFonts w:cs="Calibri"/>
          <w:b/>
        </w:rPr>
      </w:pPr>
      <w:proofErr w:type="spellStart"/>
      <w:r>
        <w:rPr>
          <w:rFonts w:eastAsia="Times New Roman" w:cs="Calibri"/>
          <w:b/>
          <w:bCs/>
          <w:iCs/>
        </w:rPr>
        <w:t>Table</w:t>
      </w:r>
      <w:proofErr w:type="spellEnd"/>
      <w:r>
        <w:rPr>
          <w:rFonts w:eastAsia="Times New Roman" w:cs="Calibri"/>
          <w:b/>
          <w:bCs/>
          <w:iCs/>
        </w:rPr>
        <w:t xml:space="preserve"> S2: </w:t>
      </w:r>
      <w:proofErr w:type="spellStart"/>
      <w:r>
        <w:rPr>
          <w:rFonts w:eastAsia="Times New Roman" w:cs="Calibri"/>
          <w:b/>
          <w:bCs/>
          <w:iCs/>
        </w:rPr>
        <w:t>Examination</w:t>
      </w:r>
      <w:proofErr w:type="spellEnd"/>
      <w:r>
        <w:rPr>
          <w:rFonts w:eastAsia="Times New Roman" w:cs="Calibri"/>
          <w:b/>
          <w:bCs/>
          <w:iCs/>
        </w:rPr>
        <w:t xml:space="preserve"> of </w:t>
      </w:r>
      <w:proofErr w:type="spellStart"/>
      <w:r>
        <w:rPr>
          <w:rFonts w:eastAsia="Times New Roman" w:cs="Calibri"/>
          <w:b/>
          <w:bCs/>
          <w:iCs/>
        </w:rPr>
        <w:t>family</w:t>
      </w:r>
      <w:proofErr w:type="spellEnd"/>
      <w:r>
        <w:rPr>
          <w:rFonts w:eastAsia="Times New Roman" w:cs="Calibri"/>
          <w:b/>
          <w:bCs/>
          <w:iCs/>
        </w:rPr>
        <w:t xml:space="preserve"> </w:t>
      </w:r>
      <w:proofErr w:type="spellStart"/>
      <w:r>
        <w:rPr>
          <w:rFonts w:eastAsia="Times New Roman" w:cs="Calibri"/>
          <w:b/>
          <w:bCs/>
          <w:iCs/>
        </w:rPr>
        <w:t>members</w:t>
      </w:r>
      <w:proofErr w:type="spellEnd"/>
      <w:r>
        <w:rPr>
          <w:rFonts w:eastAsia="Times New Roman" w:cs="Calibri"/>
          <w:b/>
          <w:bCs/>
          <w:iCs/>
        </w:rPr>
        <w:t xml:space="preserve"> (</w:t>
      </w:r>
      <w:proofErr w:type="spellStart"/>
      <w:r>
        <w:rPr>
          <w:rFonts w:eastAsia="Times New Roman" w:cs="Calibri"/>
          <w:b/>
          <w:bCs/>
          <w:iCs/>
        </w:rPr>
        <w:t>patient</w:t>
      </w:r>
      <w:proofErr w:type="spellEnd"/>
      <w:r>
        <w:rPr>
          <w:rFonts w:eastAsia="Times New Roman" w:cs="Calibri"/>
          <w:b/>
          <w:bCs/>
          <w:iCs/>
        </w:rPr>
        <w:t xml:space="preserve"> A)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656"/>
        <w:gridCol w:w="1984"/>
        <w:gridCol w:w="4723"/>
        <w:gridCol w:w="4111"/>
      </w:tblGrid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Relatives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Age </w:t>
            </w:r>
            <w:proofErr w:type="spellStart"/>
            <w:r>
              <w:rPr>
                <w:rFonts w:eastAsia="Times New Roman" w:cs="Calibri"/>
                <w:bCs/>
              </w:rPr>
              <w:t>and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gender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GBA </w:t>
            </w:r>
            <w:proofErr w:type="spellStart"/>
            <w:r>
              <w:rPr>
                <w:rFonts w:eastAsia="Times New Roman" w:cs="Calibri"/>
              </w:rPr>
              <w:t>level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nmol</w:t>
            </w:r>
            <w:proofErr w:type="spellEnd"/>
            <w:r>
              <w:rPr>
                <w:rFonts w:eastAsia="Times New Roman" w:cs="Calibri"/>
              </w:rPr>
              <w:t>/ml/h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Genetic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Mutation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type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Examined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regions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Clinical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effect</w:t>
            </w:r>
            <w:proofErr w:type="spellEnd"/>
            <w:r>
              <w:rPr>
                <w:rFonts w:eastAsia="Times New Roman" w:cs="Calibri"/>
              </w:rPr>
              <w:t xml:space="preserve"> of </w:t>
            </w:r>
            <w:proofErr w:type="spellStart"/>
            <w:r>
              <w:rPr>
                <w:rFonts w:eastAsia="Times New Roman" w:cs="Calibri"/>
              </w:rPr>
              <w:t>mutation</w:t>
            </w:r>
            <w:proofErr w:type="spellEnd"/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Mother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</w:p>
          <w:p w:rsidR="000A5E33" w:rsidRDefault="000A5E33">
            <w:pPr>
              <w:ind w:right="568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26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  <w:bCs/>
              </w:rPr>
              <w:t>female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</w:rPr>
            </w:pPr>
            <w:proofErr w:type="gramStart"/>
            <w:r>
              <w:rPr>
                <w:rFonts w:eastAsia="Times New Roman" w:cs="Calibri"/>
                <w:b/>
                <w:bCs/>
              </w:rPr>
              <w:t>c</w:t>
            </w:r>
            <w:proofErr w:type="gramEnd"/>
            <w:r>
              <w:rPr>
                <w:rFonts w:eastAsia="Times New Roman" w:cs="Calibri"/>
                <w:b/>
                <w:bCs/>
              </w:rPr>
              <w:t xml:space="preserve">.374C&gt;A (p.T125K) </w:t>
            </w:r>
            <w:proofErr w:type="spellStart"/>
            <w:r>
              <w:rPr>
                <w:rFonts w:eastAsia="Times New Roman" w:cs="Calibri"/>
                <w:b/>
                <w:bCs/>
              </w:rPr>
              <w:t>Heterozygous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  <w:r>
              <w:rPr>
                <w:rFonts w:eastAsia="Times New Roman" w:cs="Calibri"/>
                <w:bCs/>
              </w:rPr>
              <w:t xml:space="preserve"> in HGMD </w:t>
            </w:r>
            <w:proofErr w:type="spellStart"/>
            <w:r>
              <w:rPr>
                <w:rFonts w:eastAsia="Times New Roman" w:cs="Calibri"/>
                <w:bCs/>
              </w:rPr>
              <w:t>database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  <w:bCs/>
              </w:rPr>
              <w:t>Possibly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harmful</w:t>
            </w:r>
            <w:proofErr w:type="spellEnd"/>
            <w:r>
              <w:rPr>
                <w:rFonts w:eastAsia="Times New Roman" w:cs="Calibri"/>
                <w:bCs/>
              </w:rPr>
              <w:t>**1</w:t>
            </w: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Father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27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  <w:bCs/>
              </w:rPr>
              <w:t>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Not </w:t>
            </w:r>
            <w:proofErr w:type="spellStart"/>
            <w:r>
              <w:rPr>
                <w:rFonts w:eastAsia="Times New Roman" w:cs="Calibri"/>
                <w:bCs/>
              </w:rPr>
              <w:t>Detected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Sister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</w:p>
          <w:p w:rsidR="000A5E33" w:rsidRDefault="000A5E33">
            <w:pPr>
              <w:ind w:right="568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3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  <w:bCs/>
              </w:rPr>
              <w:t>female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Not </w:t>
            </w:r>
            <w:proofErr w:type="spellStart"/>
            <w:r>
              <w:rPr>
                <w:rFonts w:eastAsia="Times New Roman" w:cs="Calibri"/>
                <w:bCs/>
              </w:rPr>
              <w:t>Detected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proofErr w:type="gramStart"/>
            <w:r>
              <w:rPr>
                <w:rFonts w:eastAsia="Times New Roman" w:cs="Calibri"/>
                <w:bCs/>
              </w:rPr>
              <w:t>Mother’s</w:t>
            </w:r>
            <w:proofErr w:type="spellEnd"/>
            <w:r>
              <w:rPr>
                <w:rFonts w:eastAsia="Times New Roman" w:cs="Calibri"/>
                <w:bCs/>
              </w:rPr>
              <w:t xml:space="preserve">  </w:t>
            </w:r>
            <w:proofErr w:type="spellStart"/>
            <w:r>
              <w:rPr>
                <w:rFonts w:eastAsia="Times New Roman" w:cs="Calibri"/>
                <w:bCs/>
              </w:rPr>
              <w:t>father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60 </w:t>
            </w:r>
            <w:proofErr w:type="spellStart"/>
            <w:r>
              <w:rPr>
                <w:rFonts w:eastAsia="Times New Roman" w:cs="Calibri"/>
              </w:rPr>
              <w:t>years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Not </w:t>
            </w:r>
            <w:proofErr w:type="spellStart"/>
            <w:r>
              <w:rPr>
                <w:rFonts w:eastAsia="Times New Roman" w:cs="Calibri"/>
                <w:bCs/>
              </w:rPr>
              <w:t>Detected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Mother’s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mother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</w:p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58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</w:p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  <w:bCs/>
              </w:rPr>
              <w:t>female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/>
              </w:rPr>
            </w:pPr>
            <w:proofErr w:type="gramStart"/>
            <w:r>
              <w:rPr>
                <w:rFonts w:eastAsia="Times New Roman" w:cs="Calibri"/>
                <w:b/>
                <w:bCs/>
              </w:rPr>
              <w:t>c</w:t>
            </w:r>
            <w:proofErr w:type="gramEnd"/>
            <w:r>
              <w:rPr>
                <w:rFonts w:eastAsia="Times New Roman" w:cs="Calibri"/>
                <w:b/>
                <w:bCs/>
              </w:rPr>
              <w:t xml:space="preserve">.374C&gt;A (p.T125K) </w:t>
            </w:r>
            <w:proofErr w:type="spellStart"/>
            <w:r>
              <w:rPr>
                <w:rFonts w:eastAsia="Times New Roman" w:cs="Calibri"/>
                <w:b/>
                <w:bCs/>
              </w:rPr>
              <w:t>Heterozygous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 </w:t>
            </w:r>
            <w:proofErr w:type="spellStart"/>
            <w:r>
              <w:rPr>
                <w:rFonts w:eastAsia="Times New Roman" w:cs="Calibri"/>
                <w:bCs/>
              </w:rPr>
              <w:t>association</w:t>
            </w:r>
            <w:proofErr w:type="spellEnd"/>
            <w:r>
              <w:rPr>
                <w:rFonts w:eastAsia="Times New Roman" w:cs="Calibri"/>
                <w:bCs/>
              </w:rPr>
              <w:t xml:space="preserve"> of </w:t>
            </w:r>
            <w:proofErr w:type="spellStart"/>
            <w:r>
              <w:rPr>
                <w:rFonts w:eastAsia="Times New Roman" w:cs="Calibri"/>
                <w:bCs/>
              </w:rPr>
              <w:t>this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mutation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with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disease</w:t>
            </w:r>
            <w:proofErr w:type="spellEnd"/>
            <w:r>
              <w:rPr>
                <w:rFonts w:eastAsia="Times New Roman" w:cs="Calibri"/>
                <w:bCs/>
              </w:rPr>
              <w:t xml:space="preserve"> in </w:t>
            </w:r>
            <w:proofErr w:type="spellStart"/>
            <w:r>
              <w:rPr>
                <w:rFonts w:eastAsia="Times New Roman" w:cs="Calibri"/>
                <w:bCs/>
              </w:rPr>
              <w:t>the</w:t>
            </w:r>
            <w:proofErr w:type="spellEnd"/>
            <w:r>
              <w:rPr>
                <w:rFonts w:eastAsia="Times New Roman" w:cs="Calibri"/>
                <w:bCs/>
              </w:rPr>
              <w:t xml:space="preserve"> HGMD </w:t>
            </w:r>
            <w:proofErr w:type="spellStart"/>
            <w:r>
              <w:rPr>
                <w:rFonts w:eastAsia="Times New Roman" w:cs="Calibri"/>
                <w:bCs/>
              </w:rPr>
              <w:t>database</w:t>
            </w:r>
            <w:proofErr w:type="spellEnd"/>
            <w:r>
              <w:rPr>
                <w:rFonts w:eastAsia="Times New Roman" w:cs="Calibri"/>
                <w:bCs/>
              </w:rPr>
              <w:t>**2</w:t>
            </w: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Mother's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brother</w:t>
            </w:r>
            <w:proofErr w:type="spellEnd"/>
            <w:r>
              <w:rPr>
                <w:rFonts w:eastAsia="Times New Roman" w:cs="Calibri"/>
                <w:bCs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23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  <w:r>
              <w:rPr>
                <w:rFonts w:eastAsia="Times New Roman" w:cs="Calibri"/>
                <w:bCs/>
              </w:rPr>
              <w:t xml:space="preserve"> Male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Not </w:t>
            </w:r>
            <w:proofErr w:type="spellStart"/>
            <w:r>
              <w:rPr>
                <w:rFonts w:eastAsia="Times New Roman" w:cs="Calibri"/>
                <w:bCs/>
              </w:rPr>
              <w:t>detected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Mother's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brother</w:t>
            </w:r>
            <w:proofErr w:type="spellEnd"/>
            <w:r>
              <w:rPr>
                <w:rFonts w:eastAsia="Times New Roman" w:cs="Calibri"/>
                <w:bCs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32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  <w:r>
              <w:rPr>
                <w:rFonts w:eastAsia="Times New Roman" w:cs="Calibri"/>
                <w:bCs/>
              </w:rPr>
              <w:t xml:space="preserve"> Male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2.8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Not </w:t>
            </w:r>
            <w:proofErr w:type="spellStart"/>
            <w:r>
              <w:rPr>
                <w:rFonts w:eastAsia="Times New Roman" w:cs="Calibri"/>
                <w:bCs/>
              </w:rPr>
              <w:t>detected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</w:p>
        </w:tc>
      </w:tr>
      <w:tr w:rsidR="000A5E33" w:rsidTr="000A5E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proofErr w:type="spellStart"/>
            <w:r>
              <w:rPr>
                <w:rFonts w:eastAsia="Times New Roman" w:cs="Calibri"/>
                <w:bCs/>
              </w:rPr>
              <w:t>Mother's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brother</w:t>
            </w:r>
            <w:proofErr w:type="spellEnd"/>
            <w:r>
              <w:rPr>
                <w:rFonts w:eastAsia="Times New Roman" w:cs="Calibri"/>
                <w:bCs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36 </w:t>
            </w:r>
            <w:proofErr w:type="spellStart"/>
            <w:r>
              <w:rPr>
                <w:rFonts w:eastAsia="Times New Roman" w:cs="Calibri"/>
                <w:bCs/>
              </w:rPr>
              <w:t>years</w:t>
            </w:r>
            <w:proofErr w:type="spellEnd"/>
            <w:r>
              <w:rPr>
                <w:rFonts w:eastAsia="Times New Roman" w:cs="Calibri"/>
                <w:bCs/>
              </w:rPr>
              <w:t xml:space="preserve"> Male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Not </w:t>
            </w:r>
            <w:proofErr w:type="spellStart"/>
            <w:r>
              <w:rPr>
                <w:rFonts w:eastAsia="Times New Roman" w:cs="Calibri"/>
                <w:bCs/>
              </w:rPr>
              <w:t>detected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GBA gene </w:t>
            </w:r>
            <w:proofErr w:type="spellStart"/>
            <w:r>
              <w:rPr>
                <w:rFonts w:eastAsia="Times New Roman" w:cs="Calibri"/>
                <w:bCs/>
              </w:rPr>
              <w:t>Exon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gramStart"/>
            <w:r>
              <w:rPr>
                <w:rFonts w:eastAsia="Times New Roman" w:cs="Calibri"/>
                <w:bCs/>
              </w:rPr>
              <w:t>1,2,3,4,5,6,7,8,9,10,11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</w:p>
        </w:tc>
      </w:tr>
    </w:tbl>
    <w:p w:rsidR="000A5E33" w:rsidRDefault="000A5E33" w:rsidP="000A5E33">
      <w:pPr>
        <w:ind w:right="568"/>
        <w:rPr>
          <w:rFonts w:cs="Calibri"/>
        </w:rPr>
      </w:pPr>
      <w:r>
        <w:rPr>
          <w:rFonts w:cs="Calibri"/>
        </w:rPr>
        <w:t xml:space="preserve">**1 At </w:t>
      </w:r>
      <w:proofErr w:type="spellStart"/>
      <w:r>
        <w:rPr>
          <w:rFonts w:cs="Calibri"/>
        </w:rPr>
        <w:t>position</w:t>
      </w:r>
      <w:proofErr w:type="spellEnd"/>
      <w:r>
        <w:rPr>
          <w:rFonts w:cs="Calibri"/>
        </w:rPr>
        <w:t xml:space="preserve"> 374 of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coding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sequence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cytosine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nucleotide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converted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adenine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This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caused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amino </w:t>
      </w:r>
      <w:proofErr w:type="spellStart"/>
      <w:r>
        <w:rPr>
          <w:rFonts w:cs="Calibri"/>
        </w:rPr>
        <w:t>acid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lysine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replace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threonine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position</w:t>
      </w:r>
      <w:proofErr w:type="spellEnd"/>
      <w:r>
        <w:rPr>
          <w:rFonts w:cs="Calibri"/>
        </w:rPr>
        <w:t xml:space="preserve"> 125 of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protein.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clinical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significance</w:t>
      </w:r>
      <w:proofErr w:type="spellEnd"/>
      <w:r>
        <w:rPr>
          <w:rFonts w:cs="Calibri"/>
        </w:rPr>
        <w:t xml:space="preserve"> of </w:t>
      </w:r>
      <w:proofErr w:type="spellStart"/>
      <w:r>
        <w:rPr>
          <w:rFonts w:cs="Calibri"/>
        </w:rPr>
        <w:t>this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finding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which</w:t>
      </w:r>
      <w:proofErr w:type="spellEnd"/>
      <w:r>
        <w:rPr>
          <w:rFonts w:cs="Calibri"/>
        </w:rPr>
        <w:t xml:space="preserve"> is not </w:t>
      </w:r>
      <w:proofErr w:type="spellStart"/>
      <w:r>
        <w:rPr>
          <w:rFonts w:cs="Calibri"/>
        </w:rPr>
        <w:t>included</w:t>
      </w:r>
      <w:proofErr w:type="spellEnd"/>
      <w:r>
        <w:rPr>
          <w:rFonts w:cs="Calibri"/>
        </w:rPr>
        <w:t xml:space="preserve"> in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Clinvar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database</w:t>
      </w:r>
      <w:proofErr w:type="spellEnd"/>
      <w:r>
        <w:rPr>
          <w:rFonts w:cs="Calibri"/>
        </w:rPr>
        <w:t xml:space="preserve">, is </w:t>
      </w:r>
      <w:proofErr w:type="spellStart"/>
      <w:r>
        <w:rPr>
          <w:rFonts w:cs="Calibri"/>
        </w:rPr>
        <w:t>unknown</w:t>
      </w:r>
      <w:proofErr w:type="spellEnd"/>
      <w:r>
        <w:rPr>
          <w:rFonts w:cs="Calibri"/>
        </w:rPr>
        <w:t>.</w:t>
      </w:r>
    </w:p>
    <w:p w:rsidR="000A5E33" w:rsidRDefault="000A5E33" w:rsidP="000A5E33">
      <w:pPr>
        <w:ind w:right="568"/>
        <w:rPr>
          <w:rFonts w:cs="Calibri"/>
        </w:rPr>
      </w:pPr>
      <w:r>
        <w:rPr>
          <w:rFonts w:cs="Calibri"/>
        </w:rPr>
        <w:t xml:space="preserve">**2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cytosine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nucleotide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position</w:t>
      </w:r>
      <w:proofErr w:type="spellEnd"/>
      <w:r>
        <w:rPr>
          <w:rFonts w:cs="Calibri"/>
        </w:rPr>
        <w:t xml:space="preserve"> 374 of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coding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sequence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converted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adenine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This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caused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amino </w:t>
      </w:r>
      <w:proofErr w:type="spellStart"/>
      <w:r>
        <w:rPr>
          <w:rFonts w:cs="Calibri"/>
        </w:rPr>
        <w:t>acid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lysine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replace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threonine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position</w:t>
      </w:r>
      <w:proofErr w:type="spellEnd"/>
      <w:r>
        <w:rPr>
          <w:rFonts w:cs="Calibri"/>
        </w:rPr>
        <w:t xml:space="preserve"> 125 of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protein.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clinical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significance</w:t>
      </w:r>
      <w:proofErr w:type="spellEnd"/>
      <w:r>
        <w:rPr>
          <w:rFonts w:cs="Calibri"/>
        </w:rPr>
        <w:t xml:space="preserve"> of </w:t>
      </w:r>
      <w:proofErr w:type="spellStart"/>
      <w:r>
        <w:rPr>
          <w:rFonts w:cs="Calibri"/>
        </w:rPr>
        <w:t>this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finding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which</w:t>
      </w:r>
      <w:proofErr w:type="spellEnd"/>
      <w:r>
        <w:rPr>
          <w:rFonts w:cs="Calibri"/>
        </w:rPr>
        <w:t xml:space="preserve"> is not </w:t>
      </w:r>
      <w:proofErr w:type="spellStart"/>
      <w:r>
        <w:rPr>
          <w:rFonts w:cs="Calibri"/>
        </w:rPr>
        <w:t>included</w:t>
      </w:r>
      <w:proofErr w:type="spellEnd"/>
      <w:r>
        <w:rPr>
          <w:rFonts w:cs="Calibri"/>
        </w:rPr>
        <w:t xml:space="preserve"> in </w:t>
      </w:r>
      <w:proofErr w:type="spellStart"/>
      <w:r>
        <w:rPr>
          <w:rFonts w:cs="Calibri"/>
        </w:rPr>
        <w:t>the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Clinvar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database</w:t>
      </w:r>
      <w:proofErr w:type="spellEnd"/>
      <w:r>
        <w:rPr>
          <w:rFonts w:cs="Calibri"/>
        </w:rPr>
        <w:t xml:space="preserve">, is </w:t>
      </w:r>
      <w:proofErr w:type="spellStart"/>
      <w:r>
        <w:rPr>
          <w:rFonts w:cs="Calibri"/>
        </w:rPr>
        <w:t>unknown</w:t>
      </w:r>
      <w:proofErr w:type="spellEnd"/>
      <w:r>
        <w:rPr>
          <w:rFonts w:cs="Calibri"/>
        </w:rPr>
        <w:t>.</w:t>
      </w:r>
    </w:p>
    <w:p w:rsidR="000A5E33" w:rsidRDefault="000A5E33" w:rsidP="000A5E33">
      <w:pPr>
        <w:ind w:right="568"/>
        <w:rPr>
          <w:rFonts w:cs="Calibri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62035690</wp:posOffset>
                </wp:positionV>
                <wp:extent cx="3535680" cy="1897380"/>
                <wp:effectExtent l="0" t="0" r="26670" b="2667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E33" w:rsidRDefault="000A5E33" w:rsidP="000A5E3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A5E33" w:rsidRDefault="000A5E33" w:rsidP="000A5E33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A5E33" w:rsidRDefault="000A5E33" w:rsidP="000A5E33">
                            <w:pPr>
                              <w:spacing w:line="276" w:lineRule="auto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Gaucher’s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disease</w:t>
                            </w:r>
                            <w:proofErr w:type="spellEnd"/>
                          </w:p>
                          <w:p w:rsidR="000A5E33" w:rsidRDefault="000A5E33" w:rsidP="000A5E33">
                            <w:pPr>
                              <w:spacing w:line="276" w:lineRule="auto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FMF Carrier</w:t>
                            </w:r>
                          </w:p>
                          <w:p w:rsidR="000A5E33" w:rsidRDefault="000A5E33" w:rsidP="000A5E33">
                            <w:pPr>
                              <w:spacing w:line="276" w:lineRule="auto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Dead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Man</w:t>
                            </w:r>
                          </w:p>
                          <w:p w:rsidR="000A5E33" w:rsidRDefault="000A5E33" w:rsidP="000A5E33">
                            <w:pPr>
                              <w:spacing w:line="276" w:lineRule="auto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Dead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WOMAN</w:t>
                            </w:r>
                          </w:p>
                          <w:p w:rsidR="000A5E33" w:rsidRDefault="000A5E33" w:rsidP="000A5E33">
                            <w:pPr>
                              <w:spacing w:line="276" w:lineRule="auto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FMF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disease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27.2pt;margin-top:4884.7pt;width:278.4pt;height:14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">
                <v:textbox>
                  <w:txbxContent>
                    <w:p w:rsidR="000A5E33" w:rsidRDefault="000A5E33" w:rsidP="000A5E33">
                      <w:pPr>
                        <w:rPr>
                          <w:sz w:val="16"/>
                        </w:rPr>
                      </w:pPr>
                    </w:p>
                    <w:p w:rsidR="000A5E33" w:rsidRDefault="000A5E33" w:rsidP="000A5E33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0A5E33" w:rsidRDefault="000A5E33" w:rsidP="000A5E33">
                      <w:pPr>
                        <w:spacing w:line="276" w:lineRule="auto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Gaucher’s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disease</w:t>
                      </w:r>
                      <w:proofErr w:type="spellEnd"/>
                    </w:p>
                    <w:p w:rsidR="000A5E33" w:rsidRDefault="000A5E33" w:rsidP="000A5E33">
                      <w:pPr>
                        <w:spacing w:line="276" w:lineRule="auto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FMF Carrier</w:t>
                      </w:r>
                    </w:p>
                    <w:p w:rsidR="000A5E33" w:rsidRDefault="000A5E33" w:rsidP="000A5E33">
                      <w:pPr>
                        <w:spacing w:line="276" w:lineRule="auto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Dead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Man</w:t>
                      </w:r>
                    </w:p>
                    <w:p w:rsidR="000A5E33" w:rsidRDefault="000A5E33" w:rsidP="000A5E33">
                      <w:pPr>
                        <w:spacing w:line="276" w:lineRule="auto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Dead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WOMAN</w:t>
                      </w:r>
                    </w:p>
                    <w:p w:rsidR="000A5E33" w:rsidRDefault="000A5E33" w:rsidP="000A5E33">
                      <w:pPr>
                        <w:spacing w:line="276" w:lineRule="auto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FMF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disease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A5E33" w:rsidRDefault="000A5E33" w:rsidP="000A5E33">
      <w:pPr>
        <w:pStyle w:val="NormalWeb"/>
        <w:tabs>
          <w:tab w:val="center" w:pos="8214"/>
          <w:tab w:val="left" w:pos="15132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79380" cy="2560320"/>
            <wp:effectExtent l="0" t="0" r="7620" b="0"/>
            <wp:wrapSquare wrapText="bothSides"/>
            <wp:docPr id="2" name="Resim 2" descr="ehhh pühh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hhh pühhh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38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</w:p>
    <w:p w:rsidR="000A5E33" w:rsidRDefault="000A5E33" w:rsidP="000A5E33">
      <w:pPr>
        <w:ind w:right="568"/>
        <w:rPr>
          <w:rFonts w:cs="Calibri"/>
          <w:noProof/>
          <w:lang w:eastAsia="tr-TR"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</w:p>
    <w:p w:rsidR="000A5E33" w:rsidRDefault="000A5E33" w:rsidP="000A5E33">
      <w:pPr>
        <w:ind w:right="568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Figure</w:t>
      </w:r>
      <w:proofErr w:type="spellEnd"/>
      <w:r>
        <w:rPr>
          <w:rFonts w:ascii="Times New Roman" w:hAnsi="Times New Roman" w:cs="Times New Roman"/>
          <w:b/>
        </w:rPr>
        <w:t xml:space="preserve"> S1. </w:t>
      </w:r>
      <w:proofErr w:type="spellStart"/>
      <w:r>
        <w:rPr>
          <w:rFonts w:ascii="Times New Roman" w:hAnsi="Times New Roman" w:cs="Times New Roman"/>
          <w:b/>
        </w:rPr>
        <w:t>Pedigree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tree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patient</w:t>
      </w:r>
      <w:proofErr w:type="spellEnd"/>
      <w:r>
        <w:rPr>
          <w:rFonts w:ascii="Times New Roman" w:hAnsi="Times New Roman" w:cs="Times New Roman"/>
          <w:b/>
        </w:rPr>
        <w:t xml:space="preserve"> A </w:t>
      </w:r>
      <w:proofErr w:type="spellStart"/>
      <w:r>
        <w:rPr>
          <w:rFonts w:ascii="Times New Roman" w:hAnsi="Times New Roman" w:cs="Times New Roman"/>
          <w:b/>
        </w:rPr>
        <w:t>with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mutation</w:t>
      </w:r>
      <w:proofErr w:type="spellEnd"/>
    </w:p>
    <w:p w:rsidR="000A5E33" w:rsidRDefault="000A5E33" w:rsidP="000A5E33">
      <w:pPr>
        <w:spacing w:line="276" w:lineRule="auto"/>
        <w:rPr>
          <w:rFonts w:ascii="Times New Roman" w:hAnsi="Times New Roman" w:cs="Times New Roman"/>
          <w:b/>
          <w:lang w:val="en-US"/>
        </w:rPr>
      </w:pPr>
    </w:p>
    <w:p w:rsidR="000A5E33" w:rsidRDefault="000A5E33" w:rsidP="000A5E33">
      <w:pPr>
        <w:ind w:right="568"/>
        <w:rPr>
          <w:rFonts w:cs="Calibri"/>
        </w:rPr>
      </w:pPr>
      <w:proofErr w:type="spellStart"/>
      <w:r>
        <w:rPr>
          <w:rFonts w:eastAsia="Times New Roman" w:cs="Calibri"/>
          <w:b/>
          <w:bCs/>
          <w:iCs/>
        </w:rPr>
        <w:t>Table</w:t>
      </w:r>
      <w:proofErr w:type="spellEnd"/>
      <w:r>
        <w:rPr>
          <w:rFonts w:eastAsia="Times New Roman" w:cs="Calibri"/>
          <w:b/>
          <w:bCs/>
          <w:iCs/>
        </w:rPr>
        <w:t xml:space="preserve"> </w:t>
      </w:r>
      <w:proofErr w:type="gramStart"/>
      <w:r>
        <w:rPr>
          <w:rFonts w:eastAsia="Times New Roman" w:cs="Calibri"/>
          <w:b/>
          <w:bCs/>
          <w:iCs/>
        </w:rPr>
        <w:t>S3 .</w:t>
      </w:r>
      <w:proofErr w:type="gramEnd"/>
      <w:r>
        <w:rPr>
          <w:rFonts w:eastAsia="Times New Roman" w:cs="Calibri"/>
          <w:b/>
          <w:bCs/>
          <w:iCs/>
        </w:rPr>
        <w:t xml:space="preserve"> </w:t>
      </w:r>
      <w:proofErr w:type="spellStart"/>
      <w:r>
        <w:rPr>
          <w:rFonts w:eastAsia="Times New Roman" w:cs="Calibri"/>
          <w:b/>
          <w:bCs/>
          <w:iCs/>
        </w:rPr>
        <w:t>Examination</w:t>
      </w:r>
      <w:proofErr w:type="spellEnd"/>
      <w:r>
        <w:rPr>
          <w:rFonts w:eastAsia="Times New Roman" w:cs="Calibri"/>
          <w:b/>
          <w:bCs/>
          <w:iCs/>
        </w:rPr>
        <w:t xml:space="preserve"> of </w:t>
      </w:r>
      <w:proofErr w:type="spellStart"/>
      <w:r>
        <w:rPr>
          <w:rFonts w:eastAsia="Times New Roman" w:cs="Calibri"/>
          <w:b/>
          <w:bCs/>
          <w:iCs/>
        </w:rPr>
        <w:t>family</w:t>
      </w:r>
      <w:proofErr w:type="spellEnd"/>
      <w:r>
        <w:rPr>
          <w:rFonts w:eastAsia="Times New Roman" w:cs="Calibri"/>
          <w:b/>
          <w:bCs/>
          <w:iCs/>
        </w:rPr>
        <w:t xml:space="preserve"> </w:t>
      </w:r>
      <w:proofErr w:type="spellStart"/>
      <w:r>
        <w:rPr>
          <w:rFonts w:eastAsia="Times New Roman" w:cs="Calibri"/>
          <w:b/>
          <w:bCs/>
          <w:iCs/>
        </w:rPr>
        <w:t>members</w:t>
      </w:r>
      <w:proofErr w:type="spellEnd"/>
      <w:r>
        <w:rPr>
          <w:rFonts w:eastAsia="Times New Roman" w:cs="Calibri"/>
          <w:b/>
          <w:bCs/>
          <w:iCs/>
        </w:rPr>
        <w:t xml:space="preserve"> (</w:t>
      </w:r>
      <w:proofErr w:type="spellStart"/>
      <w:r>
        <w:rPr>
          <w:rFonts w:eastAsia="Times New Roman" w:cs="Calibri"/>
          <w:b/>
          <w:bCs/>
          <w:iCs/>
        </w:rPr>
        <w:t>patient</w:t>
      </w:r>
      <w:proofErr w:type="spellEnd"/>
      <w:r>
        <w:rPr>
          <w:rFonts w:eastAsia="Times New Roman" w:cs="Calibri"/>
          <w:b/>
          <w:bCs/>
          <w:iCs/>
        </w:rPr>
        <w:t xml:space="preserve"> 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273"/>
        <w:gridCol w:w="1586"/>
        <w:gridCol w:w="1833"/>
        <w:gridCol w:w="1496"/>
        <w:gridCol w:w="1449"/>
      </w:tblGrid>
      <w:tr w:rsidR="000A5E33" w:rsidTr="000A5E33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  <w:bCs/>
              </w:rPr>
            </w:pPr>
            <w:bookmarkStart w:id="0" w:name="_Toc93575532"/>
            <w:proofErr w:type="spellStart"/>
            <w:r>
              <w:rPr>
                <w:rFonts w:eastAsia="Times New Roman" w:cs="Calibri"/>
                <w:bCs/>
              </w:rPr>
              <w:t>Relatives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 xml:space="preserve">Age </w:t>
            </w:r>
            <w:proofErr w:type="spellStart"/>
            <w:r>
              <w:rPr>
                <w:rFonts w:eastAsia="Times New Roman" w:cs="Calibri"/>
                <w:bCs/>
              </w:rPr>
              <w:t>and</w:t>
            </w:r>
            <w:proofErr w:type="spellEnd"/>
            <w:r>
              <w:rPr>
                <w:rFonts w:eastAsia="Times New Roman" w:cs="Calibri"/>
                <w:bCs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</w:rPr>
              <w:t>gender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GBA </w:t>
            </w:r>
            <w:proofErr w:type="spellStart"/>
            <w:r>
              <w:rPr>
                <w:rFonts w:eastAsia="Times New Roman" w:cs="Calibri"/>
              </w:rPr>
              <w:t>level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nmol</w:t>
            </w:r>
            <w:proofErr w:type="spellEnd"/>
            <w:r>
              <w:rPr>
                <w:rFonts w:eastAsia="Times New Roman" w:cs="Calibri"/>
              </w:rPr>
              <w:t>/ml/h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Genetic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Mutation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type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Examined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regions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ind w:right="568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Clinical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effect</w:t>
            </w:r>
            <w:proofErr w:type="spellEnd"/>
            <w:r>
              <w:rPr>
                <w:rFonts w:eastAsia="Times New Roman" w:cs="Calibri"/>
              </w:rPr>
              <w:t xml:space="preserve"> of </w:t>
            </w:r>
            <w:proofErr w:type="spellStart"/>
            <w:r>
              <w:rPr>
                <w:rFonts w:eastAsia="Times New Roman" w:cs="Calibri"/>
              </w:rPr>
              <w:t>mutation</w:t>
            </w:r>
            <w:proofErr w:type="spellEnd"/>
          </w:p>
        </w:tc>
      </w:tr>
      <w:tr w:rsidR="000A5E33" w:rsidTr="000A5E33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Mother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27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years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female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2.4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c</w:t>
            </w:r>
            <w:proofErr w:type="gramEnd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.1448T&gt;C (rs421016) (p.L483P) </w:t>
            </w:r>
            <w:proofErr w:type="spellStart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Heterozygous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GBA gene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Exon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1, 2, 3, 4, 5, 6, 7, 8, 9, </w:t>
            </w:r>
            <w:proofErr w:type="gram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10 .11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Carrier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for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Gaucher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disease</w:t>
            </w:r>
            <w:proofErr w:type="spellEnd"/>
          </w:p>
        </w:tc>
      </w:tr>
      <w:tr w:rsidR="000A5E33" w:rsidTr="000A5E33"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Father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29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years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male</w:t>
            </w:r>
            <w:proofErr w:type="spellEnd"/>
          </w:p>
        </w:tc>
        <w:tc>
          <w:tcPr>
            <w:tcW w:w="116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Not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included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in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the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study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for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social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reasons</w:t>
            </w:r>
            <w:proofErr w:type="spellEnd"/>
          </w:p>
        </w:tc>
      </w:tr>
      <w:tr w:rsidR="000A5E33" w:rsidTr="000A5E33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Brother</w:t>
            </w:r>
            <w:proofErr w:type="spellEnd"/>
            <w:r>
              <w:rPr>
                <w:rFonts w:eastAsia="Times New Roman" w:cs="Calibri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3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years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color w:val="auto"/>
                <w:kern w:val="2"/>
                <w:sz w:val="24"/>
                <w:szCs w:val="24"/>
                <w14:ligatures w14:val="standardContextual"/>
              </w:rPr>
              <w:t>2.90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c</w:t>
            </w:r>
            <w:proofErr w:type="gramEnd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.1448T&gt;C (rs421016) (p.L483P) </w:t>
            </w:r>
            <w:proofErr w:type="spellStart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Heterozygous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GBA gene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Exon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1, 2, 3, 4, 5, 6, 7, 8, 9, </w:t>
            </w:r>
            <w:proofErr w:type="gram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10 .11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Carrier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for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Gaucher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disease</w:t>
            </w:r>
            <w:proofErr w:type="spellEnd"/>
          </w:p>
        </w:tc>
      </w:tr>
      <w:tr w:rsidR="000A5E33" w:rsidTr="000A5E33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Brother</w:t>
            </w:r>
            <w:proofErr w:type="spellEnd"/>
            <w:r>
              <w:rPr>
                <w:rFonts w:eastAsia="Times New Roman" w:cs="Calibri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2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years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male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2.7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c</w:t>
            </w:r>
            <w:proofErr w:type="gramEnd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.1448T&gt;C (rs421016) (p.L483P) </w:t>
            </w:r>
            <w:proofErr w:type="spellStart"/>
            <w:r>
              <w:rPr>
                <w:rFonts w:eastAsia="Times New Roman" w:cs="Calibri"/>
                <w:b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Heterozygous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GBA gene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Exon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1, 2, 3, 4, 5, 6, 7, 8, 9, </w:t>
            </w:r>
            <w:proofErr w:type="gram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10 .11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33" w:rsidRDefault="000A5E33">
            <w:pPr>
              <w:pStyle w:val="ResimYazs"/>
              <w:spacing w:before="240" w:after="240" w:line="276" w:lineRule="auto"/>
              <w:ind w:right="568"/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Carrier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for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Gaucher</w:t>
            </w:r>
            <w:proofErr w:type="spellEnd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i w:val="0"/>
                <w:iCs w:val="0"/>
                <w:color w:val="auto"/>
                <w:kern w:val="2"/>
                <w:sz w:val="24"/>
                <w:szCs w:val="24"/>
                <w14:ligatures w14:val="standardContextual"/>
              </w:rPr>
              <w:t>disease</w:t>
            </w:r>
            <w:proofErr w:type="spellEnd"/>
          </w:p>
        </w:tc>
      </w:tr>
    </w:tbl>
    <w:bookmarkEnd w:id="0"/>
    <w:p w:rsidR="000A5E33" w:rsidRDefault="000A5E33" w:rsidP="000A5E33">
      <w:pPr>
        <w:spacing w:after="120"/>
        <w:ind w:right="568" w:firstLine="567"/>
        <w:rPr>
          <w:rFonts w:cs="Calibri"/>
          <w:color w:val="000000"/>
        </w:rPr>
      </w:pPr>
      <w:r>
        <w:rPr>
          <w:rFonts w:cs="Calibri"/>
          <w:color w:val="000000"/>
        </w:rPr>
        <w:t>***</w:t>
      </w:r>
      <w:proofErr w:type="spellStart"/>
      <w:r>
        <w:rPr>
          <w:rFonts w:cs="Calibri"/>
          <w:color w:val="000000"/>
        </w:rPr>
        <w:t>Study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could</w:t>
      </w:r>
      <w:proofErr w:type="spellEnd"/>
      <w:r>
        <w:rPr>
          <w:rFonts w:cs="Calibri"/>
          <w:color w:val="000000"/>
        </w:rPr>
        <w:t xml:space="preserve"> not be </w:t>
      </w:r>
      <w:proofErr w:type="spellStart"/>
      <w:r>
        <w:rPr>
          <w:rFonts w:cs="Calibri"/>
          <w:color w:val="000000"/>
        </w:rPr>
        <w:t>conducted</w:t>
      </w:r>
      <w:proofErr w:type="spellEnd"/>
      <w:r>
        <w:rPr>
          <w:rFonts w:cs="Calibri"/>
          <w:color w:val="000000"/>
        </w:rPr>
        <w:t xml:space="preserve"> on </w:t>
      </w:r>
      <w:proofErr w:type="spellStart"/>
      <w:r>
        <w:rPr>
          <w:rFonts w:cs="Calibri"/>
          <w:color w:val="000000"/>
        </w:rPr>
        <w:t>the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individuals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mentioned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because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the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grandmother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and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mother's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father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died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early</w:t>
      </w:r>
      <w:proofErr w:type="spellEnd"/>
      <w:r>
        <w:rPr>
          <w:rFonts w:cs="Calibri"/>
          <w:color w:val="000000"/>
        </w:rPr>
        <w:t>.</w:t>
      </w:r>
    </w:p>
    <w:p w:rsidR="000A5E33" w:rsidRDefault="000A5E33" w:rsidP="000A5E33">
      <w:pPr>
        <w:spacing w:after="120"/>
        <w:ind w:right="568" w:firstLine="567"/>
        <w:rPr>
          <w:rFonts w:cs="Calibri"/>
          <w:color w:val="000000"/>
        </w:rPr>
      </w:pPr>
    </w:p>
    <w:p w:rsidR="000A5E33" w:rsidRDefault="000A5E33" w:rsidP="000A5E33">
      <w:pPr>
        <w:spacing w:after="120"/>
        <w:ind w:right="568" w:firstLine="567"/>
        <w:rPr>
          <w:rFonts w:cs="Calibri"/>
          <w:color w:val="000000"/>
        </w:rPr>
      </w:pPr>
    </w:p>
    <w:p w:rsidR="000A5E33" w:rsidRDefault="000A5E33" w:rsidP="000A5E33">
      <w:pPr>
        <w:pStyle w:val="NormalWeb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3307080" cy="1722755"/>
                <wp:effectExtent l="0" t="0" r="26670" b="10795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72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Gaucher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heterozygous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mutation</w:t>
                            </w:r>
                            <w:proofErr w:type="spellEnd"/>
                          </w:p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Dead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Man</w:t>
                            </w:r>
                          </w:p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Dead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Woman</w:t>
                            </w:r>
                            <w:proofErr w:type="spellEnd"/>
                          </w:p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0A5E33" w:rsidRDefault="000A5E33" w:rsidP="000A5E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Consanguineous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marriage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7" o:spid="_x0000_s1027" type="#_x0000_t202" style="position:absolute;left:0;text-align:left;margin-left:209.2pt;margin-top:0;width:260.4pt;height:135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" o:allowoverlap="f">
                <v:textbox>
                  <w:txbxContent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Gaucher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heterozygous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mutation</w:t>
                      </w:r>
                      <w:proofErr w:type="spellEnd"/>
                    </w:p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Dead</w:t>
                      </w:r>
                      <w:proofErr w:type="spellEnd"/>
                      <w:r>
                        <w:rPr>
                          <w:b/>
                        </w:rPr>
                        <w:t xml:space="preserve"> Man</w:t>
                      </w:r>
                    </w:p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Dead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Woman</w:t>
                      </w:r>
                      <w:proofErr w:type="spellEnd"/>
                    </w:p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0A5E33" w:rsidRDefault="000A5E33" w:rsidP="000A5E33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Consanguineous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marriage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inline distT="0" distB="0" distL="0" distR="0">
            <wp:extent cx="9951720" cy="3299460"/>
            <wp:effectExtent l="0" t="0" r="0" b="0"/>
            <wp:docPr id="1" name="Resim 1" descr="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7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33" w:rsidRDefault="000A5E33" w:rsidP="000A5E33">
      <w:pPr>
        <w:spacing w:before="240" w:after="240"/>
        <w:ind w:right="568"/>
        <w:rPr>
          <w:rFonts w:cs="Calibri"/>
        </w:rPr>
      </w:pPr>
    </w:p>
    <w:p w:rsidR="000A5E33" w:rsidRDefault="000A5E33" w:rsidP="000A5E33">
      <w:pPr>
        <w:ind w:right="568"/>
        <w:rPr>
          <w:rFonts w:cs="Calibri"/>
          <w:b/>
        </w:rPr>
      </w:pPr>
      <w:proofErr w:type="spellStart"/>
      <w:r>
        <w:rPr>
          <w:rFonts w:cs="Calibri"/>
          <w:b/>
        </w:rPr>
        <w:t>Figure</w:t>
      </w:r>
      <w:proofErr w:type="spellEnd"/>
      <w:r>
        <w:rPr>
          <w:rFonts w:cs="Calibri"/>
          <w:b/>
        </w:rPr>
        <w:t xml:space="preserve"> S2. </w:t>
      </w:r>
      <w:proofErr w:type="spellStart"/>
      <w:r>
        <w:rPr>
          <w:rFonts w:cs="Calibri"/>
          <w:b/>
        </w:rPr>
        <w:t>Pedigree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tree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for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patient</w:t>
      </w:r>
      <w:proofErr w:type="spellEnd"/>
      <w:r>
        <w:rPr>
          <w:rFonts w:cs="Calibri"/>
          <w:b/>
        </w:rPr>
        <w:t xml:space="preserve"> B </w:t>
      </w:r>
      <w:proofErr w:type="spellStart"/>
      <w:r>
        <w:rPr>
          <w:rFonts w:cs="Calibri"/>
          <w:b/>
        </w:rPr>
        <w:t>with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mutation</w:t>
      </w:r>
      <w:proofErr w:type="spellEnd"/>
    </w:p>
    <w:p w:rsidR="000A5E33" w:rsidRDefault="000A5E33" w:rsidP="000A5E33">
      <w:pPr>
        <w:ind w:right="568"/>
        <w:rPr>
          <w:rFonts w:cs="Calibri"/>
          <w:b/>
        </w:rPr>
      </w:pPr>
    </w:p>
    <w:p w:rsidR="000A5E33" w:rsidRDefault="000A5E33" w:rsidP="000A5E33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Table</w:t>
      </w:r>
      <w:proofErr w:type="spellEnd"/>
      <w:r>
        <w:rPr>
          <w:rFonts w:ascii="Times New Roman" w:hAnsi="Times New Roman" w:cs="Times New Roman"/>
          <w:b/>
        </w:rPr>
        <w:t xml:space="preserve"> S4: </w:t>
      </w:r>
      <w:proofErr w:type="spellStart"/>
      <w:r>
        <w:rPr>
          <w:rFonts w:ascii="Times New Roman" w:hAnsi="Times New Roman" w:cs="Times New Roman"/>
          <w:b/>
        </w:rPr>
        <w:t>Comparison</w:t>
      </w:r>
      <w:proofErr w:type="spellEnd"/>
      <w:r>
        <w:rPr>
          <w:rFonts w:ascii="Times New Roman" w:hAnsi="Times New Roman" w:cs="Times New Roman"/>
          <w:b/>
        </w:rPr>
        <w:t xml:space="preserve"> of </w:t>
      </w:r>
      <w:proofErr w:type="spellStart"/>
      <w:r>
        <w:rPr>
          <w:rFonts w:ascii="Times New Roman" w:hAnsi="Times New Roman" w:cs="Times New Roman"/>
          <w:b/>
        </w:rPr>
        <w:t>newborn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Gaucher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screening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Hungary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vs</w:t>
      </w:r>
      <w:proofErr w:type="spellEnd"/>
      <w:r>
        <w:rPr>
          <w:rFonts w:ascii="Times New Roman" w:hAnsi="Times New Roman" w:cs="Times New Roman"/>
          <w:b/>
        </w:rPr>
        <w:t xml:space="preserve"> OMUFM</w:t>
      </w:r>
    </w:p>
    <w:p w:rsidR="000A5E33" w:rsidRDefault="000A5E33" w:rsidP="000A5E33">
      <w:pPr>
        <w:ind w:right="568"/>
        <w:rPr>
          <w:rFonts w:cs="Calibri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184"/>
        <w:gridCol w:w="3074"/>
        <w:gridCol w:w="3804"/>
      </w:tblGrid>
      <w:tr w:rsidR="000A5E33" w:rsidTr="000A5E33">
        <w:trPr>
          <w:tblHeader/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E33" w:rsidRDefault="000A5E33">
            <w:pPr>
              <w:spacing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E33" w:rsidRDefault="000A5E33">
            <w:pPr>
              <w:spacing w:line="240" w:lineRule="auto"/>
              <w:rPr>
                <w:rFonts w:cs="Calibri"/>
                <w:b/>
                <w:bCs/>
              </w:rPr>
            </w:pPr>
          </w:p>
        </w:tc>
      </w:tr>
      <w:tr w:rsidR="000A5E33" w:rsidTr="000A5E33">
        <w:trPr>
          <w:tblHeader/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rPr>
                <w:rFonts w:cs="Calibri"/>
                <w:b/>
                <w:bCs/>
              </w:rPr>
            </w:pPr>
          </w:p>
        </w:tc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Hungary</w:t>
            </w:r>
            <w:proofErr w:type="spellEnd"/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OMUFM</w:t>
            </w:r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screened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40,021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107</w:t>
            </w:r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GBA </w:t>
            </w:r>
            <w:proofErr w:type="spellStart"/>
            <w:r>
              <w:rPr>
                <w:rFonts w:cs="Calibri"/>
              </w:rPr>
              <w:t>activity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cutoff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3.5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&lt;5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below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cutoff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Enzyme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activity</w:t>
            </w:r>
            <w:proofErr w:type="spellEnd"/>
            <w:r>
              <w:rPr>
                <w:rFonts w:cs="Calibri"/>
              </w:rPr>
              <w:t xml:space="preserve"> in </w:t>
            </w:r>
            <w:proofErr w:type="spellStart"/>
            <w:r>
              <w:rPr>
                <w:rFonts w:cs="Calibri"/>
              </w:rPr>
              <w:t>below-cutoff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group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3.26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Mean</w:t>
            </w:r>
            <w:proofErr w:type="spellEnd"/>
            <w:r>
              <w:rPr>
                <w:rFonts w:cs="Calibri"/>
              </w:rPr>
              <w:t xml:space="preserve"> 3.83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with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genetic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testing</w:t>
            </w:r>
            <w:proofErr w:type="spellEnd"/>
          </w:p>
        </w:tc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with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confirmed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diagnosis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genetics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with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detected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mutations</w:t>
            </w:r>
            <w:proofErr w:type="spellEnd"/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10 (total </w:t>
            </w:r>
            <w:proofErr w:type="spellStart"/>
            <w:r>
              <w:rPr>
                <w:rFonts w:cs="Calibri"/>
              </w:rPr>
              <w:t>mutations</w:t>
            </w:r>
            <w:proofErr w:type="spellEnd"/>
            <w:r>
              <w:rPr>
                <w:rFonts w:cs="Calibri"/>
              </w:rPr>
              <w:t xml:space="preserve">); 2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  <w:r>
              <w:rPr>
                <w:rFonts w:cs="Calibri"/>
              </w:rPr>
              <w:t xml:space="preserve">; 5 </w:t>
            </w:r>
            <w:proofErr w:type="spellStart"/>
            <w:r>
              <w:rPr>
                <w:rFonts w:cs="Calibri"/>
              </w:rPr>
              <w:t>carriers</w:t>
            </w:r>
            <w:proofErr w:type="spellEnd"/>
            <w:r>
              <w:rPr>
                <w:rFonts w:cs="Calibri"/>
              </w:rPr>
              <w:t xml:space="preserve">; 3 </w:t>
            </w:r>
            <w:proofErr w:type="spellStart"/>
            <w:r>
              <w:rPr>
                <w:rFonts w:cs="Calibri"/>
              </w:rPr>
              <w:t>diagnostic</w:t>
            </w:r>
            <w:proofErr w:type="spellEnd"/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proofErr w:type="spellStart"/>
            <w:r>
              <w:rPr>
                <w:rFonts w:cs="Calibri"/>
              </w:rPr>
              <w:t>Gaucher</w:t>
            </w:r>
            <w:proofErr w:type="spellEnd"/>
            <w:r>
              <w:rPr>
                <w:rFonts w:cs="Calibri"/>
              </w:rPr>
              <w:t xml:space="preserve"> / 2 </w:t>
            </w:r>
            <w:proofErr w:type="spellStart"/>
            <w:r>
              <w:rPr>
                <w:rFonts w:cs="Calibri"/>
              </w:rPr>
              <w:t>Niemann-Pick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Detected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mutations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confirmed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Gaucher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cases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</w:t>
            </w:r>
            <w:proofErr w:type="gramEnd"/>
            <w:r>
              <w:rPr>
                <w:rFonts w:cs="Calibri"/>
              </w:rPr>
              <w:t>.1448T&gt;C (p.L483P) c.1483G&gt;C (p.A495P)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</w:t>
            </w:r>
            <w:proofErr w:type="gramEnd"/>
            <w:r>
              <w:rPr>
                <w:rFonts w:cs="Calibri"/>
              </w:rPr>
              <w:t xml:space="preserve">.1448T&gt;C (rs421016) (p.L483P)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of </w:t>
            </w:r>
            <w:proofErr w:type="spellStart"/>
            <w:r>
              <w:rPr>
                <w:rFonts w:cs="Calibri"/>
              </w:rPr>
              <w:t>carriers</w:t>
            </w:r>
            <w:proofErr w:type="spellEnd"/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Total 7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Carrier-</w:t>
            </w:r>
            <w:proofErr w:type="spellStart"/>
            <w:r>
              <w:rPr>
                <w:rFonts w:cs="Calibri"/>
              </w:rPr>
              <w:t>associated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mutations</w:t>
            </w:r>
            <w:proofErr w:type="spellEnd"/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</w:t>
            </w:r>
            <w:proofErr w:type="gramEnd"/>
            <w:r>
              <w:rPr>
                <w:rFonts w:cs="Calibri"/>
              </w:rPr>
              <w:t>.1223C&gt;T (p.T408M) c.1226A&gt;G (p.N409S) c.475C&gt;T (p.R159W)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*c.374C&gt;A (p.T125K)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  <w:r>
              <w:rPr>
                <w:rFonts w:cs="Calibri"/>
              </w:rPr>
              <w:t xml:space="preserve">; c.1223C&gt;T (rs75548401) (p.T408M)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Reported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incidence</w:t>
            </w:r>
            <w:proofErr w:type="spellEnd"/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1/13,341</w:t>
            </w:r>
            <w:proofErr w:type="gramEnd"/>
            <w:r>
              <w:rPr>
                <w:rFonts w:cs="Calibri"/>
              </w:rPr>
              <w:t>*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3/107*</w:t>
            </w:r>
          </w:p>
        </w:tc>
      </w:tr>
    </w:tbl>
    <w:p w:rsidR="000A5E33" w:rsidRDefault="000A5E33" w:rsidP="000A5E33">
      <w:pPr>
        <w:ind w:right="568"/>
        <w:rPr>
          <w:rFonts w:cs="Calibri"/>
        </w:rPr>
      </w:pPr>
    </w:p>
    <w:p w:rsidR="000A5E33" w:rsidRDefault="000A5E33" w:rsidP="000A5E33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Table</w:t>
      </w:r>
      <w:proofErr w:type="spellEnd"/>
      <w:r>
        <w:rPr>
          <w:rFonts w:ascii="Times New Roman" w:hAnsi="Times New Roman" w:cs="Times New Roman"/>
          <w:b/>
        </w:rPr>
        <w:t xml:space="preserve"> S5: </w:t>
      </w:r>
      <w:proofErr w:type="spellStart"/>
      <w:r>
        <w:rPr>
          <w:rFonts w:ascii="Times New Roman" w:hAnsi="Times New Roman" w:cs="Times New Roman"/>
          <w:b/>
        </w:rPr>
        <w:t>Comparison</w:t>
      </w:r>
      <w:proofErr w:type="spellEnd"/>
      <w:r>
        <w:rPr>
          <w:rFonts w:ascii="Times New Roman" w:hAnsi="Times New Roman" w:cs="Times New Roman"/>
          <w:b/>
        </w:rPr>
        <w:t xml:space="preserve"> of </w:t>
      </w:r>
      <w:proofErr w:type="spellStart"/>
      <w:r>
        <w:rPr>
          <w:rFonts w:ascii="Times New Roman" w:hAnsi="Times New Roman" w:cs="Times New Roman"/>
          <w:b/>
        </w:rPr>
        <w:t>newborn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Gaucher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screening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China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vs</w:t>
      </w:r>
      <w:proofErr w:type="spellEnd"/>
      <w:r>
        <w:rPr>
          <w:rFonts w:ascii="Times New Roman" w:hAnsi="Times New Roman" w:cs="Times New Roman"/>
          <w:b/>
        </w:rPr>
        <w:t xml:space="preserve"> OMUFM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797"/>
        <w:gridCol w:w="1921"/>
        <w:gridCol w:w="5344"/>
      </w:tblGrid>
      <w:tr w:rsidR="000A5E33" w:rsidTr="000A5E33">
        <w:trPr>
          <w:tblHeader/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CHINA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OMUFM</w:t>
            </w:r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screened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80,844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107</w:t>
            </w:r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GBA </w:t>
            </w:r>
            <w:proofErr w:type="spellStart"/>
            <w:r>
              <w:rPr>
                <w:rFonts w:cs="Calibri"/>
              </w:rPr>
              <w:t>activity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cutoff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30.07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&lt;5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below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cutoff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Enzyme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activity</w:t>
            </w:r>
            <w:proofErr w:type="spellEnd"/>
            <w:r>
              <w:rPr>
                <w:rFonts w:cs="Calibri"/>
              </w:rPr>
              <w:t xml:space="preserve"> in </w:t>
            </w:r>
            <w:proofErr w:type="spellStart"/>
            <w:r>
              <w:rPr>
                <w:rFonts w:cs="Calibri"/>
              </w:rPr>
              <w:t>below-cutoff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group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2.64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Mean</w:t>
            </w:r>
            <w:proofErr w:type="spellEnd"/>
            <w:r>
              <w:rPr>
                <w:rFonts w:cs="Calibri"/>
              </w:rPr>
              <w:t xml:space="preserve"> 3.83 </w:t>
            </w:r>
            <w:proofErr w:type="spellStart"/>
            <w:r>
              <w:rPr>
                <w:rFonts w:cs="Calibri"/>
              </w:rPr>
              <w:t>μmol</w:t>
            </w:r>
            <w:proofErr w:type="spellEnd"/>
            <w:r>
              <w:rPr>
                <w:rFonts w:cs="Calibri"/>
              </w:rPr>
              <w:t>/L/</w:t>
            </w:r>
            <w:proofErr w:type="spellStart"/>
            <w:r>
              <w:rPr>
                <w:rFonts w:cs="Calibri"/>
              </w:rPr>
              <w:t>hour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with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genetic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testing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Number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with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detected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mutations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proofErr w:type="spellStart"/>
            <w:r>
              <w:rPr>
                <w:rFonts w:cs="Calibri"/>
              </w:rPr>
              <w:t>Gaucher</w:t>
            </w:r>
            <w:proofErr w:type="spellEnd"/>
            <w:r>
              <w:rPr>
                <w:rFonts w:cs="Calibri"/>
              </w:rPr>
              <w:t xml:space="preserve"> / 2 </w:t>
            </w:r>
            <w:proofErr w:type="spellStart"/>
            <w:r>
              <w:rPr>
                <w:rFonts w:cs="Calibri"/>
              </w:rPr>
              <w:t>Niemann-Pick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Detected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mutations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</w:t>
            </w:r>
            <w:proofErr w:type="gramEnd"/>
            <w:r>
              <w:rPr>
                <w:rFonts w:cs="Calibri"/>
              </w:rPr>
              <w:t>.1448T&gt;C (L483P) c.907C&gt;A (L303I)</w:t>
            </w:r>
          </w:p>
        </w:tc>
        <w:tc>
          <w:tcPr>
            <w:tcW w:w="292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*c.374C&gt;A (p.T125K)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  <w:r>
              <w:rPr>
                <w:rFonts w:cs="Calibri"/>
              </w:rPr>
              <w:t xml:space="preserve">; c.1448T&gt;C (rs421016) (p.L483P)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  <w:r>
              <w:rPr>
                <w:rFonts w:cs="Calibri"/>
              </w:rPr>
              <w:t xml:space="preserve">; c.1223C&gt;T (rs75548401) (p.T408M) </w:t>
            </w:r>
            <w:proofErr w:type="spellStart"/>
            <w:r>
              <w:rPr>
                <w:rFonts w:cs="Calibri"/>
              </w:rPr>
              <w:t>heterozygous</w:t>
            </w:r>
            <w:proofErr w:type="spellEnd"/>
          </w:p>
        </w:tc>
      </w:tr>
      <w:tr w:rsidR="000A5E33" w:rsidTr="000A5E33">
        <w:trPr>
          <w:tblCellSpacing w:w="15" w:type="dxa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Reported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incidence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1/80,855</w:t>
            </w:r>
            <w:proofErr w:type="gramEnd"/>
          </w:p>
        </w:tc>
        <w:tc>
          <w:tcPr>
            <w:tcW w:w="2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E33" w:rsidRDefault="000A5E33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3/107</w:t>
            </w:r>
          </w:p>
        </w:tc>
      </w:tr>
    </w:tbl>
    <w:p w:rsidR="000A5E33" w:rsidRDefault="000A5E33" w:rsidP="000A5E33">
      <w:pPr>
        <w:rPr>
          <w:rFonts w:cs="Calibri"/>
        </w:rPr>
      </w:pPr>
      <w:r>
        <w:rPr>
          <w:rFonts w:cs="Calibri"/>
        </w:rPr>
        <w:t>*</w:t>
      </w:r>
      <w:proofErr w:type="spellStart"/>
      <w:r>
        <w:rPr>
          <w:rFonts w:cs="Calibri"/>
        </w:rPr>
        <w:t>Mutations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recorded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Gaucher</w:t>
      </w:r>
      <w:proofErr w:type="spellEnd"/>
      <w:r>
        <w:rPr>
          <w:rFonts w:cs="Calibri"/>
        </w:rPr>
        <w:t>.</w:t>
      </w:r>
    </w:p>
    <w:p w:rsidR="000A5E33" w:rsidRDefault="000A5E33" w:rsidP="000A5E33">
      <w:pPr>
        <w:rPr>
          <w:rFonts w:cs="Calibri"/>
        </w:rPr>
      </w:pPr>
    </w:p>
    <w:p w:rsidR="000A5E33" w:rsidRDefault="000A5E33" w:rsidP="000A5E33">
      <w:pPr>
        <w:rPr>
          <w:rFonts w:cs="Calibri"/>
        </w:rPr>
      </w:pPr>
    </w:p>
    <w:p w:rsidR="00FE496C" w:rsidRDefault="00FE496C">
      <w:bookmarkStart w:id="1" w:name="_GoBack"/>
      <w:bookmarkEnd w:id="1"/>
    </w:p>
    <w:sectPr w:rsidR="00FE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07"/>
    <w:rsid w:val="000A5E33"/>
    <w:rsid w:val="004A3D07"/>
    <w:rsid w:val="00D670B2"/>
    <w:rsid w:val="00E353A4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277F81F-A59C-429C-B5E0-DBE2FA06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E33"/>
    <w:pPr>
      <w:spacing w:after="0" w:line="360" w:lineRule="auto"/>
      <w:jc w:val="both"/>
    </w:pPr>
    <w:rPr>
      <w:rFonts w:ascii="Calibri" w:hAnsi="Calibri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E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A5E33"/>
    <w:pPr>
      <w:spacing w:after="200" w:line="240" w:lineRule="auto"/>
      <w:jc w:val="left"/>
    </w:pPr>
    <w:rPr>
      <w:rFonts w:eastAsia="Calibri" w:cs="Times New Roman"/>
      <w:i/>
      <w:iCs/>
      <w:color w:val="1F497D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</dc:creator>
  <cp:keywords/>
  <dc:description/>
  <cp:lastModifiedBy>Tural</cp:lastModifiedBy>
  <cp:revision>2</cp:revision>
  <dcterms:created xsi:type="dcterms:W3CDTF">2026-02-26T18:04:00Z</dcterms:created>
  <dcterms:modified xsi:type="dcterms:W3CDTF">2026-02-26T18:05:00Z</dcterms:modified>
</cp:coreProperties>
</file>