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E9E5BB" w14:textId="039CCB90" w:rsidR="00D6617A" w:rsidRDefault="00D6617A" w:rsidP="00D6617A">
      <w:pPr>
        <w:pStyle w:val="Heading1"/>
      </w:pPr>
      <w:r>
        <w:t>A</w:t>
      </w:r>
      <w:r w:rsidR="00034410">
        <w:t>pp</w:t>
      </w:r>
      <w:r>
        <w:t>e</w:t>
      </w:r>
      <w:r w:rsidR="00034410">
        <w:t>ndi</w:t>
      </w:r>
      <w:r>
        <w:t>x RRE paper</w:t>
      </w:r>
    </w:p>
    <w:p w14:paraId="27172876" w14:textId="0647B326" w:rsidR="00AD29A7" w:rsidRPr="00AD29A7" w:rsidRDefault="00B17EDF" w:rsidP="00AD29A7">
      <w:pPr>
        <w:pStyle w:val="Heading2"/>
        <w:rPr>
          <w:sz w:val="24"/>
          <w:szCs w:val="24"/>
        </w:rPr>
      </w:pPr>
      <w:r>
        <w:rPr>
          <w:sz w:val="24"/>
          <w:szCs w:val="24"/>
        </w:rPr>
        <w:t>A</w:t>
      </w:r>
      <w:r w:rsidR="00237A40">
        <w:rPr>
          <w:sz w:val="24"/>
          <w:szCs w:val="24"/>
        </w:rPr>
        <w:t>ppendix</w:t>
      </w:r>
      <w:r w:rsidR="007B35B3" w:rsidRPr="00D6617A">
        <w:rPr>
          <w:sz w:val="24"/>
          <w:szCs w:val="24"/>
        </w:rPr>
        <w:t xml:space="preserve"> </w:t>
      </w:r>
      <w:r w:rsidR="007B35B3">
        <w:rPr>
          <w:sz w:val="24"/>
          <w:szCs w:val="24"/>
        </w:rPr>
        <w:t>1</w:t>
      </w:r>
      <w:r w:rsidR="007B35B3" w:rsidRPr="00D6617A">
        <w:rPr>
          <w:sz w:val="24"/>
          <w:szCs w:val="24"/>
        </w:rPr>
        <w:t xml:space="preserve">. </w:t>
      </w:r>
      <w:r w:rsidR="007B35B3">
        <w:rPr>
          <w:sz w:val="24"/>
          <w:szCs w:val="24"/>
        </w:rPr>
        <w:t>List of included publications</w:t>
      </w:r>
      <w:r w:rsidR="00C97970">
        <w:rPr>
          <w:sz w:val="24"/>
          <w:szCs w:val="24"/>
        </w:rPr>
        <w:t xml:space="preserve"> and descriptive data</w:t>
      </w:r>
    </w:p>
    <w:p w14:paraId="4DAF1362" w14:textId="19E5FC92" w:rsidR="00B834B5" w:rsidRDefault="00AD29A7" w:rsidP="00B834B5">
      <w:r w:rsidRPr="00AD29A7">
        <w:rPr>
          <w:noProof/>
        </w:rPr>
        <w:drawing>
          <wp:inline distT="0" distB="0" distL="0" distR="0" wp14:anchorId="6A326F8A" wp14:editId="14B4AEFE">
            <wp:extent cx="5398618" cy="7727296"/>
            <wp:effectExtent l="0" t="0" r="0" b="7620"/>
            <wp:docPr id="10337594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b="41979"/>
                    <a:stretch>
                      <a:fillRect/>
                    </a:stretch>
                  </pic:blipFill>
                  <pic:spPr bwMode="auto">
                    <a:xfrm>
                      <a:off x="0" y="0"/>
                      <a:ext cx="5404770" cy="7736101"/>
                    </a:xfrm>
                    <a:prstGeom prst="rect">
                      <a:avLst/>
                    </a:prstGeom>
                    <a:noFill/>
                    <a:ln>
                      <a:noFill/>
                    </a:ln>
                    <a:extLst>
                      <a:ext uri="{53640926-AAD7-44D8-BBD7-CCE9431645EC}">
                        <a14:shadowObscured xmlns:a14="http://schemas.microsoft.com/office/drawing/2010/main"/>
                      </a:ext>
                    </a:extLst>
                  </pic:spPr>
                </pic:pic>
              </a:graphicData>
            </a:graphic>
          </wp:inline>
        </w:drawing>
      </w:r>
    </w:p>
    <w:p w14:paraId="6B3C36EE" w14:textId="77777777" w:rsidR="00AD29A7" w:rsidRDefault="00AD29A7" w:rsidP="00B834B5"/>
    <w:p w14:paraId="6BE522C3" w14:textId="4D3AFE57" w:rsidR="00AD29A7" w:rsidRPr="00B834B5" w:rsidRDefault="00AD29A7" w:rsidP="00B834B5">
      <w:r w:rsidRPr="00AD29A7">
        <w:rPr>
          <w:noProof/>
        </w:rPr>
        <w:drawing>
          <wp:inline distT="0" distB="0" distL="0" distR="0" wp14:anchorId="7D4CF9C5" wp14:editId="3120E37B">
            <wp:extent cx="5325466" cy="5460852"/>
            <wp:effectExtent l="0" t="0" r="8890" b="6985"/>
            <wp:docPr id="16900273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extLst>
                        <a:ext uri="{28A0092B-C50C-407E-A947-70E740481C1C}">
                          <a14:useLocalDpi xmlns:a14="http://schemas.microsoft.com/office/drawing/2010/main" val="0"/>
                        </a:ext>
                      </a:extLst>
                    </a:blip>
                    <a:srcRect t="58433"/>
                    <a:stretch>
                      <a:fillRect/>
                    </a:stretch>
                  </pic:blipFill>
                  <pic:spPr bwMode="auto">
                    <a:xfrm>
                      <a:off x="0" y="0"/>
                      <a:ext cx="5334080" cy="5469685"/>
                    </a:xfrm>
                    <a:prstGeom prst="rect">
                      <a:avLst/>
                    </a:prstGeom>
                    <a:noFill/>
                    <a:ln>
                      <a:noFill/>
                    </a:ln>
                    <a:extLst>
                      <a:ext uri="{53640926-AAD7-44D8-BBD7-CCE9431645EC}">
                        <a14:shadowObscured xmlns:a14="http://schemas.microsoft.com/office/drawing/2010/main"/>
                      </a:ext>
                    </a:extLst>
                  </pic:spPr>
                </pic:pic>
              </a:graphicData>
            </a:graphic>
          </wp:inline>
        </w:drawing>
      </w:r>
    </w:p>
    <w:p w14:paraId="74275DC4" w14:textId="25453106" w:rsidR="00D6617A" w:rsidRDefault="00D6617A" w:rsidP="00D6617A">
      <w:pPr>
        <w:tabs>
          <w:tab w:val="left" w:pos="5810"/>
        </w:tabs>
      </w:pPr>
      <w:r>
        <w:tab/>
      </w:r>
    </w:p>
    <w:p w14:paraId="4FC3CFC5" w14:textId="2B191E70" w:rsidR="00237A40" w:rsidRPr="00F05936" w:rsidRDefault="00900919" w:rsidP="00F05936">
      <w:pPr>
        <w:pStyle w:val="Heading2"/>
        <w:rPr>
          <w:sz w:val="24"/>
          <w:szCs w:val="24"/>
        </w:rPr>
      </w:pPr>
      <w:r>
        <w:rPr>
          <w:sz w:val="24"/>
          <w:szCs w:val="24"/>
        </w:rPr>
        <w:lastRenderedPageBreak/>
        <w:t>A</w:t>
      </w:r>
      <w:r w:rsidR="00237A40">
        <w:rPr>
          <w:sz w:val="24"/>
          <w:szCs w:val="24"/>
        </w:rPr>
        <w:t>ppendi</w:t>
      </w:r>
      <w:r>
        <w:rPr>
          <w:sz w:val="24"/>
          <w:szCs w:val="24"/>
        </w:rPr>
        <w:t xml:space="preserve">x </w:t>
      </w:r>
      <w:r w:rsidR="00643717">
        <w:rPr>
          <w:sz w:val="24"/>
          <w:szCs w:val="24"/>
        </w:rPr>
        <w:t>2</w:t>
      </w:r>
      <w:r w:rsidRPr="00D6617A">
        <w:rPr>
          <w:sz w:val="24"/>
          <w:szCs w:val="24"/>
        </w:rPr>
        <w:t xml:space="preserve">. </w:t>
      </w:r>
      <w:r>
        <w:rPr>
          <w:sz w:val="24"/>
          <w:szCs w:val="24"/>
        </w:rPr>
        <w:t>Map of the</w:t>
      </w:r>
      <w:r w:rsidR="00112D35">
        <w:rPr>
          <w:sz w:val="24"/>
          <w:szCs w:val="24"/>
        </w:rPr>
        <w:t xml:space="preserve"> different purposes and types of human augmentation in our typology</w:t>
      </w:r>
    </w:p>
    <w:p w14:paraId="3218626F" w14:textId="66651AD8" w:rsidR="00112D35" w:rsidRDefault="00112D35" w:rsidP="00112D35">
      <w:r>
        <w:rPr>
          <w:noProof/>
        </w:rPr>
        <w:drawing>
          <wp:inline distT="0" distB="0" distL="0" distR="0" wp14:anchorId="1C05CF67" wp14:editId="673B3B76">
            <wp:extent cx="5731510" cy="3899002"/>
            <wp:effectExtent l="0" t="0" r="2540" b="6350"/>
            <wp:docPr id="1664168044" name="Picture 5"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168044" name="Picture 5" descr="A diagram of a diagram&#10;&#10;AI-generated content may be incorrect."/>
                    <pic:cNvPicPr/>
                  </pic:nvPicPr>
                  <pic:blipFill rotWithShape="1">
                    <a:blip r:embed="rId6">
                      <a:extLst>
                        <a:ext uri="{28A0092B-C50C-407E-A947-70E740481C1C}">
                          <a14:useLocalDpi xmlns:a14="http://schemas.microsoft.com/office/drawing/2010/main" val="0"/>
                        </a:ext>
                      </a:extLst>
                    </a:blip>
                    <a:srcRect b="19325"/>
                    <a:stretch>
                      <a:fillRect/>
                    </a:stretch>
                  </pic:blipFill>
                  <pic:spPr bwMode="auto">
                    <a:xfrm>
                      <a:off x="0" y="0"/>
                      <a:ext cx="5731510" cy="3899002"/>
                    </a:xfrm>
                    <a:prstGeom prst="rect">
                      <a:avLst/>
                    </a:prstGeom>
                    <a:ln>
                      <a:noFill/>
                    </a:ln>
                    <a:extLst>
                      <a:ext uri="{53640926-AAD7-44D8-BBD7-CCE9431645EC}">
                        <a14:shadowObscured xmlns:a14="http://schemas.microsoft.com/office/drawing/2010/main"/>
                      </a:ext>
                    </a:extLst>
                  </pic:spPr>
                </pic:pic>
              </a:graphicData>
            </a:graphic>
          </wp:inline>
        </w:drawing>
      </w:r>
    </w:p>
    <w:p w14:paraId="65A28B9E" w14:textId="77777777" w:rsidR="00F05936" w:rsidRDefault="00F05936" w:rsidP="00112D35"/>
    <w:p w14:paraId="253F22A2" w14:textId="1F041113" w:rsidR="00C45E02" w:rsidRPr="00C45E02" w:rsidRDefault="00957523" w:rsidP="00C45E02">
      <w:pPr>
        <w:pStyle w:val="Heading2"/>
        <w:rPr>
          <w:sz w:val="24"/>
          <w:szCs w:val="24"/>
        </w:rPr>
      </w:pPr>
      <w:r>
        <w:rPr>
          <w:sz w:val="24"/>
          <w:szCs w:val="24"/>
        </w:rPr>
        <w:t>A</w:t>
      </w:r>
      <w:r w:rsidR="00237A40">
        <w:rPr>
          <w:sz w:val="24"/>
          <w:szCs w:val="24"/>
        </w:rPr>
        <w:t>ppendi</w:t>
      </w:r>
      <w:r>
        <w:rPr>
          <w:sz w:val="24"/>
          <w:szCs w:val="24"/>
        </w:rPr>
        <w:t xml:space="preserve">x </w:t>
      </w:r>
      <w:r w:rsidR="00643717">
        <w:rPr>
          <w:sz w:val="24"/>
          <w:szCs w:val="24"/>
        </w:rPr>
        <w:t>3</w:t>
      </w:r>
      <w:r w:rsidRPr="00D6617A">
        <w:rPr>
          <w:sz w:val="24"/>
          <w:szCs w:val="24"/>
        </w:rPr>
        <w:t xml:space="preserve">. </w:t>
      </w:r>
      <w:r w:rsidR="007A07F9">
        <w:rPr>
          <w:sz w:val="24"/>
          <w:szCs w:val="24"/>
        </w:rPr>
        <w:t>Gloss</w:t>
      </w:r>
      <w:r w:rsidR="00D67C91">
        <w:rPr>
          <w:sz w:val="24"/>
          <w:szCs w:val="24"/>
        </w:rPr>
        <w:t>a</w:t>
      </w:r>
      <w:r w:rsidR="007A07F9">
        <w:rPr>
          <w:sz w:val="24"/>
          <w:szCs w:val="24"/>
        </w:rPr>
        <w:t>ry</w:t>
      </w:r>
      <w:r>
        <w:rPr>
          <w:sz w:val="24"/>
          <w:szCs w:val="24"/>
        </w:rPr>
        <w:t xml:space="preserve"> of the different types of human augmentation in our typology</w:t>
      </w:r>
      <w:r w:rsidR="005E22E1">
        <w:rPr>
          <w:sz w:val="24"/>
          <w:szCs w:val="24"/>
        </w:rPr>
        <w:t xml:space="preserve">, with </w:t>
      </w:r>
      <w:r w:rsidR="009324AD">
        <w:rPr>
          <w:sz w:val="24"/>
          <w:szCs w:val="24"/>
        </w:rPr>
        <w:t xml:space="preserve">the main authors </w:t>
      </w:r>
      <w:r w:rsidR="00E0093D">
        <w:rPr>
          <w:sz w:val="24"/>
          <w:szCs w:val="24"/>
        </w:rPr>
        <w:t xml:space="preserve">we identified </w:t>
      </w:r>
      <w:r w:rsidR="009324AD">
        <w:rPr>
          <w:sz w:val="24"/>
          <w:szCs w:val="24"/>
        </w:rPr>
        <w:t xml:space="preserve">who </w:t>
      </w:r>
      <w:r w:rsidR="00E0093D">
        <w:rPr>
          <w:sz w:val="24"/>
          <w:szCs w:val="24"/>
        </w:rPr>
        <w:t xml:space="preserve">conceptualize </w:t>
      </w:r>
      <w:r w:rsidR="005E22E1">
        <w:rPr>
          <w:sz w:val="24"/>
          <w:szCs w:val="24"/>
        </w:rPr>
        <w:t>each</w:t>
      </w:r>
      <w:r w:rsidR="00E0093D">
        <w:rPr>
          <w:sz w:val="24"/>
          <w:szCs w:val="24"/>
        </w:rPr>
        <w:t xml:space="preserve"> type </w:t>
      </w:r>
    </w:p>
    <w:p w14:paraId="7FA022B9" w14:textId="3839ABFC" w:rsidR="00C45E02" w:rsidRDefault="00C45E02" w:rsidP="00C45E02">
      <w:pPr>
        <w:pStyle w:val="ListParagraph"/>
        <w:numPr>
          <w:ilvl w:val="0"/>
          <w:numId w:val="1"/>
        </w:numPr>
      </w:pPr>
      <w:r>
        <w:rPr>
          <w:b/>
          <w:bCs/>
        </w:rPr>
        <w:t xml:space="preserve">Augmented collaborator </w:t>
      </w:r>
      <w:r w:rsidRPr="000173A3">
        <w:rPr>
          <w:i/>
          <w:iCs/>
        </w:rPr>
        <w:t>(Humphries et al., 2023)</w:t>
      </w:r>
      <w:r>
        <w:t xml:space="preserve">: in this type of human augmentation, human and technology are both considered agents who collaborate on a task with a shared goal, to optimize and improve the person’s performance. The collaboration can occur locally or remotely. It implies a certain level of communication between agents </w:t>
      </w:r>
      <w:r>
        <w:fldChar w:fldCharType="begin"/>
      </w:r>
      <w:r>
        <w:instrText xml:space="preserve"> ADDIN ZOTERO_ITEM CSL_CITATION {"citationID":"s0iyD1Km","properties":{"formattedCitation":"(Humphries et al., 2023)","plainCitation":"(Humphries et al., 2023)","noteIndex":0},"citationItems":[{"id":1328,"uris":["http://zotero.org/users/15245718/items/EH4UZAF7"],"itemData":{"id":1328,"type":"paper-conference","abstract":"There is a lack of clarity about how to augment the human in manufacturing. For practitioners, this creates challenges in understanding which technologies to invest in for specific automation goals, and where the value-add exists. A narrative review of the literature is conducted through which the relationship between augmentation and automation is clarified. Definitions for Augmentation, and the Augmented Human, and a new Taxonomy of Human Augmentation are proposed. Five classes of augmentation are identified: Physical, Collaborative Physical, Sensory, Embedded Intelligence, and Collaborative Social Intelligence. How the Taxonomy is applied to each goal of automation is illustrated. Finally the value-add of the classes is explored through industrial use cases, and the potential impact on manufacturing key performance indicators is summarised. This novel Taxonomy of Human Augmentation unifies the existing research, and provides a common description of each class of augmentation, which can assist practitioners in seeking and exploring augmentation solutions.","container-title":"COMPUTER-HUMAN INTERACTION RESEARCH AND APPLICATIONS, CHIRA 2023, PT I","DOI":"10.1007/978-3-031-49425-3_20","event-place":"Cham","event-title":"7th International Conference on Computer-Human Interaction Research and Applications-CHIRA-Annual","ISBN":"978-3-031-49424-6","language":"English","note":"ISSN: 1865-0929, 1865-0937\nnumber-of-pages: 18\ncollection-title: Communications in Computer and Information Science\nWeb of Science ID: WOS:001479895100020","page":"318-335","publisher":"Springer International Publishing Ag","publisher-place":"Cham","source":"Clarivate Analytics Web of Science","title":"Augmenting the Human in Industry 4.0 to Add Value: A Taxonomy of Human Augmentation Approach","title-short":"Augmenting the Human in Industry 4.0 to Add Value","URL":"https://link.springer.com/chapter/10.1007/978-3-031-49425-3_20","volume":"1996","author":[{"family":"Humphries","given":"Jacqueline"},{"family":"Ven","given":"Pepijn Van","non-dropping-particle":"de"},{"family":"Ryan","given":"Alan"}],"editor":[{"family":"DaSilva","given":"H. P."},{"family":"Cipresso","given":"P."}],"accessed":{"date-parts":[["2025",6,18]]},"issued":{"date-parts":[["2023"]]}}}],"schema":"https://github.com/citation-style-language/schema/raw/master/csl-citation.json"} </w:instrText>
      </w:r>
      <w:r>
        <w:fldChar w:fldCharType="separate"/>
      </w:r>
      <w:r w:rsidRPr="0011138C">
        <w:rPr>
          <w:rFonts w:ascii="Aptos" w:hAnsi="Aptos"/>
        </w:rPr>
        <w:t>(Humphries et al., 2023)</w:t>
      </w:r>
      <w:r>
        <w:fldChar w:fldCharType="end"/>
      </w:r>
      <w:r>
        <w:t>.</w:t>
      </w:r>
      <w:r w:rsidR="00C97970">
        <w:t xml:space="preserve"> The augmented collaborator can be</w:t>
      </w:r>
      <w:r w:rsidR="00577FA5">
        <w:t xml:space="preserve"> human or non-human, such as a robot.</w:t>
      </w:r>
    </w:p>
    <w:p w14:paraId="3D610267" w14:textId="77777777" w:rsidR="00C45E02" w:rsidRDefault="00C45E02" w:rsidP="00C45E02">
      <w:pPr>
        <w:pStyle w:val="ListParagraph"/>
        <w:numPr>
          <w:ilvl w:val="0"/>
          <w:numId w:val="2"/>
        </w:numPr>
      </w:pPr>
      <w:r w:rsidRPr="00C70261">
        <w:rPr>
          <w:u w:val="single"/>
        </w:rPr>
        <w:t>Human-technology relationship</w:t>
      </w:r>
      <w:r>
        <w:t>: interdependence. They are both agents, but separate. They collaborate towards a common goal.</w:t>
      </w:r>
    </w:p>
    <w:p w14:paraId="4DA5F22C" w14:textId="77777777" w:rsidR="00C45E02" w:rsidRDefault="00C45E02" w:rsidP="00C45E02"/>
    <w:p w14:paraId="72486A22" w14:textId="77777777" w:rsidR="00C45E02" w:rsidRDefault="00C45E02" w:rsidP="00C45E02">
      <w:pPr>
        <w:pStyle w:val="ListParagraph"/>
        <w:numPr>
          <w:ilvl w:val="0"/>
          <w:numId w:val="1"/>
        </w:numPr>
      </w:pPr>
      <w:r w:rsidRPr="00F621F4">
        <w:rPr>
          <w:b/>
          <w:bCs/>
        </w:rPr>
        <w:t>Cyborg activist</w:t>
      </w:r>
      <w:r>
        <w:rPr>
          <w:b/>
          <w:bCs/>
        </w:rPr>
        <w:t xml:space="preserve"> </w:t>
      </w:r>
      <w:r w:rsidRPr="000173A3">
        <w:rPr>
          <w:i/>
          <w:iCs/>
        </w:rPr>
        <w:t>(Rifai, 2022)</w:t>
      </w:r>
      <w:r>
        <w:t xml:space="preserve">: person who experiments with technologies in extravagant ways to live new experiences, and embraces this human-technology fusion and the new status that it gives them </w:t>
      </w:r>
      <w:r>
        <w:fldChar w:fldCharType="begin"/>
      </w:r>
      <w:r>
        <w:instrText xml:space="preserve"> ADDIN ZOTERO_ITEM CSL_CITATION {"citationID":"ro5O2Mt0","properties":{"formattedCitation":"(Rifai, 2022, p. 5)","plainCitation":"(Rifai, 2022, p. 5)","noteIndex":0},"citationItems":[{"id":1581,"uris":["http://zotero.org/users/15245718/items/AX8EJWG5"],"itemData":{"id":1581,"type":"article-journal","abstract":"Committed to providing a form of this-worldly salvation to its largely white, male, and wealthy practitioners, biohacking is a popular \"citizen science\" movement that applies a life-hacking mentality to the intimate spaces of the body by embracing DIY biology. Exploring the contours of its power and privilege in the United States today, this essay works to historicize the contemporary biohacking movement by attending to discourses produced by some of its key personalities, its depictions in popular media, and to the growing body of academic scholarship that seeks to theorize biohacking's logics and rhetorics. After first constructing a basic genealogy and typology of the movement, this essay then considers the religio-secular frameworks that shape biohacking's unique form of techno-utopia. In particular, it examines what kind of future individuals are being promised in a world where they are invited to become superhuman, if they have the time and resources to pursue immortality.","container-title":"RELIGION COMPASS","DOI":"10.1111/rec3.12451","ISSN":"1749-8171","issue":"11-12","journalAbbreviation":"Relig. Compass","language":"English","note":"number-of-pages: 10\npublisher-place: Hoboken\npublisher: Wiley\nWeb of Science ID: WOS:000888446000001","source":"Clarivate Analytics Web of Science","title":"Whose techno-utopia? Power, privilege, and the religio-secular frameworks of the contemporary biohacking movement","title-short":"Whose techno-utopia?","URL":"https://compass.onlinelibrary.wiley.com/doi/10.1111/rec3.12451","volume":"16","author":[{"family":"Rifai","given":"Emma"}],"accessed":{"date-parts":[["2025",8,14]]},"issued":{"date-parts":[["2022",11]]}},"locator":"5","label":"page"}],"schema":"https://github.com/citation-style-language/schema/raw/master/csl-citation.json"} </w:instrText>
      </w:r>
      <w:r>
        <w:fldChar w:fldCharType="separate"/>
      </w:r>
      <w:r w:rsidRPr="00AC74EF">
        <w:rPr>
          <w:rFonts w:ascii="Aptos" w:hAnsi="Aptos"/>
        </w:rPr>
        <w:t>(Rifai, 2022, p. 5)</w:t>
      </w:r>
      <w:r>
        <w:fldChar w:fldCharType="end"/>
      </w:r>
      <w:r>
        <w:t xml:space="preserve">. Contrary to everyday cyborgs, cyborg activists self-identify as cyborgs: they “unabashedly embrace their more-than-human bodies, shedding any desire to be seen as ‘natural’ or ‘organic’.” </w:t>
      </w:r>
      <w:r>
        <w:fldChar w:fldCharType="begin"/>
      </w:r>
      <w:r>
        <w:instrText xml:space="preserve"> ADDIN ZOTERO_ITEM CSL_CITATION {"citationID":"p48bRnJe","properties":{"formattedCitation":"(Rifai, 2022, p. 5)","plainCitation":"(Rifai, 2022, p. 5)","noteIndex":0},"citationItems":[{"id":1581,"uris":["http://zotero.org/users/15245718/items/AX8EJWG5"],"itemData":{"id":1581,"type":"article-journal","abstract":"Committed to providing a form of this-worldly salvation to its largely white, male, and wealthy practitioners, biohacking is a popular \"citizen science\" movement that applies a life-hacking mentality to the intimate spaces of the body by embracing DIY biology. Exploring the contours of its power and privilege in the United States today, this essay works to historicize the contemporary biohacking movement by attending to discourses produced by some of its key personalities, its depictions in popular media, and to the growing body of academic scholarship that seeks to theorize biohacking's logics and rhetorics. After first constructing a basic genealogy and typology of the movement, this essay then considers the religio-secular frameworks that shape biohacking's unique form of techno-utopia. In particular, it examines what kind of future individuals are being promised in a world where they are invited to become superhuman, if they have the time and resources to pursue immortality.","container-title":"RELIGION COMPASS","DOI":"10.1111/rec3.12451","ISSN":"1749-8171","issue":"11-12","journalAbbreviation":"Relig. Compass","language":"English","note":"number-of-pages: 10\npublisher-place: Hoboken\npublisher: Wiley\nWeb of Science ID: WOS:000888446000001","source":"Clarivate Analytics Web of Science","title":"Whose techno-utopia? Power, privilege, and the religio-secular frameworks of the contemporary biohacking movement","title-short":"Whose techno-utopia?","URL":"https://compass.onlinelibrary.wiley.com/doi/10.1111/rec3.12451","volume":"16","author":[{"family":"Rifai","given":"Emma"}],"accessed":{"date-parts":[["2025",8,14]]},"issued":{"date-parts":[["2022",11]]}},"locator":"5","label":"page"}],"schema":"https://github.com/citation-style-language/schema/raw/master/csl-citation.json"} </w:instrText>
      </w:r>
      <w:r>
        <w:fldChar w:fldCharType="separate"/>
      </w:r>
      <w:r w:rsidRPr="00595F8B">
        <w:rPr>
          <w:rFonts w:ascii="Aptos" w:hAnsi="Aptos"/>
        </w:rPr>
        <w:t>(Rifai, 2022, p. 5)</w:t>
      </w:r>
      <w:r>
        <w:fldChar w:fldCharType="end"/>
      </w:r>
      <w:r>
        <w:t xml:space="preserve"> They openly share about their experience with others, often carrying a certain political message notably related to the democratization of science. Well-known cyborg activists are for example Kevin Warwick or Neil Harbisson. </w:t>
      </w:r>
    </w:p>
    <w:p w14:paraId="5F1C869F" w14:textId="77777777" w:rsidR="00C45E02" w:rsidRDefault="00C45E02" w:rsidP="00C45E02">
      <w:pPr>
        <w:pStyle w:val="ListParagraph"/>
        <w:numPr>
          <w:ilvl w:val="0"/>
          <w:numId w:val="2"/>
        </w:numPr>
      </w:pPr>
      <w:r w:rsidRPr="00C70261">
        <w:rPr>
          <w:u w:val="single"/>
        </w:rPr>
        <w:lastRenderedPageBreak/>
        <w:t>Human-technology relationship</w:t>
      </w:r>
      <w:r>
        <w:t>: intra-dependence. They self-identify as cyborgs and do not see themselves as “natural or organic” anymore. Their intra-action with the technology shapes them as agents. They only appear as themselves through their intra-action with the technology which makes part of them.</w:t>
      </w:r>
    </w:p>
    <w:p w14:paraId="64656DBB" w14:textId="77777777" w:rsidR="00C45E02" w:rsidRDefault="00C45E02" w:rsidP="00C45E02"/>
    <w:p w14:paraId="222F9553" w14:textId="77777777" w:rsidR="00C45E02" w:rsidRDefault="00C45E02" w:rsidP="00C45E02">
      <w:pPr>
        <w:pStyle w:val="ListParagraph"/>
        <w:numPr>
          <w:ilvl w:val="0"/>
          <w:numId w:val="1"/>
        </w:numPr>
      </w:pPr>
      <w:r w:rsidRPr="00F621F4">
        <w:rPr>
          <w:b/>
          <w:bCs/>
        </w:rPr>
        <w:t>DIY biolog</w:t>
      </w:r>
      <w:r>
        <w:rPr>
          <w:b/>
          <w:bCs/>
        </w:rPr>
        <w:t xml:space="preserve">ist </w:t>
      </w:r>
      <w:r w:rsidRPr="000173A3">
        <w:rPr>
          <w:i/>
          <w:iCs/>
        </w:rPr>
        <w:t xml:space="preserve">(Rifai, 2022; </w:t>
      </w:r>
      <w:proofErr w:type="spellStart"/>
      <w:r w:rsidRPr="000173A3">
        <w:rPr>
          <w:i/>
          <w:iCs/>
        </w:rPr>
        <w:t>Lorrimar</w:t>
      </w:r>
      <w:proofErr w:type="spellEnd"/>
      <w:r w:rsidRPr="000173A3">
        <w:rPr>
          <w:i/>
          <w:iCs/>
        </w:rPr>
        <w:t>, 2025)</w:t>
      </w:r>
      <w:r>
        <w:t xml:space="preserve">: </w:t>
      </w:r>
      <w:r w:rsidRPr="009C6492">
        <w:t>amateur researcher who do</w:t>
      </w:r>
      <w:r>
        <w:t>es not</w:t>
      </w:r>
      <w:r w:rsidRPr="009C6492">
        <w:t xml:space="preserve"> have access to the research resources of institutions or </w:t>
      </w:r>
      <w:proofErr w:type="spellStart"/>
      <w:r w:rsidRPr="009C6492">
        <w:t>to</w:t>
      </w:r>
      <w:proofErr w:type="spellEnd"/>
      <w:r w:rsidRPr="009C6492">
        <w:t xml:space="preserve"> much scientific training but tr</w:t>
      </w:r>
      <w:r>
        <w:t>ies</w:t>
      </w:r>
      <w:r w:rsidRPr="009C6492">
        <w:t xml:space="preserve"> to democratize science by experimenting on themselves, with devices they design themselves, and publishing open-source</w:t>
      </w:r>
      <w:r>
        <w:t xml:space="preserve"> to make healthcare accessible to all and empower ordinary citizens </w:t>
      </w:r>
      <w:r>
        <w:fldChar w:fldCharType="begin"/>
      </w:r>
      <w:r>
        <w:instrText xml:space="preserve"> ADDIN ZOTERO_ITEM CSL_CITATION {"citationID":"ieER2Ey4","properties":{"formattedCitation":"(Rifai, 2022)","plainCitation":"(Rifai, 2022)","noteIndex":0},"citationItems":[{"id":1581,"uris":["http://zotero.org/users/15245718/items/AX8EJWG5"],"itemData":{"id":1581,"type":"article-journal","abstract":"Committed to providing a form of this-worldly salvation to its largely white, male, and wealthy practitioners, biohacking is a popular \"citizen science\" movement that applies a life-hacking mentality to the intimate spaces of the body by embracing DIY biology. Exploring the contours of its power and privilege in the United States today, this essay works to historicize the contemporary biohacking movement by attending to discourses produced by some of its key personalities, its depictions in popular media, and to the growing body of academic scholarship that seeks to theorize biohacking's logics and rhetorics. After first constructing a basic genealogy and typology of the movement, this essay then considers the religio-secular frameworks that shape biohacking's unique form of techno-utopia. In particular, it examines what kind of future individuals are being promised in a world where they are invited to become superhuman, if they have the time and resources to pursue immortality.","container-title":"RELIGION COMPASS","DOI":"10.1111/rec3.12451","ISSN":"1749-8171","issue":"11-12","journalAbbreviation":"Relig. Compass","language":"English","note":"number-of-pages: 10\npublisher-place: Hoboken\npublisher: Wiley\nWeb of Science ID: WOS:000888446000001","source":"Clarivate Analytics Web of Science","title":"Whose techno-utopia? Power, privilege, and the religio-secular frameworks of the contemporary biohacking movement","title-short":"Whose techno-utopia?","URL":"https://compass.onlinelibrary.wiley.com/doi/10.1111/rec3.12451","volume":"16","author":[{"family":"Rifai","given":"Emma"}],"accessed":{"date-parts":[["2025",8,14]]},"issued":{"date-parts":[["2022",11]]}}}],"schema":"https://github.com/citation-style-language/schema/raw/master/csl-citation.json"} </w:instrText>
      </w:r>
      <w:r>
        <w:fldChar w:fldCharType="separate"/>
      </w:r>
      <w:r w:rsidRPr="005A3DD0">
        <w:rPr>
          <w:rFonts w:ascii="Aptos" w:hAnsi="Aptos"/>
        </w:rPr>
        <w:t>(Rifai, 2022)</w:t>
      </w:r>
      <w:r>
        <w:fldChar w:fldCharType="end"/>
      </w:r>
      <w:r w:rsidRPr="009C6492">
        <w:t>.</w:t>
      </w:r>
      <w:r>
        <w:t xml:space="preserve"> They have strong political convictions; through their experimentations, they generate utopic spaces and alternative futures, challenging social and political realities and extending the limits of what is possible. Their goal is an aesthetical and functional one, aside from recreation </w:t>
      </w:r>
      <w:r>
        <w:fldChar w:fldCharType="begin"/>
      </w:r>
      <w:r>
        <w:instrText xml:space="preserve"> ADDIN ZOTERO_ITEM CSL_CITATION {"citationID":"UmhH62yY","properties":{"formattedCitation":"(Lorrimar, 2025)","plainCitation":"(Lorrimar, 2025)","noteIndex":0},"citationItems":[{"id":1578,"uris":["http://zotero.org/users/15245718/items/BXWJ4ZA9"],"itemData":{"id":1578,"type":"article-journal","abstract":"Biohacking, a do-it-yourself approach to optimising functionality of body and mind, encompasses a diverse range of practices, and might be understood as a particularly contemporary expression of a larger commitment to the malleability and individuality of the self. Biohackers remix scientific knowledge and technological innovations into bespoke individual solutions that differ markedly according to the sociopolitical context in which they are located. Through a science and technology studies approach that attends to these contextual configurations of technology in relation to human bodies, a conceptual analysis of the underlying motivations, alignment with broader hacker ethos and meaning-making contexts of contemporary biohacking approaches recommends a working model that breaks biohacking down into four strands for further research: DIYbio, spiritual augmentation, health and wellness optimisation and technological futurism.","container-title":"Medical Humanities","DOI":"10.1136/medhum-2025-013261","ISSN":"1468-215X, 1473-4265","language":"en","license":"© Author(s) (or their employer(s)) 2025. Re-use permitted under CC BY-NC. No commercial re-use. See rights and permissions. Published by BMJ Group.. http://creativecommons.org/licenses/by-nc/4.0/This is an open access article distributed in accordance with the Creative Commons Attribution Non Commercial (CC BY-NC 4.0) license, which permits others to distribute, remix, adapt, build upon this work non-commercially, and license their derivative works on different terms, provided the original work is properly cited, appropriate credit is given, any changes made indicated, and the use is non-commercial. See: http://creativecommons.org/licenses/by-nc/4.0/.","note":"publisher: Institute of Medical Ethics\nsection: Original research\nPMID: 40506091","source":"mh-bmj-com.kuleuven.e-bronnen.be","title":"What are ‘biohackers’ hacking? Identifying motivations and meaning-making frameworks","title-short":"What are ‘biohackers’ hacking?","URL":"https://mh.bmj.com/content/early/2025/06/11/medhum-2025-013261","author":[{"family":"Lorrimar","given":"Victoria"}],"accessed":{"date-parts":[["2025",8,14]]},"issued":{"date-parts":[["2025",6,12]]}}}],"schema":"https://github.com/citation-style-language/schema/raw/master/csl-citation.json"} </w:instrText>
      </w:r>
      <w:r>
        <w:fldChar w:fldCharType="separate"/>
      </w:r>
      <w:r w:rsidRPr="00B96CE4">
        <w:rPr>
          <w:rFonts w:ascii="Aptos" w:hAnsi="Aptos"/>
        </w:rPr>
        <w:t>(Lorrimar, 2025)</w:t>
      </w:r>
      <w:r>
        <w:fldChar w:fldCharType="end"/>
      </w:r>
      <w:r>
        <w:t xml:space="preserve">. They do not have </w:t>
      </w:r>
      <w:r w:rsidRPr="0047329E">
        <w:t>a</w:t>
      </w:r>
      <w:r>
        <w:t>ny</w:t>
      </w:r>
      <w:r w:rsidRPr="0047329E">
        <w:t xml:space="preserve"> commercial interest</w:t>
      </w:r>
      <w:r>
        <w:t xml:space="preserve"> </w:t>
      </w:r>
      <w:r>
        <w:fldChar w:fldCharType="begin"/>
      </w:r>
      <w:r>
        <w:instrText xml:space="preserve"> ADDIN ZOTERO_ITEM CSL_CITATION {"citationID":"dnzHgHZa","properties":{"formattedCitation":"(Teunisse et al., 2019)","plainCitation":"(Teunisse et al., 2019)","noteIndex":0},"citationItems":[{"id":1330,"uris":["http://zotero.org/users/15245718/items/2B6BID4Z"],"itemData":{"id":1330,"type":"article-journal","abstract":"Human enhancement deals with improving on and overcoming limitations of the human body and mind. Pharmaceutical compounds that alter consciousness and cognitive performance have been used and discussed for a long time. The prospect of neurotechnological applications such as brain-steered devices or using invasive and noninvasive electromagnetic stimulations of the human brain, however, has received less attention-especially outside of therapeutic practices-and remains relatively unexplored. Reflection and debates about neurotechnology for human enhancement are limited and remain predominantly with neurotech engineers, science-fiction enthusiasts and a small circle of academics in the field of neuroethics. It is well known, and described as the Collingridge dilemma, that at an early stage of development, changes can easily be enacted, but the need for changes can hardly be foreseen. Once the technology is entrenched, opportunities and risks start to materialize, and the need to adapt and change is clearly visible. However, carrying out these changes at such a late stage, in turn, becomes very difficult, tremendously expensive, and sometimes practically impossible. In this manuscript, we compile and categorize an overview of existing experimental and speculative applications of neurotechnologies, with the aim to find out, if these real or diegetic prototypes could be used to better understand the paths these applications are forging. In particular, we will investigate what kind of tools, motivations, and normative goals underpin experimental implementations by neurohackers, speculative designers and artists.","container-title":"Human behavior and emerging technologies","DOI":"10.1002/hbe2.179","ISSN":"2578-1863","issue":"4","journalAbbreviation":"Hum Behav Emerg Technol","language":"English","note":"number-of-pages: 12\nWeb of Science ID:","page":"361-372","source":"Clarivate Analytics Web of Science","title":"Human enhancement through the lens of experimental and speculative neurotechnologies.","volume":"1","author":[{"family":"Teunisse","given":"Wessel"},{"family":"Youssef","given":"Sandra"},{"family":"Schmidt","given":"Markus"}],"issued":{"date-parts":[["2019",10]]}}}],"schema":"https://github.com/citation-style-language/schema/raw/master/csl-citation.json"} </w:instrText>
      </w:r>
      <w:r>
        <w:fldChar w:fldCharType="separate"/>
      </w:r>
      <w:r w:rsidRPr="0047329E">
        <w:rPr>
          <w:rFonts w:ascii="Aptos" w:hAnsi="Aptos"/>
        </w:rPr>
        <w:t>(Teunisse et al., 2019)</w:t>
      </w:r>
      <w:r>
        <w:fldChar w:fldCharType="end"/>
      </w:r>
      <w:r>
        <w:t>.</w:t>
      </w:r>
    </w:p>
    <w:p w14:paraId="16804455" w14:textId="77777777" w:rsidR="00C45E02" w:rsidRDefault="00C45E02" w:rsidP="00C45E02">
      <w:pPr>
        <w:pStyle w:val="ListParagraph"/>
        <w:numPr>
          <w:ilvl w:val="0"/>
          <w:numId w:val="2"/>
        </w:numPr>
      </w:pPr>
      <w:r w:rsidRPr="00C70261">
        <w:rPr>
          <w:u w:val="single"/>
        </w:rPr>
        <w:t>Human-technology relationship</w:t>
      </w:r>
      <w:r>
        <w:t>: independence. Their use of technology serves a functional goal.</w:t>
      </w:r>
    </w:p>
    <w:p w14:paraId="2EC2BB81" w14:textId="77777777" w:rsidR="00C45E02" w:rsidRPr="00C45E02" w:rsidRDefault="00C45E02" w:rsidP="00C45E02"/>
    <w:p w14:paraId="540C1548" w14:textId="3B6F4D69" w:rsidR="00957523" w:rsidRDefault="00957523" w:rsidP="00050E80">
      <w:pPr>
        <w:pStyle w:val="ListParagraph"/>
        <w:numPr>
          <w:ilvl w:val="0"/>
          <w:numId w:val="1"/>
        </w:numPr>
      </w:pPr>
      <w:r w:rsidRPr="00183CA5">
        <w:rPr>
          <w:b/>
          <w:bCs/>
        </w:rPr>
        <w:t xml:space="preserve">Everyday cyborg </w:t>
      </w:r>
      <w:r w:rsidRPr="00183CA5">
        <w:rPr>
          <w:i/>
          <w:iCs/>
        </w:rPr>
        <w:t>(Rifai, 2022; Haddow et al., 2015)</w:t>
      </w:r>
      <w:r>
        <w:t xml:space="preserve">: </w:t>
      </w:r>
      <w:r w:rsidR="00C71089">
        <w:t>person</w:t>
      </w:r>
      <w:r>
        <w:t xml:space="preserve"> who rel</w:t>
      </w:r>
      <w:r w:rsidR="00C71089">
        <w:t>ies</w:t>
      </w:r>
      <w:r>
        <w:t xml:space="preserve"> on technological devices to perform everyday tasks that they would otherwise not be able to perform because of an impairment, a disease, or old age. We can call these devices assistive technology: </w:t>
      </w:r>
      <w:r w:rsidRPr="00302885">
        <w:t xml:space="preserve">“rehabilitation technology that allows people with an impairment to participate more fully in society or prolongs the quality of life for the elderly.” </w:t>
      </w:r>
      <w:r>
        <w:fldChar w:fldCharType="begin"/>
      </w:r>
      <w:r>
        <w:instrText xml:space="preserve"> ADDIN ZOTERO_ITEM CSL_CITATION {"citationID":"cgO9jsEq","properties":{"formattedCitation":"(De Boeck &amp; Vaes, 2024, p. 65)","plainCitation":"(De Boeck &amp; Vaes, 2024, p. 65)","noteIndex":0},"citationItems":[{"id":108,"uris":["http://zotero.org/users/15245718/items/AS7LYGU5"],"itemData":{"id":108,"type":"article-journal","abstract":"Along with the growing impact of rapidly advancing technology on human life, interest in improving human abilities has increased. ‘Human augmentation’ refers to human-computer integration technology, aiming to restore, supplement, or even exceed human potential. As such, human augmentation may be used by anyone, ranging from people who face an impairment or a dangerous situation to healthy people who want to improve their current capabilities or even acquire abilities that are beyond normal human capabilities. This article introduces the field of human augmentation by discussing definitions of human augmentation and related terms. Subsequently, a categorical and dimensional classification of the field is given to structure the domain. Based on our findings from the literature, we propose a framework to support product designers in understanding, navigating, and characterizing the human augmentation product they are designing. This framework was applied in academic practice over three consecutive years, challenging prospective product designers to explore human augmentation. Ultimately, 123 student projects were collected and analyzed with the aim of elaborating on our framework based on concrete design strategies. Future research is set to implement the design strategies in a tool that facilitates idea generation and sparks creativity in the field of human augmentation.","container-title":"International Journal of Design Creativity and Innovation","DOI":"10.1080/21650349.2023.2288125","ISSN":"2165-0349","issue":"1","note":"number: 1\npublisher: Taylor &amp; Francis\n_eprint: https://doi.org/10.1080/21650349.2023.2288125","page":"61-80","source":"Taylor and Francis+NEJM","title":"Human augmentation and its new design perspectives","volume":"12","author":[{"family":"De Boeck","given":"Muriel"},{"family":"Vaes","given":"Kristof"}],"issued":{"date-parts":[["2024",1,2]]}},"locator":"65","label":"page"}],"schema":"https://github.com/citation-style-language/schema/raw/master/csl-citation.json"} </w:instrText>
      </w:r>
      <w:r>
        <w:fldChar w:fldCharType="separate"/>
      </w:r>
      <w:r w:rsidRPr="00183CA5">
        <w:rPr>
          <w:rFonts w:ascii="Aptos" w:hAnsi="Aptos"/>
        </w:rPr>
        <w:t>(De Boeck &amp; Vaes, 2024, p. 65)</w:t>
      </w:r>
      <w:r>
        <w:fldChar w:fldCharType="end"/>
      </w:r>
      <w:r>
        <w:t>. The technology operates by replacing or extending people’s abilities, and it can range from being simple to very complex (Rifai, 2022, p. 5). “the technology is automated and implanted</w:t>
      </w:r>
      <w:r w:rsidR="00EC24DA">
        <w:t xml:space="preserve"> (…)</w:t>
      </w:r>
      <w:r>
        <w:t xml:space="preserve"> </w:t>
      </w:r>
      <w:r>
        <w:fldChar w:fldCharType="begin"/>
      </w:r>
      <w:r>
        <w:instrText xml:space="preserve"> ADDIN ZOTERO_ITEM CSL_CITATION {"citationID":"2z1QYiJh","properties":{"formattedCitation":"(Haddow et al., 2015, p. 490)","plainCitation":"(Haddow et al., 2015, p. 490)","noteIndex":0},"citationItems":[{"id":1587,"uris":["http://zotero.org/users/15245718/items/D6CQX5T6"],"itemData":{"id":1587,"type":"article-journal","abstract":"An in vivo biosensor is a technology in development that will assess the biological activity of cancers to individualise external beam radiotherapy. Inserting such technology into the human body creates cybernetic organisms; a cyborg that is a human–machine hybrid. There is a gap in knowledge relating to patient willingness to allow automated technology to be embedded and to become cyborg. There is little agreement around what makes a cyborg and less understanding of the variation in the cyborgisation process. Understanding the viewpoint of possible beneficiaries addresses such gaps. There are currently three versions of ‘cyborg’ in the literature (i) a critical feminist STS concept to destabilise power inherent in dualisms, (ii) an extreme version of the human/machine in science-fiction that emphasises the ‘man’ in human and (iii) a prediction of internal physiological adaptation required for future space exploration. Interview study findings with 12 men in remission from prostate cancer show a fourth version can be used to describe current and future sub-groups of the population; ‘everyday cyborgs'. For the everyday cyborg the masculine cyborg status found in the fictionalised human–machine related to issues of control of the cancer. This was preferred to the felt stigmatisation of being a ‘leaker and bleeder’. The willingness to become cyborg was matched with a having to get used to the everyday cyborg's technological adaptations and risks. It is crucial to explore the everyday cyborg's sometimes ambivalent viewpoint. The everyday cyborg thus adds the dimension of participant voice currently missing in existing cyborg literatures and imaginations.","container-title":"Science as Culture","DOI":"10.1080/09505431.2015.1063597","ISSN":"0950-5431","issue":"4","note":"publisher: Routledge\n_eprint: https://doi.org/10.1080/09505431.2015.1063597\nPMID: 27335534","page":"484-506","source":"Taylor and Francis+NEJM","title":"Cyborgs in the Everyday: Masculinity and Biosensing Prostate Cancer","title-short":"Cyborgs in the Everyday","volume":"24","author":[{"family":"Haddow","given":"Gill"},{"family":"King","given":"Emma"},{"family":"Kunkler","given":"Ian"},{"family":"McLaren","given":"Duncan"}],"issued":{"date-parts":[["2015",10,2]]}},"locator":"490","label":"page"}],"schema":"https://github.com/citation-style-language/schema/raw/master/csl-citation.json"} </w:instrText>
      </w:r>
      <w:r>
        <w:fldChar w:fldCharType="separate"/>
      </w:r>
      <w:r>
        <w:fldChar w:fldCharType="end"/>
      </w:r>
      <w:r>
        <w:t xml:space="preserve">[the person] is not in control of the process of </w:t>
      </w:r>
      <w:proofErr w:type="spellStart"/>
      <w:r>
        <w:t>cyborgisation</w:t>
      </w:r>
      <w:proofErr w:type="spellEnd"/>
      <w:r>
        <w:t xml:space="preserve">, which is often created and mediated by experts." </w:t>
      </w:r>
      <w:r>
        <w:fldChar w:fldCharType="begin"/>
      </w:r>
      <w:r w:rsidR="00CD2BCC">
        <w:instrText xml:space="preserve"> ADDIN ZOTERO_ITEM CSL_CITATION {"citationID":"v4D9VqPD","properties":{"formattedCitation":"(Haddow et al., 2015, p. 490)","plainCitation":"(Haddow et al., 2015, p. 490)","noteIndex":0},"citationItems":[{"id":1587,"uris":["http://zotero.org/users/15245718/items/D6CQX5T6"],"itemData":{"id":1587,"type":"article-journal","abstract":"An in vivo biosensor is a technology in development that will assess the biological activity of cancers to individualise external beam radiotherapy. Inserting such technology into the human body creates cybernetic organisms; a cyborg that is a human–machine hybrid. There is a gap in knowledge relating to patient willingness to allow automated technology to be embedded and to become cyborg. There is little agreement around what makes a cyborg and less understanding of the variation in the cyborgisation process. Understanding the viewpoint of possible beneficiaries addresses such gaps. There are currently three versions of ‘cyborg’ in the literature (i) a critical feminist STS concept to destabilise power inherent in dualisms, (ii) an extreme version of the human/machine in science-fiction that emphasises the ‘man’ in human and (iii) a prediction of internal physiological adaptation required for future space exploration. Interview study findings with 12 men in remission from prostate cancer show a fourth version can be used to describe current and future sub-groups of the population; ‘everyday cyborgs'. For the everyday cyborg the masculine cyborg status found in the fictionalised human–machine related to issues of control of the cancer. This was preferred to the felt stigmatisation of being a ‘leaker and bleeder’. The willingness to become cyborg was matched with a having to get used to the everyday cyborg's technological adaptations and risks. It is crucial to explore the everyday cyborg's sometimes ambivalent viewpoint. The everyday cyborg thus adds the dimension of participant voice currently missing in existing cyborg literatures and imaginations.","container-title":"Science as Culture","DOI":"10.1080/09505431.2015.1063597","ISSN":"0950-5431","issue":"4","note":"_eprint: https://doi.org/10.1080/09505431.2015.1063597","page":"484-506","PMID":"27335534","publisher":"Routledge","source":"Taylor and Francis+NEJM","title":"Cyborgs in the Everyday: Masculinity and Biosensing Prostate Cancer","title-short":"Cyborgs in the Everyday","volume":"24","author":[{"family":"Haddow","given":"Gill"},{"family":"King","given":"Emma"},{"family":"Kunkler","given":"Ian"},{"family":"McLaren","given":"Duncan"}],"issued":{"date-parts":[["2015",10,2]]}},"locator":"490","label":"page"}],"schema":"https://github.com/citation-style-language/schema/raw/master/csl-citation.json"} </w:instrText>
      </w:r>
      <w:r>
        <w:fldChar w:fldCharType="separate"/>
      </w:r>
      <w:r w:rsidRPr="00183CA5">
        <w:rPr>
          <w:rFonts w:ascii="Aptos" w:hAnsi="Aptos"/>
        </w:rPr>
        <w:t>(Haddow et al., 2015, p. 490)</w:t>
      </w:r>
      <w:r>
        <w:fldChar w:fldCharType="end"/>
      </w:r>
      <w:r w:rsidR="00183CA5">
        <w:t xml:space="preserve"> The outcome for their autonomy is ambivalent: it provides them with control over some aspects of their lives, but is detrimental to their autonomy in other aspects</w:t>
      </w:r>
      <w:r w:rsidR="00FE7434">
        <w:t>, as they for example rely on experts for the maintenance of the device</w:t>
      </w:r>
      <w:r w:rsidR="00183CA5">
        <w:t xml:space="preserve"> </w:t>
      </w:r>
      <w:r w:rsidR="00183CA5">
        <w:fldChar w:fldCharType="begin"/>
      </w:r>
      <w:r w:rsidR="00CD2BCC">
        <w:instrText xml:space="preserve"> ADDIN ZOTERO_ITEM CSL_CITATION {"citationID":"5OkfPVHB","properties":{"formattedCitation":"(Haddow et al., 2015)","plainCitation":"(Haddow et al., 2015)","noteIndex":0},"citationItems":[{"id":1587,"uris":["http://zotero.org/users/15245718/items/D6CQX5T6"],"itemData":{"id":1587,"type":"article-journal","abstract":"An in vivo biosensor is a technology in development that will assess the biological activity of cancers to individualise external beam radiotherapy. Inserting such technology into the human body creates cybernetic organisms; a cyborg that is a human–machine hybrid. There is a gap in knowledge relating to patient willingness to allow automated technology to be embedded and to become cyborg. There is little agreement around what makes a cyborg and less understanding of the variation in the cyborgisation process. Understanding the viewpoint of possible beneficiaries addresses such gaps. There are currently three versions of ‘cyborg’ in the literature (i) a critical feminist STS concept to destabilise power inherent in dualisms, (ii) an extreme version of the human/machine in science-fiction that emphasises the ‘man’ in human and (iii) a prediction of internal physiological adaptation required for future space exploration. Interview study findings with 12 men in remission from prostate cancer show a fourth version can be used to describe current and future sub-groups of the population; ‘everyday cyborgs'. For the everyday cyborg the masculine cyborg status found in the fictionalised human–machine related to issues of control of the cancer. This was preferred to the felt stigmatisation of being a ‘leaker and bleeder’. The willingness to become cyborg was matched with a having to get used to the everyday cyborg's technological adaptations and risks. It is crucial to explore the everyday cyborg's sometimes ambivalent viewpoint. The everyday cyborg thus adds the dimension of participant voice currently missing in existing cyborg literatures and imaginations.","container-title":"Science as Culture","DOI":"10.1080/09505431.2015.1063597","ISSN":"0950-5431","issue":"4","note":"_eprint: https://doi.org/10.1080/09505431.2015.1063597","page":"484-506","PMID":"27335534","publisher":"Routledge","source":"Taylor and Francis+NEJM","title":"Cyborgs in the Everyday: Masculinity and Biosensing Prostate Cancer","title-short":"Cyborgs in the Everyday","volume":"24","author":[{"family":"Haddow","given":"Gill"},{"family":"King","given":"Emma"},{"family":"Kunkler","given":"Ian"},{"family":"McLaren","given":"Duncan"}],"issued":{"date-parts":[["2015",10,2]]}}}],"schema":"https://github.com/citation-style-language/schema/raw/master/csl-citation.json"} </w:instrText>
      </w:r>
      <w:r w:rsidR="00183CA5">
        <w:fldChar w:fldCharType="separate"/>
      </w:r>
      <w:r w:rsidR="00183CA5" w:rsidRPr="00183CA5">
        <w:rPr>
          <w:rFonts w:ascii="Aptos" w:hAnsi="Aptos"/>
        </w:rPr>
        <w:t>(Haddow et al., 2015)</w:t>
      </w:r>
      <w:r w:rsidR="00183CA5">
        <w:fldChar w:fldCharType="end"/>
      </w:r>
      <w:r w:rsidR="00183CA5">
        <w:t xml:space="preserve">. The technology does not lead to total permanent recovery </w:t>
      </w:r>
      <w:r w:rsidR="00050E80">
        <w:t xml:space="preserve">and are thus made to accompany the person for the rest of their life </w:t>
      </w:r>
      <w:r w:rsidR="00183CA5">
        <w:fldChar w:fldCharType="begin"/>
      </w:r>
      <w:r w:rsidR="00CD2BCC">
        <w:instrText xml:space="preserve"> ADDIN ZOTERO_ITEM CSL_CITATION {"citationID":"lk8mu8Jp","properties":{"formattedCitation":"(De Boeck &amp; Vaes, 2024)","plainCitation":"(De Boeck &amp; Vaes, 2024)","noteIndex":0},"citationItems":[{"id":108,"uris":["http://zotero.org/users/15245718/items/AS7LYGU5"],"itemData":{"id":108,"type":"article-journal","abstract":"Along with the growing impact of rapidly advancing technology on human life, interest in improving human abilities has increased. ‘Human augmentation’ refers to human-computer integration technology, aiming to restore, supplement, or even exceed human potential. As such, human augmentation may be used by anyone, ranging from people who face an impairment or a dangerous situation to healthy people who want to improve their current capabilities or even acquire abilities that are beyond normal human capabilities. This article introduces the field of human augmentation by discussing definitions of human augmentation and related terms. Subsequently, a categorical and dimensional classification of the field is given to structure the domain. Based on our findings from the literature, we propose a framework to support product designers in understanding, navigating, and characterizing the human augmentation product they are designing. This framework was applied in academic practice over three consecutive years, challenging prospective product designers to explore human augmentation. Ultimately, 123 student projects were collected and analyzed with the aim of elaborating on our framework based on concrete design strategies. Future research is set to implement the design strategies in a tool that facilitates idea generation and sparks creativity in the field of human augmentation.","container-title":"International Journal of Design Creativity and Innovation","DOI":"10.1080/21650349.2023.2288125","ISSN":"2165-0349","issue":"1","note":"number: 1\n_eprint: https://doi.org/10.1080/21650349.2023.2288125","page":"61-80","publisher":"Taylor &amp; Francis","source":"Taylor and Francis+NEJM","title":"Human augmentation and its new design perspectives","volume":"12","author":[{"family":"De Boeck","given":"Muriel"},{"family":"Vaes","given":"Kristof"}],"issued":{"date-parts":[["2024",1,2]]}}}],"schema":"https://github.com/citation-style-language/schema/raw/master/csl-citation.json"} </w:instrText>
      </w:r>
      <w:r w:rsidR="00183CA5">
        <w:fldChar w:fldCharType="separate"/>
      </w:r>
      <w:r w:rsidR="00183CA5" w:rsidRPr="00183CA5">
        <w:rPr>
          <w:rFonts w:ascii="Aptos" w:hAnsi="Aptos"/>
        </w:rPr>
        <w:t>(De Boeck &amp; Vaes, 2024)</w:t>
      </w:r>
      <w:r w:rsidR="00183CA5">
        <w:fldChar w:fldCharType="end"/>
      </w:r>
      <w:r w:rsidR="00183CA5">
        <w:t>.</w:t>
      </w:r>
      <w:r w:rsidR="00050E80">
        <w:t xml:space="preserve"> An everyday cyborg</w:t>
      </w:r>
      <w:r>
        <w:t xml:space="preserve"> often do</w:t>
      </w:r>
      <w:r w:rsidR="00050E80">
        <w:t>es</w:t>
      </w:r>
      <w:r w:rsidR="00EE2E58">
        <w:t xml:space="preserve"> not</w:t>
      </w:r>
      <w:r>
        <w:t xml:space="preserve"> self-identify as</w:t>
      </w:r>
      <w:r w:rsidR="00050E80">
        <w:t xml:space="preserve"> a</w:t>
      </w:r>
      <w:r>
        <w:t xml:space="preserve"> cyborg, although external people would consider them to be </w:t>
      </w:r>
      <w:r w:rsidR="00710426">
        <w:t xml:space="preserve">a </w:t>
      </w:r>
      <w:r>
        <w:t xml:space="preserve">cyborg. Their hybridity becomes part of the ordinary for them, they do not like to be reminded of it and just endorse it because it is necessary for them to live. “the person may not always be aware of [the technology’s] presence and functioning” </w:t>
      </w:r>
      <w:r>
        <w:fldChar w:fldCharType="begin"/>
      </w:r>
      <w:r w:rsidR="00CD2BCC">
        <w:instrText xml:space="preserve"> ADDIN ZOTERO_ITEM CSL_CITATION {"citationID":"72vYHPHD","properties":{"formattedCitation":"(Haddow et al., 2015, p. 490)","plainCitation":"(Haddow et al., 2015, p. 490)","noteIndex":0},"citationItems":[{"id":1587,"uris":["http://zotero.org/users/15245718/items/D6CQX5T6"],"itemData":{"id":1587,"type":"article-journal","abstract":"An in vivo biosensor is a technology in development that will assess the biological activity of cancers to individualise external beam radiotherapy. Inserting such technology into the human body creates cybernetic organisms; a cyborg that is a human–machine hybrid. There is a gap in knowledge relating to patient willingness to allow automated technology to be embedded and to become cyborg. There is little agreement around what makes a cyborg and less understanding of the variation in the cyborgisation process. Understanding the viewpoint of possible beneficiaries addresses such gaps. There are currently three versions of ‘cyborg’ in the literature (i) a critical feminist STS concept to destabilise power inherent in dualisms, (ii) an extreme version of the human/machine in science-fiction that emphasises the ‘man’ in human and (iii) a prediction of internal physiological adaptation required for future space exploration. Interview study findings with 12 men in remission from prostate cancer show a fourth version can be used to describe current and future sub-groups of the population; ‘everyday cyborgs'. For the everyday cyborg the masculine cyborg status found in the fictionalised human–machine related to issues of control of the cancer. This was preferred to the felt stigmatisation of being a ‘leaker and bleeder’. The willingness to become cyborg was matched with a having to get used to the everyday cyborg's technological adaptations and risks. It is crucial to explore the everyday cyborg's sometimes ambivalent viewpoint. The everyday cyborg thus adds the dimension of participant voice currently missing in existing cyborg literatures and imaginations.","container-title":"Science as Culture","DOI":"10.1080/09505431.2015.1063597","ISSN":"0950-5431","issue":"4","note":"_eprint: https://doi.org/10.1080/09505431.2015.1063597","page":"484-506","PMID":"27335534","publisher":"Routledge","source":"Taylor and Francis+NEJM","title":"Cyborgs in the Everyday: Masculinity and Biosensing Prostate Cancer","title-short":"Cyborgs in the Everyday","volume":"24","author":[{"family":"Haddow","given":"Gill"},{"family":"King","given":"Emma"},{"family":"Kunkler","given":"Ian"},{"family":"McLaren","given":"Duncan"}],"issued":{"date-parts":[["2015",10,2]]}},"locator":"490","label":"page"}],"schema":"https://github.com/citation-style-language/schema/raw/master/csl-citation.json"} </w:instrText>
      </w:r>
      <w:r>
        <w:fldChar w:fldCharType="separate"/>
      </w:r>
      <w:r w:rsidRPr="00050E80">
        <w:rPr>
          <w:rFonts w:ascii="Aptos" w:hAnsi="Aptos"/>
        </w:rPr>
        <w:t>(Haddow et al., 2015, p. 490)</w:t>
      </w:r>
      <w:r>
        <w:fldChar w:fldCharType="end"/>
      </w:r>
    </w:p>
    <w:p w14:paraId="495CFC3D" w14:textId="66DADFFE" w:rsidR="00957523" w:rsidRDefault="00957523" w:rsidP="00957523">
      <w:pPr>
        <w:pStyle w:val="ListParagraph"/>
        <w:numPr>
          <w:ilvl w:val="0"/>
          <w:numId w:val="3"/>
        </w:numPr>
      </w:pPr>
      <w:r w:rsidRPr="004F5062">
        <w:rPr>
          <w:u w:val="single"/>
        </w:rPr>
        <w:t>Human-technology relationship</w:t>
      </w:r>
      <w:r>
        <w:t>: interdependence. Human and technology rely on each other but these people do</w:t>
      </w:r>
      <w:r w:rsidR="006E0CD3">
        <w:t xml:space="preserve"> no</w:t>
      </w:r>
      <w:r>
        <w:t>t self-identify as cyborgs</w:t>
      </w:r>
      <w:r w:rsidR="008E7743">
        <w:t>, which means that they do not consider the</w:t>
      </w:r>
      <w:r w:rsidR="00F933DF">
        <w:t xml:space="preserve">ir interaction with the technology as an intra-action, as defining their </w:t>
      </w:r>
      <w:r w:rsidR="00695D88">
        <w:t>being</w:t>
      </w:r>
      <w:r>
        <w:t>.</w:t>
      </w:r>
    </w:p>
    <w:p w14:paraId="1876F028" w14:textId="77777777" w:rsidR="00C45E02" w:rsidRDefault="00C45E02" w:rsidP="00C45E02"/>
    <w:p w14:paraId="25E7EAB3" w14:textId="3D37EE81" w:rsidR="00C45E02" w:rsidRDefault="00C45E02" w:rsidP="00C45E02">
      <w:pPr>
        <w:pStyle w:val="ListParagraph"/>
        <w:numPr>
          <w:ilvl w:val="0"/>
          <w:numId w:val="1"/>
        </w:numPr>
      </w:pPr>
      <w:r w:rsidRPr="00F621F4">
        <w:rPr>
          <w:b/>
          <w:bCs/>
        </w:rPr>
        <w:lastRenderedPageBreak/>
        <w:t xml:space="preserve">Spiritual </w:t>
      </w:r>
      <w:proofErr w:type="spellStart"/>
      <w:r w:rsidRPr="00F621F4">
        <w:rPr>
          <w:b/>
          <w:bCs/>
        </w:rPr>
        <w:t>augmentat</w:t>
      </w:r>
      <w:r>
        <w:rPr>
          <w:b/>
          <w:bCs/>
        </w:rPr>
        <w:t>or</w:t>
      </w:r>
      <w:proofErr w:type="spellEnd"/>
      <w:r>
        <w:rPr>
          <w:b/>
          <w:bCs/>
        </w:rPr>
        <w:t xml:space="preserve"> </w:t>
      </w:r>
      <w:r w:rsidRPr="000173A3">
        <w:rPr>
          <w:i/>
          <w:iCs/>
        </w:rPr>
        <w:t>(</w:t>
      </w:r>
      <w:proofErr w:type="spellStart"/>
      <w:r w:rsidRPr="000173A3">
        <w:rPr>
          <w:i/>
          <w:iCs/>
        </w:rPr>
        <w:t>Lorrimar</w:t>
      </w:r>
      <w:proofErr w:type="spellEnd"/>
      <w:r w:rsidRPr="000173A3">
        <w:rPr>
          <w:i/>
          <w:iCs/>
        </w:rPr>
        <w:t>, 2025)</w:t>
      </w:r>
      <w:r>
        <w:t xml:space="preserve">: this type of augmentation aligns with “New Age” spirituality. It is focused on </w:t>
      </w:r>
      <w:r w:rsidRPr="00134738">
        <w:rPr>
          <w:i/>
          <w:iCs/>
        </w:rPr>
        <w:t>grokking</w:t>
      </w:r>
      <w:r>
        <w:t xml:space="preserve"> the mind-body connection to achieve enhanced mental and spiritual abilities, such as heightened states of consciousness, wellness, and serenity, outside of traditional religion. We can thus describe spiritual </w:t>
      </w:r>
      <w:proofErr w:type="spellStart"/>
      <w:r>
        <w:t>augmentators</w:t>
      </w:r>
      <w:proofErr w:type="spellEnd"/>
      <w:r>
        <w:t xml:space="preserve">’ practices as a “merging of science and spirituality” </w:t>
      </w:r>
      <w:r>
        <w:fldChar w:fldCharType="begin"/>
      </w:r>
      <w:r w:rsidR="00CD2BCC">
        <w:instrText xml:space="preserve"> ADDIN ZOTERO_ITEM CSL_CITATION {"citationID":"ltySkRKs","properties":{"formattedCitation":"(Lorrimar, 2025)","plainCitation":"(Lorrimar, 2025)","dontUpdate":true,"noteIndex":0},"citationItems":[{"id":1578,"uris":["http://zotero.org/users/15245718/items/BXWJ4ZA9"],"itemData":{"id":1578,"type":"article-journal","abstract":"Biohacking, a do-it-yourself approach to optimising functionality of body and mind, encompasses a diverse range of practices, and might be understood as a particularly contemporary expression of a larger commitment to the malleability and individuality of the self. Biohackers remix scientific knowledge and technological innovations into bespoke individual solutions that differ markedly according to the sociopolitical context in which they are located. Through a science and technology studies approach that attends to these contextual configurations of technology in relation to human bodies, a conceptual analysis of the underlying motivations, alignment with broader hacker ethos and meaning-making contexts of contemporary biohacking approaches recommends a working model that breaks biohacking down into four strands for further research: DIYbio, spiritual augmentation, health and wellness optimisation and technological futurism.","container-title":"Medical Humanities","DOI":"10.1136/medhum-2025-013261","ISSN":"1468-215X, 1473-4265","language":"en","license":"© Author(s) (or their employer(s)) 2025. Re-use permitted under CC BY-NC. No commercial re-use. See rights and permissions. Published by BMJ Group.. http://creativecommons.org/licenses/by-nc/4.0/This is an open access article distributed in accordance with the Creative Commons Attribution Non Commercial (CC BY-NC 4.0) license, which permits others to distribute, remix, adapt, build upon this work non-commercially, and license their derivative works on different terms, provided the original work is properly cited, appropriate credit is given, any changes made indicated, and the use is non-commercial. See: http://creativecommons.org/licenses/by-nc/4.0/.","PMID":"40506091","publisher":"Institute of Medical Ethics","section":"Original research","source":"mh-bmj-com.kuleuven.e-bronnen.be","title":"What are ‘biohackers’ hacking? Identifying motivations and meaning-making frameworks","title-short":"What are ‘biohackers’ hacking?","URL":"https://mh.bmj.com/content/early/2025/06/11/medhum-2025-013261","author":[{"family":"Lorrimar","given":"Victoria"}],"accessed":{"date-parts":[["2025",8,14]]},"issued":{"date-parts":[["2025",6,12]]}}}],"schema":"https://github.com/citation-style-language/schema/raw/master/csl-citation.json"} </w:instrText>
      </w:r>
      <w:r>
        <w:fldChar w:fldCharType="separate"/>
      </w:r>
      <w:r w:rsidRPr="00134738">
        <w:rPr>
          <w:rFonts w:ascii="Aptos" w:hAnsi="Aptos"/>
        </w:rPr>
        <w:t>(</w:t>
      </w:r>
      <w:proofErr w:type="spellStart"/>
      <w:r w:rsidRPr="00134738">
        <w:rPr>
          <w:rFonts w:ascii="Aptos" w:hAnsi="Aptos"/>
        </w:rPr>
        <w:t>Lorrimar</w:t>
      </w:r>
      <w:proofErr w:type="spellEnd"/>
      <w:r w:rsidRPr="00134738">
        <w:rPr>
          <w:rFonts w:ascii="Aptos" w:hAnsi="Aptos"/>
        </w:rPr>
        <w:t>, 2025</w:t>
      </w:r>
      <w:r>
        <w:rPr>
          <w:rFonts w:ascii="Aptos" w:hAnsi="Aptos"/>
        </w:rPr>
        <w:t>, p. 5</w:t>
      </w:r>
      <w:r w:rsidRPr="00134738">
        <w:rPr>
          <w:rFonts w:ascii="Aptos" w:hAnsi="Aptos"/>
        </w:rPr>
        <w:t>)</w:t>
      </w:r>
      <w:r>
        <w:fldChar w:fldCharType="end"/>
      </w:r>
      <w:r>
        <w:t>. These people have diverse goals: they mainly have a concern for eco-justice and sustainability but there are also profiteering factions (e.g., selling luxury wellness products). They seek special experiences and to strengthen their identity and self-esteem. Contrary to superhumans, they are not against using technologies; they use a variety of techniques.</w:t>
      </w:r>
    </w:p>
    <w:p w14:paraId="4D23A965" w14:textId="77777777" w:rsidR="00C45E02" w:rsidRPr="00112D35" w:rsidRDefault="00C45E02" w:rsidP="00C45E02">
      <w:pPr>
        <w:pStyle w:val="ListParagraph"/>
        <w:numPr>
          <w:ilvl w:val="0"/>
          <w:numId w:val="2"/>
        </w:numPr>
      </w:pPr>
      <w:r w:rsidRPr="00C70261">
        <w:rPr>
          <w:u w:val="single"/>
        </w:rPr>
        <w:t>Human-technology relationship</w:t>
      </w:r>
      <w:r>
        <w:t>: independence. Technology is a tool for them to experience new things.</w:t>
      </w:r>
    </w:p>
    <w:p w14:paraId="0F458C53" w14:textId="77777777" w:rsidR="00957523" w:rsidRDefault="00957523" w:rsidP="00957523"/>
    <w:p w14:paraId="318730ED" w14:textId="3C6BAE16" w:rsidR="00957523" w:rsidRDefault="00957523" w:rsidP="00957523">
      <w:pPr>
        <w:pStyle w:val="ListParagraph"/>
        <w:numPr>
          <w:ilvl w:val="0"/>
          <w:numId w:val="1"/>
        </w:numPr>
      </w:pPr>
      <w:r w:rsidRPr="00F621F4">
        <w:rPr>
          <w:b/>
          <w:bCs/>
        </w:rPr>
        <w:t>Superhuman</w:t>
      </w:r>
      <w:r w:rsidRPr="0087369A">
        <w:t xml:space="preserve"> </w:t>
      </w:r>
      <w:r w:rsidRPr="000173A3">
        <w:rPr>
          <w:i/>
          <w:iCs/>
        </w:rPr>
        <w:t>(Rifai, 2022)</w:t>
      </w:r>
      <w:r>
        <w:t xml:space="preserve">: person monitoring and analyzing their body and lifestyle to improve their bodies without technological devices. When technological devices are used, it is only as a tool to achieve peak optimization. The goal is not to become a human-machine hybrid but to become even more biological. They aim to optimize their abilities through self-care and spirituality and ultimately improve their productivity. It is </w:t>
      </w:r>
      <w:r w:rsidR="00CB3AB7">
        <w:t xml:space="preserve">a solitary practice and it is </w:t>
      </w:r>
      <w:r>
        <w:t xml:space="preserve">often profit-seeking. </w:t>
      </w:r>
      <w:r w:rsidR="004D162D">
        <w:t>A well-known example is the</w:t>
      </w:r>
      <w:r>
        <w:t xml:space="preserve"> Quantified Self movement </w:t>
      </w:r>
      <w:r>
        <w:fldChar w:fldCharType="begin"/>
      </w:r>
      <w:r w:rsidR="00CD2BCC">
        <w:instrText xml:space="preserve"> ADDIN ZOTERO_ITEM CSL_CITATION {"citationID":"tWIsWzjW","properties":{"formattedCitation":"(Lorrimar, 2025; Rifai, 2022)","plainCitation":"(Lorrimar, 2025; Rifai, 2022)","noteIndex":0},"citationItems":[{"id":1578,"uris":["http://zotero.org/users/15245718/items/BXWJ4ZA9"],"itemData":{"id":1578,"type":"article-journal","abstract":"Biohacking, a do-it-yourself approach to optimising functionality of body and mind, encompasses a diverse range of practices, and might be understood as a particularly contemporary expression of a larger commitment to the malleability and individuality of the self. Biohackers remix scientific knowledge and technological innovations into bespoke individual solutions that differ markedly according to the sociopolitical context in which they are located. Through a science and technology studies approach that attends to these contextual configurations of technology in relation to human bodies, a conceptual analysis of the underlying motivations, alignment with broader hacker ethos and meaning-making contexts of contemporary biohacking approaches recommends a working model that breaks biohacking down into four strands for further research: DIYbio, spiritual augmentation, health and wellness optimisation and technological futurism.","container-title":"Medical Humanities","DOI":"10.1136/medhum-2025-013261","ISSN":"1468-215X, 1473-4265","language":"en","license":"© Author(s) (or their employer(s)) 2025. Re-use permitted under CC BY-NC. No commercial re-use. See rights and permissions. Published by BMJ Group.. http://creativecommons.org/licenses/by-nc/4.0/This is an open access article distributed in accordance with the Creative Commons Attribution Non Commercial (CC BY-NC 4.0) license, which permits others to distribute, remix, adapt, build upon this work non-commercially, and license their derivative works on different terms, provided the original work is properly cited, appropriate credit is given, any changes made indicated, and the use is non-commercial. See: http://creativecommons.org/licenses/by-nc/4.0/.","PMID":"40506091","publisher":"Institute of Medical Ethics","section":"Original research","source":"mh-bmj-com.kuleuven.e-bronnen.be","title":"What are ‘biohackers’ hacking? Identifying motivations and meaning-making frameworks","title-short":"What are ‘biohackers’ hacking?","URL":"https://mh.bmj.com/content/early/2025/06/11/medhum-2025-013261","author":[{"family":"Lorrimar","given":"Victoria"}],"accessed":{"date-parts":[["2025",8,14]]},"issued":{"date-parts":[["2025",6,12]]}}},{"id":1581,"uris":["http://zotero.org/users/15245718/items/AX8EJWG5"],"itemData":{"id":1581,"type":"article-journal","abstract":"Committed to providing a form of this-worldly salvation to its largely white, male, and wealthy practitioners, biohacking is a popular \"citizen science\" movement that applies a life-hacking mentality to the intimate spaces of the body by embracing DIY biology. Exploring the contours of its power and privilege in the United States today, this essay works to historicize the contemporary biohacking movement by attending to discourses produced by some of its key personalities, its depictions in popular media, and to the growing body of academic scholarship that seeks to theorize biohacking's logics and rhetorics. After first constructing a basic genealogy and typology of the movement, this essay then considers the religio-secular frameworks that shape biohacking's unique form of techno-utopia. In particular, it examines what kind of future individuals are being promised in a world where they are invited to become superhuman, if they have the time and resources to pursue immortality.","container-title":"RELIGION COMPASS","DOI":"10.1111/rec3.12451","ISSN":"1749-8171","issue":"11-12","journalAbbreviation":"Relig. Compass","language":"English","note":"number-of-pages: 10\npublisher-place: Hoboken\nWeb of Science ID: WOS:000888446000001","publisher":"Wiley","source":"Clarivate Analytics Web of Science","title":"Whose techno-utopia? Power, privilege, and the religio-secular frameworks of the contemporary biohacking movement","title-short":"Whose techno-utopia?","URL":"https://compass.onlinelibrary.wiley.com/doi/10.1111/rec3.12451","volume":"16","author":[{"family":"Rifai","given":"Emma"}],"accessed":{"date-parts":[["2025",8,14]]},"issued":{"date-parts":[["2022",11]]}}}],"schema":"https://github.com/citation-style-language/schema/raw/master/csl-citation.json"} </w:instrText>
      </w:r>
      <w:r>
        <w:fldChar w:fldCharType="separate"/>
      </w:r>
      <w:r w:rsidRPr="00DF6CFF">
        <w:rPr>
          <w:rFonts w:ascii="Aptos" w:hAnsi="Aptos"/>
        </w:rPr>
        <w:t>(</w:t>
      </w:r>
      <w:proofErr w:type="spellStart"/>
      <w:r w:rsidRPr="00DF6CFF">
        <w:rPr>
          <w:rFonts w:ascii="Aptos" w:hAnsi="Aptos"/>
        </w:rPr>
        <w:t>Lorrimar</w:t>
      </w:r>
      <w:proofErr w:type="spellEnd"/>
      <w:r w:rsidRPr="00DF6CFF">
        <w:rPr>
          <w:rFonts w:ascii="Aptos" w:hAnsi="Aptos"/>
        </w:rPr>
        <w:t>, 2025; Rifai, 2022)</w:t>
      </w:r>
      <w:r>
        <w:fldChar w:fldCharType="end"/>
      </w:r>
      <w:r w:rsidR="004D162D">
        <w:t>.</w:t>
      </w:r>
    </w:p>
    <w:p w14:paraId="4C736C2E" w14:textId="519B79F4" w:rsidR="00957523" w:rsidRDefault="00957523" w:rsidP="00957523">
      <w:pPr>
        <w:pStyle w:val="ListParagraph"/>
        <w:numPr>
          <w:ilvl w:val="0"/>
          <w:numId w:val="2"/>
        </w:numPr>
      </w:pPr>
      <w:r w:rsidRPr="00C70261">
        <w:rPr>
          <w:u w:val="single"/>
        </w:rPr>
        <w:t>Human-technology relationship</w:t>
      </w:r>
      <w:r>
        <w:t>: independence</w:t>
      </w:r>
      <w:r w:rsidR="00270EDA">
        <w:rPr>
          <w:rStyle w:val="CommentReference"/>
        </w:rPr>
        <w:t>.</w:t>
      </w:r>
      <w:r w:rsidR="00236900">
        <w:t xml:space="preserve"> Superhumans </w:t>
      </w:r>
      <w:r w:rsidR="00270EDA">
        <w:t>mostly do not interact with technology</w:t>
      </w:r>
      <w:r w:rsidR="000B587A">
        <w:t xml:space="preserve"> and do not consider it as having agency on its own.</w:t>
      </w:r>
    </w:p>
    <w:p w14:paraId="0DF5A93E" w14:textId="77777777" w:rsidR="00C45E02" w:rsidRDefault="00C45E02" w:rsidP="00CD2BCC">
      <w:pPr>
        <w:spacing w:line="276" w:lineRule="auto"/>
      </w:pPr>
    </w:p>
    <w:p w14:paraId="5C4A707F" w14:textId="2CD6FF7B" w:rsidR="00C45E02" w:rsidRDefault="00C45E02" w:rsidP="00CD2BCC">
      <w:pPr>
        <w:pStyle w:val="ListParagraph"/>
        <w:numPr>
          <w:ilvl w:val="0"/>
          <w:numId w:val="1"/>
        </w:numPr>
        <w:spacing w:line="276" w:lineRule="auto"/>
      </w:pPr>
      <w:r w:rsidRPr="00F621F4">
        <w:rPr>
          <w:b/>
          <w:bCs/>
        </w:rPr>
        <w:t>Transhum</w:t>
      </w:r>
      <w:r>
        <w:rPr>
          <w:b/>
          <w:bCs/>
        </w:rPr>
        <w:t xml:space="preserve">an </w:t>
      </w:r>
      <w:r w:rsidRPr="000173A3">
        <w:rPr>
          <w:i/>
          <w:iCs/>
        </w:rPr>
        <w:t>(The Transhumanist FAQ)</w:t>
      </w:r>
      <w:r>
        <w:t xml:space="preserve">: person who advocates for and believes in the possibility to develop technologies to “eliminate aging and to greatly enhance human intellectual, physical, and psychological capacities.” </w:t>
      </w:r>
      <w:r w:rsidRPr="00510BDA">
        <w:t>(The Transhumanist FAQ</w:t>
      </w:r>
      <w:r>
        <w:t xml:space="preserve"> as cited</w:t>
      </w:r>
      <w:r>
        <w:fldChar w:fldCharType="begin"/>
      </w:r>
      <w:r>
        <w:instrText xml:space="preserve"> ADDIN ZOTERO_ITEM CSL_CITATION {"citationID":"yaH0pYS4","properties":{"formattedCitation":"(Agar, 2013, p. 24)","plainCitation":"(Agar, 2013, p. 24)","dontUpdate":true,"noteIndex":0},"citationItems":[{"id":1351,"uris":["http://zotero.org/users/15245718/items/UIGLTHNL"],"itemData":{"id":1351,"type":"book","abstract":"The transformative potential of genetic and cybernetic technologies to enhance human capabilities is most often either rejected on moral and prudential grounds or hailed as the future salvation of humanity. In this book, Nicholas Agar offers a more nuanced view, making a case for moderate human enhancement -- improvements to attributes and abilities that do not significantly exceed what is currently possible for human beings. He argues against radical human enhancement, or improvements that greatly exceed current human capabilities.  Agar explores notions of transformative change and motives for human enhancement; distinguishes between the instrumental and intrinsic value of enhancements; argues that too much enhancement undermines human identity; considers the possibility of cognitively enhanced scientists; and argues against radical life extension. Making the case for moderate enhancement, Agar argues that many objections to enhancement are better understood as directed at the degree of enhancement rather than enhancement itself. Moderate human enhancement meets the requirement of truly human enhancement. By radically enhancing human cognitive capabilities, by contrast, we may inadvertently create beings (\"post-persons\") with moral status higher than that of persons. If we create beings more entitled to benefits and protections against harms than persons, Agar writes, this will be bad news for the unenhanced. Moderate human enhancement offers a more appealing vision of the future and of our relationship to technology.","event-place":"Cambridge","ISBN":"978-0-262-31897-6","publisher":"The MIT Press","publisher-place":"Cambridge","source":"Project MUSE","title":"Truly Human Enhancement: A Philosophical Defense of Limits","title-short":"Truly Human Enhancement","URL":"https://muse.jhu.edu/pub/6/monograph/book/28215","author":[{"family":"Agar","given":"Nicholas"}],"accessed":{"date-parts":[["2025",6,25]]},"issued":{"date-parts":[["2013"]]}},"locator":"24","label":"page"}],"schema":"https://github.com/citation-style-language/schema/raw/master/csl-citation.json"} </w:instrText>
      </w:r>
      <w:r>
        <w:fldChar w:fldCharType="separate"/>
      </w:r>
      <w:r>
        <w:rPr>
          <w:rFonts w:ascii="Aptos" w:hAnsi="Aptos"/>
        </w:rPr>
        <w:t xml:space="preserve"> in </w:t>
      </w:r>
      <w:r w:rsidRPr="00510BDA">
        <w:rPr>
          <w:rFonts w:ascii="Aptos" w:hAnsi="Aptos"/>
        </w:rPr>
        <w:t>Agar, 2013, p. 24)</w:t>
      </w:r>
      <w:r>
        <w:fldChar w:fldCharType="end"/>
      </w:r>
      <w:r>
        <w:t xml:space="preserve"> It includes a profit-seeking faction. Their ultimate goal is to transcend current human limitations and become “posthuman” through a fusion of human and technology </w:t>
      </w:r>
      <w:r>
        <w:fldChar w:fldCharType="begin"/>
      </w:r>
      <w:r>
        <w:instrText xml:space="preserve"> ADDIN ZOTERO_ITEM CSL_CITATION {"citationID":"phUEGmg2","properties":{"formattedCitation":"(Wendykowska, 2014)","plainCitation":"(Wendykowska, 2014)","noteIndex":0},"citationItems":[{"id":382,"uris":["http://zotero.org/users/15245718/items/DEHJEI66"],"itemData":{"id":382,"type":"article-journal","abstract":"The following article is to introduce the reader into a cultural and intellectual movement whose aim is to identify the need for improvement in human life in the sphere of physicality as well as mentality with the aid of modern technologies – transhumanism. With the dramatic change in the perception of technology, transhumanist welcome the opportunity to improve cognitive skills, help to perpetuate human happiness, or increase longevity. Although the opponents of the transhumanist thought dismiss it as “the world’s most dangerous idea,” the adversaries advocate that the alternation of human form is both practical and reasonable. With the use of modern technology, enthusiasts of transhumanism try to prove that the human body needs to be re-invented in order to transcend the natural limitations. In my work I will try to tackle the problem of human body being currently subject to gradual transition from Homo Sapiens to Robo Sapiens, the process of ‘becoming’ a cyborg. By incorporating bodily augmentation, contemporary artists such as Stelarc or Neil Harbisson cast a light on the change of physical form, as well as the definition of being human. Evoking much controversy, transhumanism brings a completely new dimension to the understanding of the current human condition.","container-title":"Analyses/Rereadings/Theories","DOI":"10.18778/2353-6098.2.11","ISSN":"2353-6098","issue":"2","language":"en","license":"Copyright (c) 2023","note":"number: 2","page":"29-38","source":"czasopisma.uni.lodz.pl","title":"Approaching Transhumanism: On How Human Beings Transform in the 21st Century","title-short":"Approaching Transhumanism","volume":"2","author":[{"family":"Wendykowska","given":"Emilia"}],"issued":{"date-parts":[["2014",12,30]]}}}],"schema":"https://github.com/citation-style-language/schema/raw/master/csl-citation.json"} </w:instrText>
      </w:r>
      <w:r>
        <w:fldChar w:fldCharType="separate"/>
      </w:r>
      <w:r w:rsidRPr="00557352">
        <w:rPr>
          <w:rFonts w:ascii="Aptos" w:hAnsi="Aptos"/>
        </w:rPr>
        <w:t>(Wendykowska, 2014)</w:t>
      </w:r>
      <w:r>
        <w:fldChar w:fldCharType="end"/>
      </w:r>
      <w:r>
        <w:t xml:space="preserve">. This involves constant self-improvement thanks to (notably) self-experimentation and a subsidiary purpose of life extension. It entails a speculative approach </w:t>
      </w:r>
      <w:r>
        <w:fldChar w:fldCharType="begin"/>
      </w:r>
      <w:r w:rsidR="00CD2BCC">
        <w:instrText xml:space="preserve"> ADDIN ZOTERO_ITEM CSL_CITATION {"citationID":"CEyuH4Nd","properties":{"formattedCitation":"(De Boeck &amp; Vaes, 2024, p. 67)","plainCitation":"(De Boeck &amp; Vaes, 2024, p. 67)","noteIndex":0},"citationItems":[{"id":108,"uris":["http://zotero.org/users/15245718/items/AS7LYGU5"],"itemData":{"id":108,"type":"article-journal","abstract":"Along with the growing impact of rapidly advancing technology on human life, interest in improving human abilities has increased. ‘Human augmentation’ refers to human-computer integration technology, aiming to restore, supplement, or even exceed human potential. As such, human augmentation may be used by anyone, ranging from people who face an impairment or a dangerous situation to healthy people who want to improve their current capabilities or even acquire abilities that are beyond normal human capabilities. This article introduces the field of human augmentation by discussing definitions of human augmentation and related terms. Subsequently, a categorical and dimensional classification of the field is given to structure the domain. Based on our findings from the literature, we propose a framework to support product designers in understanding, navigating, and characterizing the human augmentation product they are designing. This framework was applied in academic practice over three consecutive years, challenging prospective product designers to explore human augmentation. Ultimately, 123 student projects were collected and analyzed with the aim of elaborating on our framework based on concrete design strategies. Future research is set to implement the design strategies in a tool that facilitates idea generation and sparks creativity in the field of human augmentation.","container-title":"International Journal of Design Creativity and Innovation","DOI":"10.1080/21650349.2023.2288125","ISSN":"2165-0349","issue":"1","note":"number: 1\n_eprint: https://doi.org/10.1080/21650349.2023.2288125","page":"61-80","publisher":"Taylor &amp; Francis","source":"Taylor and Francis+NEJM","title":"Human augmentation and its new design perspectives","volume":"12","author":[{"family":"De Boeck","given":"Muriel"},{"family":"Vaes","given":"Kristof"}],"issued":{"date-parts":[["2024",1,2]]}},"locator":"67","label":"page"}],"schema":"https://github.com/citation-style-language/schema/raw/master/csl-citation.json"} </w:instrText>
      </w:r>
      <w:r>
        <w:fldChar w:fldCharType="separate"/>
      </w:r>
      <w:r w:rsidRPr="00E660F1">
        <w:rPr>
          <w:rFonts w:ascii="Aptos" w:hAnsi="Aptos"/>
        </w:rPr>
        <w:t>(De Boeck &amp; Vaes, 2024, p. 67)</w:t>
      </w:r>
      <w:r>
        <w:fldChar w:fldCharType="end"/>
      </w:r>
      <w:r>
        <w:t xml:space="preserve">. It also implies a certain technological determinism that states that the </w:t>
      </w:r>
      <w:proofErr w:type="spellStart"/>
      <w:r>
        <w:t>cyborgization</w:t>
      </w:r>
      <w:proofErr w:type="spellEnd"/>
      <w:r>
        <w:t xml:space="preserve"> of humanity is inevitable </w:t>
      </w:r>
      <w:r>
        <w:fldChar w:fldCharType="begin"/>
      </w:r>
      <w:r>
        <w:instrText xml:space="preserve"> ADDIN ZOTERO_ITEM CSL_CITATION {"citationID":"MikWdSFi","properties":{"formattedCitation":"(Olarte-Pascual et al., 2021)","plainCitation":"(Olarte-Pascual et al., 2021)","noteIndex":0},"citationItems":[{"id":513,"uris":["http://zotero.org/users/15245718/items/PR43CNNC"],"itemData":{"id":513,"type":"article-journal","abstract":"The advent of intelligent wearable (external devices, such as watches and clothing) and insideable (implanted devices, such as identification chips or chips that control technological devices) human-capacity enhancing technologies has opened an ethical debate about their development and use in society. Based on data from an international sample of 1563 digital natives, a model is proposed and tested (1) that introduces ethical judgment and its five dimensions (“moral equity”, “relativism”, “utilitarianism”, “egoism” and “contractualism”) to explain intention to use intelligent capacity-enhancing technological devices; (2) that helps to explain the technological leap involved in moving from wearing technologies to incorporating them into the human body, through the moderating role that technology type has in the relationship between ethical judgment and intention to use. The results showed that: (1) Ethical judgment is key for the acceptance of wearables and insideables, and has greater explanatory capacity for insideables than for wearables; (2) “Egoism” has the highest explanatory power for intention to use insideables and “utilitarianism” is the most important dimension for intention to use wearables. Finally, a series of operational implications are proposed to guide the development and commercialisation of devices, while taking into account the ethical judgment of the users.","container-title":"Computers in Human Behavior","DOI":"10.1016/j.chb.2020.106559","ISSN":"0747-5632","journalAbbreviation":"Computers in Human Behavior","page":"106559","source":"ScienceDirect","title":"From wearable to insideable: Is ethical judgment key to the acceptance of human capacity-enhancing intelligent technologies?","title-short":"From wearable to insideable","volume":"114","author":[{"family":"Olarte-Pascual","given":"Cristina"},{"family":"Pelegrín-Borondo","given":"Jorge"},{"family":"Arias-Oliva","given":"Mario"}],"issued":{"date-parts":[["2021",1,1]]}}}],"schema":"https://github.com/citation-style-language/schema/raw/master/csl-citation.json"} </w:instrText>
      </w:r>
      <w:r>
        <w:fldChar w:fldCharType="separate"/>
      </w:r>
      <w:r w:rsidRPr="005D7D2B">
        <w:rPr>
          <w:rFonts w:ascii="Aptos" w:hAnsi="Aptos"/>
        </w:rPr>
        <w:t>(Olarte-Pascual et al., 2021)</w:t>
      </w:r>
      <w:r>
        <w:fldChar w:fldCharType="end"/>
      </w:r>
      <w:r>
        <w:t>, as well as a belief in reason and progress.</w:t>
      </w:r>
    </w:p>
    <w:p w14:paraId="2ECAAF80" w14:textId="04DA4117" w:rsidR="00C45E02" w:rsidRDefault="00C45E02" w:rsidP="00CD2BCC">
      <w:pPr>
        <w:pStyle w:val="ListParagraph"/>
        <w:numPr>
          <w:ilvl w:val="0"/>
          <w:numId w:val="2"/>
        </w:numPr>
        <w:spacing w:line="276" w:lineRule="auto"/>
      </w:pPr>
      <w:r w:rsidRPr="00C70261">
        <w:rPr>
          <w:u w:val="single"/>
        </w:rPr>
        <w:t>Human-technology relationship</w:t>
      </w:r>
      <w:r>
        <w:t xml:space="preserve">: independence as it is right now, because they consider technology as a tool to improve human abilities </w:t>
      </w:r>
      <w:r>
        <w:fldChar w:fldCharType="begin"/>
      </w:r>
      <w:r>
        <w:instrText xml:space="preserve"> ADDIN ZOTERO_ITEM CSL_CITATION {"citationID":"RSaxwpNd","properties":{"formattedCitation":"(More &amp; Vita-More, 2013)","plainCitation":"(More &amp; Vita-More, 2013)","noteIndex":0},"citationItems":[{"id":501,"uris":["http://zotero.org/users/15245718/items/Y4K7A2I6"],"itemData":{"id":501,"type":"book","event-place":"Malden","ISBN":"978-1-118-33431-7","language":"en","publisher":"Wiley-Blackwell","publisher-place":"Malden","source":"BnF ISBN","title":"The transhumanist reader: classical and contemporary essays on the science, technology, and philosophy of the human future","title-short":"The transhumanist reader","author":[{"family":"More","given":"Max"},{"family":"Vita-More","given":"Natasha"}],"issued":{"date-parts":[["2013"]]}}}],"schema":"https://github.com/citation-style-language/schema/raw/master/csl-citation.json"} </w:instrText>
      </w:r>
      <w:r>
        <w:fldChar w:fldCharType="separate"/>
      </w:r>
      <w:r w:rsidRPr="00046EBC">
        <w:rPr>
          <w:rFonts w:ascii="Aptos" w:hAnsi="Aptos"/>
        </w:rPr>
        <w:t>(More &amp; Vita-More, 2013)</w:t>
      </w:r>
      <w:r>
        <w:fldChar w:fldCharType="end"/>
      </w:r>
      <w:r>
        <w:t xml:space="preserve">. The technology is chosen to fit the individual’s personal project </w:t>
      </w:r>
      <w:r>
        <w:fldChar w:fldCharType="begin"/>
      </w:r>
      <w:r>
        <w:instrText xml:space="preserve"> ADDIN ZOTERO_ITEM CSL_CITATION {"citationID":"ZY8XnN7I","properties":{"formattedCitation":"(Gauttier, 2019)","plainCitation":"(Gauttier, 2019)","noteIndex":0},"citationItems":[{"id":480,"uris":["http://zotero.org/users/15245718/items/93WBKJK8"],"itemData":{"id":480,"type":"article-journal","abstract":"The literature on human enhancement has long been limited to the fields of bioethics and philosophy, confining itself to an ideological battle. However, scholars have called for empirical data to move the debate forward. While there is a nascent literature on attitudes toward the human enhancement technology, there has been no scholarly examination of the experience of enhancement. Yet, risks and ethical issues reveal themselves through use. This paper focuses on a new form of cyborg technology for cognitive enhancement on the market: exosenses, that is, external senses. Three cases of the use of exosenses are presented. The experience of exosense users is analyzed based on interviews published in the media and videos posted by the users themselves. A thematic analysis is conducted. The different dimensions of the experiences are revealed. The first one pertains to defining augmentation, the second one is the natural character of exosenses, third one is the impact that the exosense has on real life, the fourth theme is about personal identity and exosense, and finally, the fifth theme revolves around the risks and opportunities presented by the use of exosenses.","container-title":"Human Behavior and Emerging Technologies","DOI":"10.1002/hbe2.174","journalAbbreviation":"Human Behavior and Emerging Technologies","source":"ResearchGate","title":"Enhancing oneself with an exosense: Learning from users' experiences","title-short":"Enhancing oneself with an exosense","volume":"1","author":[{"family":"Gauttier","given":"Stéphanie"}],"issued":{"date-parts":[["2019",10,4]]}}}],"schema":"https://github.com/citation-style-language/schema/raw/master/csl-citation.json"} </w:instrText>
      </w:r>
      <w:r>
        <w:fldChar w:fldCharType="separate"/>
      </w:r>
      <w:r w:rsidRPr="00307193">
        <w:rPr>
          <w:rFonts w:ascii="Aptos" w:hAnsi="Aptos"/>
        </w:rPr>
        <w:t>(Gauttier, 2019)</w:t>
      </w:r>
      <w:r>
        <w:fldChar w:fldCharType="end"/>
      </w:r>
      <w:r>
        <w:t xml:space="preserve">. However, their objective is to reach the fusion of human and technology, which would enter the (currently speculative) category of </w:t>
      </w:r>
      <w:proofErr w:type="spellStart"/>
      <w:r>
        <w:t>transdependence</w:t>
      </w:r>
      <w:proofErr w:type="spellEnd"/>
      <w:r>
        <w:t xml:space="preserve">. </w:t>
      </w:r>
    </w:p>
    <w:p w14:paraId="30BB828A" w14:textId="77777777" w:rsidR="00C45E02" w:rsidRDefault="00C45E02" w:rsidP="00CD2BCC">
      <w:pPr>
        <w:spacing w:line="276" w:lineRule="auto"/>
      </w:pPr>
    </w:p>
    <w:p w14:paraId="20635B20" w14:textId="405A011A" w:rsidR="00900919" w:rsidRDefault="00CD2BCC" w:rsidP="00CD2BCC">
      <w:pPr>
        <w:pStyle w:val="Heading3"/>
        <w:spacing w:line="276" w:lineRule="auto"/>
      </w:pPr>
      <w:r>
        <w:t>References</w:t>
      </w:r>
    </w:p>
    <w:p w14:paraId="68A86C0A" w14:textId="77777777" w:rsidR="00CD2BCC" w:rsidRPr="00CD2BCC" w:rsidRDefault="00CD2BCC" w:rsidP="00CD2BCC">
      <w:pPr>
        <w:pStyle w:val="Bibliography"/>
        <w:numPr>
          <w:ilvl w:val="0"/>
          <w:numId w:val="5"/>
        </w:numPr>
        <w:spacing w:line="276" w:lineRule="auto"/>
        <w:rPr>
          <w:rFonts w:ascii="Aptos" w:hAnsi="Aptos"/>
        </w:rPr>
      </w:pPr>
      <w:r>
        <w:fldChar w:fldCharType="begin"/>
      </w:r>
      <w:r>
        <w:instrText xml:space="preserve"> ADDIN ZOTERO_BIBL {"uncited":[],"omitted":[],"custom":[]} CSL_BIBLIOGRAPHY </w:instrText>
      </w:r>
      <w:r>
        <w:fldChar w:fldCharType="separate"/>
      </w:r>
      <w:r w:rsidRPr="00CD2BCC">
        <w:rPr>
          <w:rFonts w:ascii="Aptos" w:hAnsi="Aptos"/>
        </w:rPr>
        <w:t xml:space="preserve">Agar, N. (2013). </w:t>
      </w:r>
      <w:r w:rsidRPr="00CD2BCC">
        <w:rPr>
          <w:rFonts w:ascii="Aptos" w:hAnsi="Aptos"/>
          <w:i/>
          <w:iCs/>
        </w:rPr>
        <w:t>Truly Human Enhancement: A Philosophical Defense of Limits</w:t>
      </w:r>
      <w:r w:rsidRPr="00CD2BCC">
        <w:rPr>
          <w:rFonts w:ascii="Aptos" w:hAnsi="Aptos"/>
        </w:rPr>
        <w:t>. The MIT Press. https://muse.jhu.edu/pub/6/monograph/book/28215</w:t>
      </w:r>
    </w:p>
    <w:p w14:paraId="2045A62F" w14:textId="77777777" w:rsidR="00CD2BCC" w:rsidRPr="00CD2BCC" w:rsidRDefault="00CD2BCC" w:rsidP="00CD2BCC">
      <w:pPr>
        <w:pStyle w:val="Bibliography"/>
        <w:numPr>
          <w:ilvl w:val="0"/>
          <w:numId w:val="5"/>
        </w:numPr>
        <w:spacing w:line="276" w:lineRule="auto"/>
        <w:rPr>
          <w:rFonts w:ascii="Aptos" w:hAnsi="Aptos"/>
        </w:rPr>
      </w:pPr>
      <w:r w:rsidRPr="00CD2BCC">
        <w:rPr>
          <w:rFonts w:ascii="Aptos" w:hAnsi="Aptos"/>
          <w:lang w:val="nl-BE"/>
        </w:rPr>
        <w:t xml:space="preserve">De </w:t>
      </w:r>
      <w:proofErr w:type="spellStart"/>
      <w:r w:rsidRPr="00CD2BCC">
        <w:rPr>
          <w:rFonts w:ascii="Aptos" w:hAnsi="Aptos"/>
          <w:lang w:val="nl-BE"/>
        </w:rPr>
        <w:t>Boeck</w:t>
      </w:r>
      <w:proofErr w:type="spellEnd"/>
      <w:r w:rsidRPr="00CD2BCC">
        <w:rPr>
          <w:rFonts w:ascii="Aptos" w:hAnsi="Aptos"/>
          <w:lang w:val="nl-BE"/>
        </w:rPr>
        <w:t xml:space="preserve">, M., &amp; </w:t>
      </w:r>
      <w:proofErr w:type="spellStart"/>
      <w:r w:rsidRPr="00CD2BCC">
        <w:rPr>
          <w:rFonts w:ascii="Aptos" w:hAnsi="Aptos"/>
          <w:lang w:val="nl-BE"/>
        </w:rPr>
        <w:t>Vaes</w:t>
      </w:r>
      <w:proofErr w:type="spellEnd"/>
      <w:r w:rsidRPr="00CD2BCC">
        <w:rPr>
          <w:rFonts w:ascii="Aptos" w:hAnsi="Aptos"/>
          <w:lang w:val="nl-BE"/>
        </w:rPr>
        <w:t xml:space="preserve">, K. (2024). </w:t>
      </w:r>
      <w:r w:rsidRPr="00CD2BCC">
        <w:rPr>
          <w:rFonts w:ascii="Aptos" w:hAnsi="Aptos"/>
        </w:rPr>
        <w:t xml:space="preserve">Human augmentation and its new design perspectives. </w:t>
      </w:r>
      <w:r w:rsidRPr="00CD2BCC">
        <w:rPr>
          <w:rFonts w:ascii="Aptos" w:hAnsi="Aptos"/>
          <w:i/>
          <w:iCs/>
        </w:rPr>
        <w:t>International Journal of Design Creativity and Innovation</w:t>
      </w:r>
      <w:r w:rsidRPr="00CD2BCC">
        <w:rPr>
          <w:rFonts w:ascii="Aptos" w:hAnsi="Aptos"/>
        </w:rPr>
        <w:t xml:space="preserve">, </w:t>
      </w:r>
      <w:r w:rsidRPr="00CD2BCC">
        <w:rPr>
          <w:rFonts w:ascii="Aptos" w:hAnsi="Aptos"/>
          <w:i/>
          <w:iCs/>
        </w:rPr>
        <w:t>12</w:t>
      </w:r>
      <w:r w:rsidRPr="00CD2BCC">
        <w:rPr>
          <w:rFonts w:ascii="Aptos" w:hAnsi="Aptos"/>
        </w:rPr>
        <w:t>(1), Article 1. https://doi.org/10.1080/21650349.2023.2288125</w:t>
      </w:r>
    </w:p>
    <w:p w14:paraId="2B0517CA" w14:textId="77777777" w:rsidR="00CD2BCC" w:rsidRPr="00CD2BCC" w:rsidRDefault="00CD2BCC" w:rsidP="00CD2BCC">
      <w:pPr>
        <w:pStyle w:val="Bibliography"/>
        <w:numPr>
          <w:ilvl w:val="0"/>
          <w:numId w:val="5"/>
        </w:numPr>
        <w:spacing w:line="276" w:lineRule="auto"/>
        <w:rPr>
          <w:rFonts w:ascii="Aptos" w:hAnsi="Aptos"/>
        </w:rPr>
      </w:pPr>
      <w:proofErr w:type="spellStart"/>
      <w:r w:rsidRPr="00CD2BCC">
        <w:rPr>
          <w:rFonts w:ascii="Aptos" w:hAnsi="Aptos"/>
        </w:rPr>
        <w:t>Gauttier</w:t>
      </w:r>
      <w:proofErr w:type="spellEnd"/>
      <w:r w:rsidRPr="00CD2BCC">
        <w:rPr>
          <w:rFonts w:ascii="Aptos" w:hAnsi="Aptos"/>
        </w:rPr>
        <w:t xml:space="preserve">, S. (2019). Enhancing oneself with an </w:t>
      </w:r>
      <w:proofErr w:type="spellStart"/>
      <w:r w:rsidRPr="00CD2BCC">
        <w:rPr>
          <w:rFonts w:ascii="Aptos" w:hAnsi="Aptos"/>
        </w:rPr>
        <w:t>exosense</w:t>
      </w:r>
      <w:proofErr w:type="spellEnd"/>
      <w:r w:rsidRPr="00CD2BCC">
        <w:rPr>
          <w:rFonts w:ascii="Aptos" w:hAnsi="Aptos"/>
        </w:rPr>
        <w:t xml:space="preserve">: Learning from users’ experiences. </w:t>
      </w:r>
      <w:r w:rsidRPr="00CD2BCC">
        <w:rPr>
          <w:rFonts w:ascii="Aptos" w:hAnsi="Aptos"/>
          <w:i/>
          <w:iCs/>
        </w:rPr>
        <w:t>Human Behavior and Emerging Technologies</w:t>
      </w:r>
      <w:r w:rsidRPr="00CD2BCC">
        <w:rPr>
          <w:rFonts w:ascii="Aptos" w:hAnsi="Aptos"/>
        </w:rPr>
        <w:t xml:space="preserve">, </w:t>
      </w:r>
      <w:r w:rsidRPr="00CD2BCC">
        <w:rPr>
          <w:rFonts w:ascii="Aptos" w:hAnsi="Aptos"/>
          <w:i/>
          <w:iCs/>
        </w:rPr>
        <w:t>1</w:t>
      </w:r>
      <w:r w:rsidRPr="00CD2BCC">
        <w:rPr>
          <w:rFonts w:ascii="Aptos" w:hAnsi="Aptos"/>
        </w:rPr>
        <w:t>. https://doi.org/10.1002/hbe2.174</w:t>
      </w:r>
    </w:p>
    <w:p w14:paraId="7D6E7B7E" w14:textId="77777777" w:rsidR="00CD2BCC" w:rsidRPr="00CD2BCC" w:rsidRDefault="00CD2BCC" w:rsidP="00CD2BCC">
      <w:pPr>
        <w:pStyle w:val="Bibliography"/>
        <w:numPr>
          <w:ilvl w:val="0"/>
          <w:numId w:val="5"/>
        </w:numPr>
        <w:spacing w:line="276" w:lineRule="auto"/>
        <w:rPr>
          <w:rFonts w:ascii="Aptos" w:hAnsi="Aptos"/>
          <w:lang w:val="fr-BE"/>
        </w:rPr>
      </w:pPr>
      <w:r w:rsidRPr="00CD2BCC">
        <w:rPr>
          <w:rFonts w:ascii="Aptos" w:hAnsi="Aptos"/>
        </w:rPr>
        <w:t xml:space="preserve">Haddow, G., King, E., Kunkler, I., &amp; McLaren, D. (2015). Cyborgs in the Everyday: Masculinity and Biosensing Prostate Cancer. </w:t>
      </w:r>
      <w:r w:rsidRPr="00CD2BCC">
        <w:rPr>
          <w:rFonts w:ascii="Aptos" w:hAnsi="Aptos"/>
          <w:i/>
          <w:iCs/>
          <w:lang w:val="fr-BE"/>
        </w:rPr>
        <w:t>Science as Culture</w:t>
      </w:r>
      <w:r w:rsidRPr="00CD2BCC">
        <w:rPr>
          <w:rFonts w:ascii="Aptos" w:hAnsi="Aptos"/>
          <w:lang w:val="fr-BE"/>
        </w:rPr>
        <w:t xml:space="preserve">, </w:t>
      </w:r>
      <w:r w:rsidRPr="00CD2BCC">
        <w:rPr>
          <w:rFonts w:ascii="Aptos" w:hAnsi="Aptos"/>
          <w:i/>
          <w:iCs/>
          <w:lang w:val="fr-BE"/>
        </w:rPr>
        <w:t>24</w:t>
      </w:r>
      <w:r w:rsidRPr="00CD2BCC">
        <w:rPr>
          <w:rFonts w:ascii="Aptos" w:hAnsi="Aptos"/>
          <w:lang w:val="fr-BE"/>
        </w:rPr>
        <w:t>(4), 484–506. https://doi.org/10.1080/09505431.2015.1063597</w:t>
      </w:r>
    </w:p>
    <w:p w14:paraId="12848C2F" w14:textId="77777777" w:rsidR="00CD2BCC" w:rsidRPr="00CD2BCC" w:rsidRDefault="00CD2BCC" w:rsidP="00CD2BCC">
      <w:pPr>
        <w:pStyle w:val="Bibliography"/>
        <w:numPr>
          <w:ilvl w:val="0"/>
          <w:numId w:val="5"/>
        </w:numPr>
        <w:spacing w:line="276" w:lineRule="auto"/>
        <w:rPr>
          <w:rFonts w:ascii="Aptos" w:hAnsi="Aptos"/>
        </w:rPr>
      </w:pPr>
      <w:r w:rsidRPr="00CD2BCC">
        <w:rPr>
          <w:rFonts w:ascii="Aptos" w:hAnsi="Aptos"/>
          <w:lang w:val="fr-BE"/>
        </w:rPr>
        <w:t xml:space="preserve">Humphries, J., de Ven, P. V., &amp; Ryan, A. (2023). </w:t>
      </w:r>
      <w:r w:rsidRPr="00CD2BCC">
        <w:rPr>
          <w:rFonts w:ascii="Aptos" w:hAnsi="Aptos"/>
        </w:rPr>
        <w:t xml:space="preserve">Augmenting the Human in Industry 4.0 to Add Value: A Taxonomy of Human Augmentation Approach. In H. P. DaSilva &amp; P. </w:t>
      </w:r>
      <w:proofErr w:type="spellStart"/>
      <w:r w:rsidRPr="00CD2BCC">
        <w:rPr>
          <w:rFonts w:ascii="Aptos" w:hAnsi="Aptos"/>
        </w:rPr>
        <w:t>Cipresso</w:t>
      </w:r>
      <w:proofErr w:type="spellEnd"/>
      <w:r w:rsidRPr="00CD2BCC">
        <w:rPr>
          <w:rFonts w:ascii="Aptos" w:hAnsi="Aptos"/>
        </w:rPr>
        <w:t xml:space="preserve"> (Eds.), </w:t>
      </w:r>
      <w:r w:rsidRPr="00CD2BCC">
        <w:rPr>
          <w:rFonts w:ascii="Aptos" w:hAnsi="Aptos"/>
          <w:i/>
          <w:iCs/>
        </w:rPr>
        <w:t>COMPUTER-HUMAN INTERACTION RESEARCH AND APPLICATIONS, CHIRA 2023, PT I</w:t>
      </w:r>
      <w:r w:rsidRPr="00CD2BCC">
        <w:rPr>
          <w:rFonts w:ascii="Aptos" w:hAnsi="Aptos"/>
        </w:rPr>
        <w:t xml:space="preserve"> (Vol. 1996, pp. 318–335). Springer International Publishing Ag. https://doi.org/10.1007/978-3-031-49425-3_20</w:t>
      </w:r>
    </w:p>
    <w:p w14:paraId="0202A0D9" w14:textId="77777777" w:rsidR="00CD2BCC" w:rsidRPr="00CD2BCC" w:rsidRDefault="00CD2BCC" w:rsidP="00CD2BCC">
      <w:pPr>
        <w:pStyle w:val="Bibliography"/>
        <w:numPr>
          <w:ilvl w:val="0"/>
          <w:numId w:val="5"/>
        </w:numPr>
        <w:spacing w:line="276" w:lineRule="auto"/>
        <w:rPr>
          <w:rFonts w:ascii="Aptos" w:hAnsi="Aptos"/>
        </w:rPr>
      </w:pPr>
      <w:proofErr w:type="spellStart"/>
      <w:r w:rsidRPr="00CD2BCC">
        <w:rPr>
          <w:rFonts w:ascii="Aptos" w:hAnsi="Aptos"/>
        </w:rPr>
        <w:t>Lorrimar</w:t>
      </w:r>
      <w:proofErr w:type="spellEnd"/>
      <w:r w:rsidRPr="00CD2BCC">
        <w:rPr>
          <w:rFonts w:ascii="Aptos" w:hAnsi="Aptos"/>
        </w:rPr>
        <w:t xml:space="preserve">, V. (2025). What are ‘biohackers’ hacking? Identifying motivations and meaning-making frameworks. </w:t>
      </w:r>
      <w:r w:rsidRPr="00CD2BCC">
        <w:rPr>
          <w:rFonts w:ascii="Aptos" w:hAnsi="Aptos"/>
          <w:i/>
          <w:iCs/>
        </w:rPr>
        <w:t>Medical Humanities</w:t>
      </w:r>
      <w:r w:rsidRPr="00CD2BCC">
        <w:rPr>
          <w:rFonts w:ascii="Aptos" w:hAnsi="Aptos"/>
        </w:rPr>
        <w:t>. https://doi.org/10.1136/medhum-2025-013261</w:t>
      </w:r>
    </w:p>
    <w:p w14:paraId="39E15A08" w14:textId="77777777" w:rsidR="00CD2BCC" w:rsidRPr="00CD2BCC" w:rsidRDefault="00CD2BCC" w:rsidP="00CD2BCC">
      <w:pPr>
        <w:pStyle w:val="Bibliography"/>
        <w:numPr>
          <w:ilvl w:val="0"/>
          <w:numId w:val="5"/>
        </w:numPr>
        <w:spacing w:line="276" w:lineRule="auto"/>
        <w:rPr>
          <w:rFonts w:ascii="Aptos" w:hAnsi="Aptos"/>
          <w:lang w:val="es-ES"/>
        </w:rPr>
      </w:pPr>
      <w:r w:rsidRPr="00CD2BCC">
        <w:rPr>
          <w:rFonts w:ascii="Aptos" w:hAnsi="Aptos"/>
        </w:rPr>
        <w:t xml:space="preserve">More, M., &amp; Vita-More, N. (2013). </w:t>
      </w:r>
      <w:r w:rsidRPr="00CD2BCC">
        <w:rPr>
          <w:rFonts w:ascii="Aptos" w:hAnsi="Aptos"/>
          <w:i/>
          <w:iCs/>
        </w:rPr>
        <w:t>The transhumanist reader: Classical and contemporary essays on the science, technology, and philosophy of the human future</w:t>
      </w:r>
      <w:r w:rsidRPr="00CD2BCC">
        <w:rPr>
          <w:rFonts w:ascii="Aptos" w:hAnsi="Aptos"/>
        </w:rPr>
        <w:t xml:space="preserve">. </w:t>
      </w:r>
      <w:r w:rsidRPr="00CD2BCC">
        <w:rPr>
          <w:rFonts w:ascii="Aptos" w:hAnsi="Aptos"/>
          <w:lang w:val="es-ES"/>
        </w:rPr>
        <w:t>Wiley-Blackwell.</w:t>
      </w:r>
    </w:p>
    <w:p w14:paraId="1547BD67" w14:textId="77777777" w:rsidR="00CD2BCC" w:rsidRPr="00CD2BCC" w:rsidRDefault="00CD2BCC" w:rsidP="00CD2BCC">
      <w:pPr>
        <w:pStyle w:val="Bibliography"/>
        <w:numPr>
          <w:ilvl w:val="0"/>
          <w:numId w:val="5"/>
        </w:numPr>
        <w:spacing w:line="276" w:lineRule="auto"/>
        <w:rPr>
          <w:rFonts w:ascii="Aptos" w:hAnsi="Aptos"/>
        </w:rPr>
      </w:pPr>
      <w:r w:rsidRPr="00CD2BCC">
        <w:rPr>
          <w:rFonts w:ascii="Aptos" w:hAnsi="Aptos"/>
          <w:lang w:val="es-ES"/>
        </w:rPr>
        <w:t>Olarte-Pascual, C., Pelegrín-</w:t>
      </w:r>
      <w:proofErr w:type="spellStart"/>
      <w:r w:rsidRPr="00CD2BCC">
        <w:rPr>
          <w:rFonts w:ascii="Aptos" w:hAnsi="Aptos"/>
          <w:lang w:val="es-ES"/>
        </w:rPr>
        <w:t>Borondo</w:t>
      </w:r>
      <w:proofErr w:type="spellEnd"/>
      <w:r w:rsidRPr="00CD2BCC">
        <w:rPr>
          <w:rFonts w:ascii="Aptos" w:hAnsi="Aptos"/>
          <w:lang w:val="es-ES"/>
        </w:rPr>
        <w:t xml:space="preserve">, J., &amp; Arias-Oliva, M. (2021). </w:t>
      </w:r>
      <w:r w:rsidRPr="00CD2BCC">
        <w:rPr>
          <w:rFonts w:ascii="Aptos" w:hAnsi="Aptos"/>
        </w:rPr>
        <w:t xml:space="preserve">From wearable to </w:t>
      </w:r>
      <w:proofErr w:type="spellStart"/>
      <w:r w:rsidRPr="00CD2BCC">
        <w:rPr>
          <w:rFonts w:ascii="Aptos" w:hAnsi="Aptos"/>
        </w:rPr>
        <w:t>insideable</w:t>
      </w:r>
      <w:proofErr w:type="spellEnd"/>
      <w:r w:rsidRPr="00CD2BCC">
        <w:rPr>
          <w:rFonts w:ascii="Aptos" w:hAnsi="Aptos"/>
        </w:rPr>
        <w:t xml:space="preserve">: Is ethical judgment key to the acceptance of human capacity-enhancing intelligent technologies? </w:t>
      </w:r>
      <w:r w:rsidRPr="00CD2BCC">
        <w:rPr>
          <w:rFonts w:ascii="Aptos" w:hAnsi="Aptos"/>
          <w:i/>
          <w:iCs/>
        </w:rPr>
        <w:t>Computers in Human Behavior</w:t>
      </w:r>
      <w:r w:rsidRPr="00CD2BCC">
        <w:rPr>
          <w:rFonts w:ascii="Aptos" w:hAnsi="Aptos"/>
        </w:rPr>
        <w:t xml:space="preserve">, </w:t>
      </w:r>
      <w:r w:rsidRPr="00CD2BCC">
        <w:rPr>
          <w:rFonts w:ascii="Aptos" w:hAnsi="Aptos"/>
          <w:i/>
          <w:iCs/>
        </w:rPr>
        <w:t>114</w:t>
      </w:r>
      <w:r w:rsidRPr="00CD2BCC">
        <w:rPr>
          <w:rFonts w:ascii="Aptos" w:hAnsi="Aptos"/>
        </w:rPr>
        <w:t>, 106559. https://doi.org/10.1016/j.chb.2020.106559</w:t>
      </w:r>
    </w:p>
    <w:p w14:paraId="7C39D063" w14:textId="77777777" w:rsidR="00CD2BCC" w:rsidRPr="00CD2BCC" w:rsidRDefault="00CD2BCC" w:rsidP="00CD2BCC">
      <w:pPr>
        <w:pStyle w:val="Bibliography"/>
        <w:numPr>
          <w:ilvl w:val="0"/>
          <w:numId w:val="5"/>
        </w:numPr>
        <w:spacing w:line="276" w:lineRule="auto"/>
        <w:rPr>
          <w:rFonts w:ascii="Aptos" w:hAnsi="Aptos"/>
        </w:rPr>
      </w:pPr>
      <w:r w:rsidRPr="00CD2BCC">
        <w:rPr>
          <w:rFonts w:ascii="Aptos" w:hAnsi="Aptos"/>
        </w:rPr>
        <w:t xml:space="preserve">Rifai, E. (2022). Whose techno-utopia? Power, privilege, and the religio-secular frameworks of the contemporary biohacking movement. </w:t>
      </w:r>
      <w:r w:rsidRPr="00CD2BCC">
        <w:rPr>
          <w:rFonts w:ascii="Aptos" w:hAnsi="Aptos"/>
          <w:i/>
          <w:iCs/>
        </w:rPr>
        <w:t>RELIGION COMPASS</w:t>
      </w:r>
      <w:r w:rsidRPr="00CD2BCC">
        <w:rPr>
          <w:rFonts w:ascii="Aptos" w:hAnsi="Aptos"/>
        </w:rPr>
        <w:t xml:space="preserve">, </w:t>
      </w:r>
      <w:r w:rsidRPr="00CD2BCC">
        <w:rPr>
          <w:rFonts w:ascii="Aptos" w:hAnsi="Aptos"/>
          <w:i/>
          <w:iCs/>
        </w:rPr>
        <w:t>16</w:t>
      </w:r>
      <w:r w:rsidRPr="00CD2BCC">
        <w:rPr>
          <w:rFonts w:ascii="Aptos" w:hAnsi="Aptos"/>
        </w:rPr>
        <w:t>(11–12). https://doi.org/10.1111/rec3.12451</w:t>
      </w:r>
    </w:p>
    <w:p w14:paraId="50FC5A1A" w14:textId="77777777" w:rsidR="00CD2BCC" w:rsidRPr="00CD2BCC" w:rsidRDefault="00CD2BCC" w:rsidP="00CD2BCC">
      <w:pPr>
        <w:pStyle w:val="Bibliography"/>
        <w:numPr>
          <w:ilvl w:val="0"/>
          <w:numId w:val="5"/>
        </w:numPr>
        <w:spacing w:line="276" w:lineRule="auto"/>
        <w:rPr>
          <w:rFonts w:ascii="Aptos" w:hAnsi="Aptos"/>
        </w:rPr>
      </w:pPr>
      <w:proofErr w:type="spellStart"/>
      <w:r w:rsidRPr="00CD2BCC">
        <w:rPr>
          <w:rFonts w:ascii="Aptos" w:hAnsi="Aptos"/>
        </w:rPr>
        <w:t>Teunisse</w:t>
      </w:r>
      <w:proofErr w:type="spellEnd"/>
      <w:r w:rsidRPr="00CD2BCC">
        <w:rPr>
          <w:rFonts w:ascii="Aptos" w:hAnsi="Aptos"/>
        </w:rPr>
        <w:t xml:space="preserve">, W., Youssef, S., &amp; Schmidt, M. (2019). Human enhancement through the lens of experimental and speculative </w:t>
      </w:r>
      <w:proofErr w:type="spellStart"/>
      <w:r w:rsidRPr="00CD2BCC">
        <w:rPr>
          <w:rFonts w:ascii="Aptos" w:hAnsi="Aptos"/>
        </w:rPr>
        <w:t>neurotechnologies</w:t>
      </w:r>
      <w:proofErr w:type="spellEnd"/>
      <w:r w:rsidRPr="00CD2BCC">
        <w:rPr>
          <w:rFonts w:ascii="Aptos" w:hAnsi="Aptos"/>
        </w:rPr>
        <w:t xml:space="preserve">. </w:t>
      </w:r>
      <w:r w:rsidRPr="00CD2BCC">
        <w:rPr>
          <w:rFonts w:ascii="Aptos" w:hAnsi="Aptos"/>
          <w:i/>
          <w:iCs/>
        </w:rPr>
        <w:t>Human Behavior and Emerging Technologies</w:t>
      </w:r>
      <w:r w:rsidRPr="00CD2BCC">
        <w:rPr>
          <w:rFonts w:ascii="Aptos" w:hAnsi="Aptos"/>
        </w:rPr>
        <w:t xml:space="preserve">, </w:t>
      </w:r>
      <w:r w:rsidRPr="00CD2BCC">
        <w:rPr>
          <w:rFonts w:ascii="Aptos" w:hAnsi="Aptos"/>
          <w:i/>
          <w:iCs/>
        </w:rPr>
        <w:t>1</w:t>
      </w:r>
      <w:r w:rsidRPr="00CD2BCC">
        <w:rPr>
          <w:rFonts w:ascii="Aptos" w:hAnsi="Aptos"/>
        </w:rPr>
        <w:t>(4), 361–372. https://doi.org/10.1002/hbe2.179</w:t>
      </w:r>
    </w:p>
    <w:p w14:paraId="7C198643" w14:textId="77777777" w:rsidR="00CD2BCC" w:rsidRPr="00CD2BCC" w:rsidRDefault="00CD2BCC" w:rsidP="00CD2BCC">
      <w:pPr>
        <w:pStyle w:val="Bibliography"/>
        <w:numPr>
          <w:ilvl w:val="0"/>
          <w:numId w:val="5"/>
        </w:numPr>
        <w:spacing w:line="276" w:lineRule="auto"/>
        <w:rPr>
          <w:rFonts w:ascii="Aptos" w:hAnsi="Aptos"/>
        </w:rPr>
      </w:pPr>
      <w:proofErr w:type="spellStart"/>
      <w:r w:rsidRPr="00CD2BCC">
        <w:rPr>
          <w:rFonts w:ascii="Aptos" w:hAnsi="Aptos"/>
        </w:rPr>
        <w:t>Wendykowska</w:t>
      </w:r>
      <w:proofErr w:type="spellEnd"/>
      <w:r w:rsidRPr="00CD2BCC">
        <w:rPr>
          <w:rFonts w:ascii="Aptos" w:hAnsi="Aptos"/>
        </w:rPr>
        <w:t xml:space="preserve">, E. (2014). Approaching Transhumanism: On How Human Beings Transform in the 21st Century. </w:t>
      </w:r>
      <w:r w:rsidRPr="00CD2BCC">
        <w:rPr>
          <w:rFonts w:ascii="Aptos" w:hAnsi="Aptos"/>
          <w:i/>
          <w:iCs/>
        </w:rPr>
        <w:t>Analyses/</w:t>
      </w:r>
      <w:proofErr w:type="spellStart"/>
      <w:r w:rsidRPr="00CD2BCC">
        <w:rPr>
          <w:rFonts w:ascii="Aptos" w:hAnsi="Aptos"/>
          <w:i/>
          <w:iCs/>
        </w:rPr>
        <w:t>Rereadings</w:t>
      </w:r>
      <w:proofErr w:type="spellEnd"/>
      <w:r w:rsidRPr="00CD2BCC">
        <w:rPr>
          <w:rFonts w:ascii="Aptos" w:hAnsi="Aptos"/>
          <w:i/>
          <w:iCs/>
        </w:rPr>
        <w:t>/Theories</w:t>
      </w:r>
      <w:r w:rsidRPr="00CD2BCC">
        <w:rPr>
          <w:rFonts w:ascii="Aptos" w:hAnsi="Aptos"/>
        </w:rPr>
        <w:t xml:space="preserve">, </w:t>
      </w:r>
      <w:r w:rsidRPr="00CD2BCC">
        <w:rPr>
          <w:rFonts w:ascii="Aptos" w:hAnsi="Aptos"/>
          <w:i/>
          <w:iCs/>
        </w:rPr>
        <w:t>2</w:t>
      </w:r>
      <w:r w:rsidRPr="00CD2BCC">
        <w:rPr>
          <w:rFonts w:ascii="Aptos" w:hAnsi="Aptos"/>
        </w:rPr>
        <w:t>(2), Article 2. https://doi.org/10.18778/2353-6098.2.11</w:t>
      </w:r>
    </w:p>
    <w:p w14:paraId="24BB3085" w14:textId="09D5F29F" w:rsidR="00CD2BCC" w:rsidRPr="00D6617A" w:rsidRDefault="00CD2BCC" w:rsidP="00CD2BCC">
      <w:pPr>
        <w:tabs>
          <w:tab w:val="left" w:pos="5810"/>
        </w:tabs>
        <w:spacing w:line="276" w:lineRule="auto"/>
      </w:pPr>
      <w:r>
        <w:fldChar w:fldCharType="end"/>
      </w:r>
    </w:p>
    <w:sectPr w:rsidR="00CD2BCC" w:rsidRPr="00D661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37939"/>
    <w:multiLevelType w:val="hybridMultilevel"/>
    <w:tmpl w:val="C466F32C"/>
    <w:lvl w:ilvl="0" w:tplc="535EA8A2">
      <w:numFmt w:val="bullet"/>
      <w:lvlText w:val="-"/>
      <w:lvlJc w:val="left"/>
      <w:pPr>
        <w:ind w:left="720" w:hanging="360"/>
      </w:pPr>
      <w:rPr>
        <w:rFonts w:ascii="Aptos" w:eastAsiaTheme="minorHAnsi" w:hAnsi="Aptos"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1FE5394D"/>
    <w:multiLevelType w:val="hybridMultilevel"/>
    <w:tmpl w:val="C0D43DC8"/>
    <w:lvl w:ilvl="0" w:tplc="5CB2812E">
      <w:start w:val="5"/>
      <w:numFmt w:val="bullet"/>
      <w:lvlText w:val=""/>
      <w:lvlJc w:val="left"/>
      <w:pPr>
        <w:ind w:left="1080" w:hanging="360"/>
      </w:pPr>
      <w:rPr>
        <w:rFonts w:ascii="Wingdings" w:eastAsiaTheme="minorHAnsi" w:hAnsi="Wingdings" w:cstheme="minorBidi" w:hint="default"/>
        <w:b/>
      </w:rPr>
    </w:lvl>
    <w:lvl w:ilvl="1" w:tplc="08130003">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2" w15:restartNumberingAfterBreak="0">
    <w:nsid w:val="2F260395"/>
    <w:multiLevelType w:val="hybridMultilevel"/>
    <w:tmpl w:val="910275C8"/>
    <w:lvl w:ilvl="0" w:tplc="F78C46EE">
      <w:numFmt w:val="bullet"/>
      <w:lvlText w:val=""/>
      <w:lvlJc w:val="left"/>
      <w:pPr>
        <w:ind w:left="1080" w:hanging="360"/>
      </w:pPr>
      <w:rPr>
        <w:rFonts w:ascii="Wingdings" w:eastAsiaTheme="minorHAnsi" w:hAnsi="Wingdings" w:cstheme="minorBidi" w:hint="default"/>
        <w:u w:val="none"/>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3" w15:restartNumberingAfterBreak="0">
    <w:nsid w:val="3A8E1E03"/>
    <w:multiLevelType w:val="hybridMultilevel"/>
    <w:tmpl w:val="309A0FD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4C9F3DAA"/>
    <w:multiLevelType w:val="hybridMultilevel"/>
    <w:tmpl w:val="CFA0D3B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028290750">
    <w:abstractNumId w:val="0"/>
  </w:num>
  <w:num w:numId="2" w16cid:durableId="442846017">
    <w:abstractNumId w:val="1"/>
  </w:num>
  <w:num w:numId="3" w16cid:durableId="2085447587">
    <w:abstractNumId w:val="2"/>
  </w:num>
  <w:num w:numId="4" w16cid:durableId="392120449">
    <w:abstractNumId w:val="4"/>
  </w:num>
  <w:num w:numId="5" w16cid:durableId="13832924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revisionView w:markup="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617A"/>
    <w:rsid w:val="00016A40"/>
    <w:rsid w:val="00034410"/>
    <w:rsid w:val="00041A3B"/>
    <w:rsid w:val="00050E80"/>
    <w:rsid w:val="000666FA"/>
    <w:rsid w:val="000839F3"/>
    <w:rsid w:val="000B587A"/>
    <w:rsid w:val="00103D28"/>
    <w:rsid w:val="0011138C"/>
    <w:rsid w:val="00112D35"/>
    <w:rsid w:val="00183CA5"/>
    <w:rsid w:val="001A1D95"/>
    <w:rsid w:val="001A666F"/>
    <w:rsid w:val="00202BFA"/>
    <w:rsid w:val="00236900"/>
    <w:rsid w:val="00237A40"/>
    <w:rsid w:val="00270EDA"/>
    <w:rsid w:val="00272D9B"/>
    <w:rsid w:val="002738A1"/>
    <w:rsid w:val="002D06BE"/>
    <w:rsid w:val="00307193"/>
    <w:rsid w:val="003B6BCB"/>
    <w:rsid w:val="00410404"/>
    <w:rsid w:val="004118A5"/>
    <w:rsid w:val="00422064"/>
    <w:rsid w:val="0042497B"/>
    <w:rsid w:val="00426ACF"/>
    <w:rsid w:val="00480AA0"/>
    <w:rsid w:val="004D0F18"/>
    <w:rsid w:val="004D162D"/>
    <w:rsid w:val="004E0982"/>
    <w:rsid w:val="00536D36"/>
    <w:rsid w:val="00557352"/>
    <w:rsid w:val="00577FA5"/>
    <w:rsid w:val="00595F8B"/>
    <w:rsid w:val="005A1551"/>
    <w:rsid w:val="005D7D2B"/>
    <w:rsid w:val="005E22E1"/>
    <w:rsid w:val="005F1F7D"/>
    <w:rsid w:val="00643717"/>
    <w:rsid w:val="00653AF2"/>
    <w:rsid w:val="006571E8"/>
    <w:rsid w:val="00687DBC"/>
    <w:rsid w:val="00695D88"/>
    <w:rsid w:val="006E0CD3"/>
    <w:rsid w:val="006E6D59"/>
    <w:rsid w:val="006F680D"/>
    <w:rsid w:val="00710426"/>
    <w:rsid w:val="007353DF"/>
    <w:rsid w:val="007A07F9"/>
    <w:rsid w:val="007B35B3"/>
    <w:rsid w:val="007C1B86"/>
    <w:rsid w:val="007E5C70"/>
    <w:rsid w:val="00832AB9"/>
    <w:rsid w:val="008432DE"/>
    <w:rsid w:val="00846BA4"/>
    <w:rsid w:val="00883FD8"/>
    <w:rsid w:val="008D752A"/>
    <w:rsid w:val="008E7743"/>
    <w:rsid w:val="00900919"/>
    <w:rsid w:val="009324AD"/>
    <w:rsid w:val="00957523"/>
    <w:rsid w:val="009629E9"/>
    <w:rsid w:val="0096572F"/>
    <w:rsid w:val="009673A9"/>
    <w:rsid w:val="009D4A2D"/>
    <w:rsid w:val="009E22A8"/>
    <w:rsid w:val="00A83B15"/>
    <w:rsid w:val="00AA325D"/>
    <w:rsid w:val="00AD29A7"/>
    <w:rsid w:val="00AE4160"/>
    <w:rsid w:val="00B07DB6"/>
    <w:rsid w:val="00B17EDF"/>
    <w:rsid w:val="00B439C0"/>
    <w:rsid w:val="00B53892"/>
    <w:rsid w:val="00B7130F"/>
    <w:rsid w:val="00B71833"/>
    <w:rsid w:val="00B834B5"/>
    <w:rsid w:val="00BA7E8C"/>
    <w:rsid w:val="00BC5791"/>
    <w:rsid w:val="00BE1349"/>
    <w:rsid w:val="00C45E02"/>
    <w:rsid w:val="00C53C95"/>
    <w:rsid w:val="00C71089"/>
    <w:rsid w:val="00C97970"/>
    <w:rsid w:val="00CB3AB7"/>
    <w:rsid w:val="00CD2BCC"/>
    <w:rsid w:val="00D6617A"/>
    <w:rsid w:val="00D67C91"/>
    <w:rsid w:val="00D863DF"/>
    <w:rsid w:val="00DC1888"/>
    <w:rsid w:val="00DE56CD"/>
    <w:rsid w:val="00E0093D"/>
    <w:rsid w:val="00E62EEF"/>
    <w:rsid w:val="00E943AA"/>
    <w:rsid w:val="00EC24DA"/>
    <w:rsid w:val="00EE2E58"/>
    <w:rsid w:val="00EF3DAE"/>
    <w:rsid w:val="00F05936"/>
    <w:rsid w:val="00F06CE0"/>
    <w:rsid w:val="00F1310A"/>
    <w:rsid w:val="00F26450"/>
    <w:rsid w:val="00F513BE"/>
    <w:rsid w:val="00F80F35"/>
    <w:rsid w:val="00F933DF"/>
    <w:rsid w:val="00FB4617"/>
    <w:rsid w:val="00FB6E78"/>
    <w:rsid w:val="00FE7434"/>
    <w:rsid w:val="00FF3DC8"/>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9B825"/>
  <w15:chartTrackingRefBased/>
  <w15:docId w15:val="{475DFB56-06E5-4AD0-98EE-0072D3527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E78"/>
    <w:pPr>
      <w:jc w:val="both"/>
    </w:pPr>
    <w:rPr>
      <w:sz w:val="22"/>
      <w:szCs w:val="22"/>
      <w:lang w:val="en-US"/>
    </w:rPr>
  </w:style>
  <w:style w:type="paragraph" w:styleId="Heading1">
    <w:name w:val="heading 1"/>
    <w:basedOn w:val="Normal"/>
    <w:next w:val="Normal"/>
    <w:link w:val="Heading1Char"/>
    <w:uiPriority w:val="9"/>
    <w:qFormat/>
    <w:rsid w:val="00C53C95"/>
    <w:pPr>
      <w:keepNext/>
      <w:keepLines/>
      <w:spacing w:before="360" w:after="80"/>
      <w:jc w:val="center"/>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661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661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61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61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61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61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61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61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3C95"/>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rsid w:val="00D6617A"/>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rsid w:val="00D6617A"/>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D6617A"/>
    <w:rPr>
      <w:rFonts w:eastAsiaTheme="majorEastAsia" w:cstheme="majorBidi"/>
      <w:i/>
      <w:iCs/>
      <w:color w:val="0F4761" w:themeColor="accent1" w:themeShade="BF"/>
      <w:sz w:val="22"/>
      <w:szCs w:val="22"/>
      <w:lang w:val="en-US"/>
    </w:rPr>
  </w:style>
  <w:style w:type="character" w:customStyle="1" w:styleId="Heading5Char">
    <w:name w:val="Heading 5 Char"/>
    <w:basedOn w:val="DefaultParagraphFont"/>
    <w:link w:val="Heading5"/>
    <w:uiPriority w:val="9"/>
    <w:semiHidden/>
    <w:rsid w:val="00D6617A"/>
    <w:rPr>
      <w:rFonts w:eastAsiaTheme="majorEastAsia" w:cstheme="majorBidi"/>
      <w:color w:val="0F4761" w:themeColor="accent1" w:themeShade="BF"/>
      <w:sz w:val="22"/>
      <w:szCs w:val="22"/>
      <w:lang w:val="en-US"/>
    </w:rPr>
  </w:style>
  <w:style w:type="character" w:customStyle="1" w:styleId="Heading6Char">
    <w:name w:val="Heading 6 Char"/>
    <w:basedOn w:val="DefaultParagraphFont"/>
    <w:link w:val="Heading6"/>
    <w:uiPriority w:val="9"/>
    <w:semiHidden/>
    <w:rsid w:val="00D6617A"/>
    <w:rPr>
      <w:rFonts w:eastAsiaTheme="majorEastAsia" w:cstheme="majorBidi"/>
      <w:i/>
      <w:iCs/>
      <w:color w:val="595959" w:themeColor="text1" w:themeTint="A6"/>
      <w:sz w:val="22"/>
      <w:szCs w:val="22"/>
      <w:lang w:val="en-US"/>
    </w:rPr>
  </w:style>
  <w:style w:type="character" w:customStyle="1" w:styleId="Heading7Char">
    <w:name w:val="Heading 7 Char"/>
    <w:basedOn w:val="DefaultParagraphFont"/>
    <w:link w:val="Heading7"/>
    <w:uiPriority w:val="9"/>
    <w:semiHidden/>
    <w:rsid w:val="00D6617A"/>
    <w:rPr>
      <w:rFonts w:eastAsiaTheme="majorEastAsia" w:cstheme="majorBidi"/>
      <w:color w:val="595959" w:themeColor="text1" w:themeTint="A6"/>
      <w:sz w:val="22"/>
      <w:szCs w:val="22"/>
      <w:lang w:val="en-US"/>
    </w:rPr>
  </w:style>
  <w:style w:type="character" w:customStyle="1" w:styleId="Heading8Char">
    <w:name w:val="Heading 8 Char"/>
    <w:basedOn w:val="DefaultParagraphFont"/>
    <w:link w:val="Heading8"/>
    <w:uiPriority w:val="9"/>
    <w:semiHidden/>
    <w:rsid w:val="00D6617A"/>
    <w:rPr>
      <w:rFonts w:eastAsiaTheme="majorEastAsia" w:cstheme="majorBidi"/>
      <w:i/>
      <w:iCs/>
      <w:color w:val="272727" w:themeColor="text1" w:themeTint="D8"/>
      <w:sz w:val="22"/>
      <w:szCs w:val="22"/>
      <w:lang w:val="en-US"/>
    </w:rPr>
  </w:style>
  <w:style w:type="character" w:customStyle="1" w:styleId="Heading9Char">
    <w:name w:val="Heading 9 Char"/>
    <w:basedOn w:val="DefaultParagraphFont"/>
    <w:link w:val="Heading9"/>
    <w:uiPriority w:val="9"/>
    <w:semiHidden/>
    <w:rsid w:val="00D6617A"/>
    <w:rPr>
      <w:rFonts w:eastAsiaTheme="majorEastAsia" w:cstheme="majorBidi"/>
      <w:color w:val="272727" w:themeColor="text1" w:themeTint="D8"/>
      <w:sz w:val="22"/>
      <w:szCs w:val="22"/>
      <w:lang w:val="en-US"/>
    </w:rPr>
  </w:style>
  <w:style w:type="paragraph" w:styleId="Title">
    <w:name w:val="Title"/>
    <w:basedOn w:val="Normal"/>
    <w:next w:val="Normal"/>
    <w:link w:val="TitleChar"/>
    <w:uiPriority w:val="10"/>
    <w:qFormat/>
    <w:rsid w:val="00D661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617A"/>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D661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617A"/>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D6617A"/>
    <w:pPr>
      <w:spacing w:before="160"/>
      <w:jc w:val="center"/>
    </w:pPr>
    <w:rPr>
      <w:i/>
      <w:iCs/>
      <w:color w:val="404040" w:themeColor="text1" w:themeTint="BF"/>
    </w:rPr>
  </w:style>
  <w:style w:type="character" w:customStyle="1" w:styleId="QuoteChar">
    <w:name w:val="Quote Char"/>
    <w:basedOn w:val="DefaultParagraphFont"/>
    <w:link w:val="Quote"/>
    <w:uiPriority w:val="29"/>
    <w:rsid w:val="00D6617A"/>
    <w:rPr>
      <w:i/>
      <w:iCs/>
      <w:color w:val="404040" w:themeColor="text1" w:themeTint="BF"/>
      <w:sz w:val="22"/>
      <w:szCs w:val="22"/>
      <w:lang w:val="en-US"/>
    </w:rPr>
  </w:style>
  <w:style w:type="paragraph" w:styleId="ListParagraph">
    <w:name w:val="List Paragraph"/>
    <w:basedOn w:val="Normal"/>
    <w:uiPriority w:val="34"/>
    <w:qFormat/>
    <w:rsid w:val="00D6617A"/>
    <w:pPr>
      <w:ind w:left="720"/>
      <w:contextualSpacing/>
    </w:pPr>
  </w:style>
  <w:style w:type="character" w:styleId="IntenseEmphasis">
    <w:name w:val="Intense Emphasis"/>
    <w:basedOn w:val="DefaultParagraphFont"/>
    <w:uiPriority w:val="21"/>
    <w:qFormat/>
    <w:rsid w:val="00D6617A"/>
    <w:rPr>
      <w:i/>
      <w:iCs/>
      <w:color w:val="0F4761" w:themeColor="accent1" w:themeShade="BF"/>
    </w:rPr>
  </w:style>
  <w:style w:type="paragraph" w:styleId="IntenseQuote">
    <w:name w:val="Intense Quote"/>
    <w:basedOn w:val="Normal"/>
    <w:next w:val="Normal"/>
    <w:link w:val="IntenseQuoteChar"/>
    <w:uiPriority w:val="30"/>
    <w:qFormat/>
    <w:rsid w:val="00D661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617A"/>
    <w:rPr>
      <w:i/>
      <w:iCs/>
      <w:color w:val="0F4761" w:themeColor="accent1" w:themeShade="BF"/>
      <w:sz w:val="22"/>
      <w:szCs w:val="22"/>
      <w:lang w:val="en-US"/>
    </w:rPr>
  </w:style>
  <w:style w:type="character" w:styleId="IntenseReference">
    <w:name w:val="Intense Reference"/>
    <w:basedOn w:val="DefaultParagraphFont"/>
    <w:uiPriority w:val="32"/>
    <w:qFormat/>
    <w:rsid w:val="00D6617A"/>
    <w:rPr>
      <w:b/>
      <w:bCs/>
      <w:smallCaps/>
      <w:color w:val="0F4761" w:themeColor="accent1" w:themeShade="BF"/>
      <w:spacing w:val="5"/>
    </w:rPr>
  </w:style>
  <w:style w:type="character" w:styleId="CommentReference">
    <w:name w:val="annotation reference"/>
    <w:basedOn w:val="DefaultParagraphFont"/>
    <w:uiPriority w:val="99"/>
    <w:semiHidden/>
    <w:unhideWhenUsed/>
    <w:rsid w:val="00D6617A"/>
    <w:rPr>
      <w:sz w:val="16"/>
      <w:szCs w:val="16"/>
    </w:rPr>
  </w:style>
  <w:style w:type="paragraph" w:styleId="CommentText">
    <w:name w:val="annotation text"/>
    <w:basedOn w:val="Normal"/>
    <w:link w:val="CommentTextChar"/>
    <w:uiPriority w:val="99"/>
    <w:unhideWhenUsed/>
    <w:rsid w:val="00D6617A"/>
    <w:pPr>
      <w:spacing w:line="240" w:lineRule="auto"/>
    </w:pPr>
    <w:rPr>
      <w:sz w:val="20"/>
      <w:szCs w:val="20"/>
    </w:rPr>
  </w:style>
  <w:style w:type="character" w:customStyle="1" w:styleId="CommentTextChar">
    <w:name w:val="Comment Text Char"/>
    <w:basedOn w:val="DefaultParagraphFont"/>
    <w:link w:val="CommentText"/>
    <w:uiPriority w:val="99"/>
    <w:rsid w:val="00D6617A"/>
    <w:rPr>
      <w:sz w:val="20"/>
      <w:szCs w:val="20"/>
      <w:lang w:val="en-US"/>
    </w:rPr>
  </w:style>
  <w:style w:type="table" w:styleId="GridTable1Light">
    <w:name w:val="Grid Table 1 Light"/>
    <w:basedOn w:val="TableNormal"/>
    <w:uiPriority w:val="46"/>
    <w:rsid w:val="00D6617A"/>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CommentSubject">
    <w:name w:val="annotation subject"/>
    <w:basedOn w:val="CommentText"/>
    <w:next w:val="CommentText"/>
    <w:link w:val="CommentSubjectChar"/>
    <w:uiPriority w:val="99"/>
    <w:semiHidden/>
    <w:unhideWhenUsed/>
    <w:rsid w:val="009673A9"/>
    <w:rPr>
      <w:b/>
      <w:bCs/>
    </w:rPr>
  </w:style>
  <w:style w:type="character" w:customStyle="1" w:styleId="CommentSubjectChar">
    <w:name w:val="Comment Subject Char"/>
    <w:basedOn w:val="CommentTextChar"/>
    <w:link w:val="CommentSubject"/>
    <w:uiPriority w:val="99"/>
    <w:semiHidden/>
    <w:rsid w:val="009673A9"/>
    <w:rPr>
      <w:b/>
      <w:bCs/>
      <w:sz w:val="20"/>
      <w:szCs w:val="20"/>
      <w:lang w:val="en-US"/>
    </w:rPr>
  </w:style>
  <w:style w:type="paragraph" w:styleId="Bibliography">
    <w:name w:val="Bibliography"/>
    <w:basedOn w:val="Normal"/>
    <w:next w:val="Normal"/>
    <w:uiPriority w:val="37"/>
    <w:unhideWhenUsed/>
    <w:rsid w:val="00CD2BCC"/>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9049</Words>
  <Characters>49775</Characters>
  <Application>Microsoft Office Word</Application>
  <DocSecurity>0</DocSecurity>
  <Lines>414</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Parion</dc:creator>
  <cp:keywords/>
  <dc:description/>
  <cp:lastModifiedBy>Charlotte Parion</cp:lastModifiedBy>
  <cp:revision>94</cp:revision>
  <dcterms:created xsi:type="dcterms:W3CDTF">2025-12-19T15:27:00Z</dcterms:created>
  <dcterms:modified xsi:type="dcterms:W3CDTF">2026-02-02T13:47:00Z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zotero-version="7.0.30"&gt;&lt;session id="WTK3pLhH"/&gt;&lt;style id="http://www.zotero.org/styles/apa" locale="en-US" hasBibliography="1" bibliographyStyleHasBeenSet="0"/&gt;&lt;prefs&gt;&lt;pref name="fieldType" value="Field"/&gt;&lt;pref name="automaticJourn</vt:lpwstr>
  </property>
  <property fmtid="{D5CDD505-2E9C-101B-9397-08002B2CF9AE}" pid="3" name="ZOTERO_PREF_2">
    <vt:lpwstr>alAbbreviations" value="true"/&gt;&lt;/prefs&gt;&lt;/data&gt;</vt:lpwstr>
  </property>
</Properties>
</file>