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9856" w14:textId="79072CD7" w:rsidR="0075619E" w:rsidRPr="0075619E" w:rsidRDefault="0075619E" w:rsidP="0075619E">
      <w:pPr>
        <w:jc w:val="center"/>
        <w:rPr>
          <w:rFonts w:ascii="Arial" w:eastAsiaTheme="majorEastAsia" w:hAnsi="Arial" w:cs="Arial"/>
          <w:b/>
          <w:bCs/>
          <w:sz w:val="28"/>
          <w:szCs w:val="28"/>
        </w:rPr>
      </w:pPr>
      <w:r w:rsidRPr="0075619E">
        <w:rPr>
          <w:rFonts w:ascii="Arial" w:eastAsiaTheme="majorEastAsia" w:hAnsi="Arial" w:cs="Arial"/>
          <w:b/>
          <w:bCs/>
          <w:sz w:val="28"/>
          <w:szCs w:val="28"/>
        </w:rPr>
        <w:t xml:space="preserve">Supplementary Information for </w:t>
      </w:r>
    </w:p>
    <w:p w14:paraId="09322B4C" w14:textId="36D3DD9D" w:rsidR="0075619E" w:rsidRPr="00F6361E" w:rsidRDefault="0075619E" w:rsidP="0075619E">
      <w:pPr>
        <w:pStyle w:val="2"/>
        <w:keepNext w:val="0"/>
        <w:keepLines w:val="0"/>
        <w:adjustRightInd w:val="0"/>
        <w:snapToGrid w:val="0"/>
        <w:spacing w:before="0" w:after="0" w:line="480" w:lineRule="auto"/>
        <w:jc w:val="center"/>
        <w:rPr>
          <w:rFonts w:ascii="Arial" w:hAnsi="Arial" w:cs="Arial"/>
          <w:b/>
          <w:bCs/>
          <w:color w:val="auto"/>
          <w:sz w:val="32"/>
          <w:szCs w:val="32"/>
        </w:rPr>
      </w:pPr>
      <w:r w:rsidRPr="00F6361E">
        <w:rPr>
          <w:rFonts w:ascii="Arial" w:hAnsi="Arial" w:cs="Arial"/>
          <w:b/>
          <w:bCs/>
          <w:color w:val="auto"/>
          <w:sz w:val="28"/>
          <w:szCs w:val="28"/>
        </w:rPr>
        <w:t>Integrated multi-omics characterization identifies key microenvironmental biomarkers in major depressive disorder microenvironment</w:t>
      </w:r>
    </w:p>
    <w:p w14:paraId="64B3B58F" w14:textId="77777777" w:rsidR="0075619E" w:rsidRPr="00F6361E" w:rsidRDefault="0075619E" w:rsidP="0075619E">
      <w:pPr>
        <w:spacing w:line="480" w:lineRule="auto"/>
        <w:jc w:val="center"/>
        <w:rPr>
          <w:rFonts w:ascii="Arial" w:hAnsi="Arial" w:cs="Arial"/>
          <w:sz w:val="24"/>
        </w:rPr>
      </w:pPr>
      <w:r w:rsidRPr="00F6361E">
        <w:rPr>
          <w:rFonts w:ascii="Arial" w:hAnsi="Arial" w:cs="Arial"/>
          <w:sz w:val="24"/>
        </w:rPr>
        <w:t>Yunkai Wu</w:t>
      </w:r>
      <w:r w:rsidRPr="00F6361E">
        <w:rPr>
          <w:rFonts w:ascii="Arial" w:hAnsi="Arial" w:cs="Arial"/>
          <w:sz w:val="24"/>
          <w:vertAlign w:val="superscript"/>
        </w:rPr>
        <w:t>1</w:t>
      </w:r>
      <w:r w:rsidRPr="00F6361E">
        <w:rPr>
          <w:rFonts w:ascii="Arial" w:hAnsi="Arial" w:cs="Arial"/>
          <w:sz w:val="24"/>
        </w:rPr>
        <w:t>, Weihao Deng</w:t>
      </w:r>
      <w:r w:rsidRPr="00F6361E">
        <w:rPr>
          <w:rFonts w:ascii="Arial" w:hAnsi="Arial" w:cs="Arial"/>
          <w:sz w:val="24"/>
          <w:vertAlign w:val="superscript"/>
        </w:rPr>
        <w:t>2</w:t>
      </w:r>
      <w:r w:rsidRPr="00F6361E">
        <w:rPr>
          <w:rFonts w:ascii="Arial" w:hAnsi="Arial" w:cs="Arial"/>
          <w:sz w:val="24"/>
        </w:rPr>
        <w:t>, Jiaquan Liang</w:t>
      </w:r>
      <w:r w:rsidRPr="00120F97">
        <w:rPr>
          <w:rFonts w:ascii="Arial" w:hAnsi="Arial" w:cs="Arial"/>
          <w:sz w:val="24"/>
          <w:vertAlign w:val="superscript"/>
        </w:rPr>
        <w:t>3</w:t>
      </w:r>
      <w:r w:rsidRPr="00F6361E">
        <w:rPr>
          <w:rFonts w:ascii="Arial" w:hAnsi="Arial" w:cs="Arial"/>
          <w:sz w:val="24"/>
        </w:rPr>
        <w:t>, Chunguo Zhang</w:t>
      </w:r>
      <w:r w:rsidRPr="00F6361E">
        <w:rPr>
          <w:rFonts w:ascii="Arial" w:hAnsi="Arial" w:cs="Arial"/>
          <w:sz w:val="24"/>
          <w:vertAlign w:val="superscript"/>
        </w:rPr>
        <w:t>3</w:t>
      </w:r>
      <w:r w:rsidRPr="00F6361E">
        <w:rPr>
          <w:rFonts w:ascii="Arial" w:hAnsi="Arial" w:cs="Arial"/>
          <w:sz w:val="24"/>
        </w:rPr>
        <w:t>, Hui Tang</w:t>
      </w:r>
      <w:r w:rsidRPr="00F6361E">
        <w:rPr>
          <w:rFonts w:ascii="Arial" w:hAnsi="Arial" w:cs="Arial"/>
          <w:sz w:val="24"/>
          <w:vertAlign w:val="superscript"/>
        </w:rPr>
        <w:t>2,*</w:t>
      </w:r>
      <w:r w:rsidRPr="00F6361E">
        <w:rPr>
          <w:rFonts w:ascii="Arial" w:hAnsi="Arial" w:cs="Arial"/>
          <w:sz w:val="24"/>
        </w:rPr>
        <w:t>, Jinyan Sun</w:t>
      </w:r>
      <w:r w:rsidRPr="00F6361E">
        <w:rPr>
          <w:rFonts w:ascii="Arial" w:hAnsi="Arial" w:cs="Arial"/>
          <w:sz w:val="24"/>
          <w:vertAlign w:val="superscript"/>
        </w:rPr>
        <w:t>1,*</w:t>
      </w:r>
    </w:p>
    <w:p w14:paraId="5D491C91" w14:textId="77777777" w:rsidR="0075619E" w:rsidRPr="00120F97" w:rsidRDefault="0075619E" w:rsidP="0075619E">
      <w:pPr>
        <w:adjustRightInd w:val="0"/>
        <w:snapToGrid w:val="0"/>
        <w:spacing w:line="480" w:lineRule="auto"/>
        <w:ind w:firstLineChars="50" w:firstLine="110"/>
        <w:rPr>
          <w:rFonts w:ascii="Arial" w:hAnsi="Arial" w:cs="Arial"/>
          <w:szCs w:val="21"/>
        </w:rPr>
      </w:pPr>
      <w:r w:rsidRPr="00120F97">
        <w:rPr>
          <w:rFonts w:ascii="Arial" w:eastAsia="Times New Roman" w:hAnsi="Arial" w:cs="Arial"/>
          <w:szCs w:val="21"/>
          <w:vertAlign w:val="superscript"/>
        </w:rPr>
        <w:t>1</w:t>
      </w:r>
      <w:r w:rsidRPr="00120F97">
        <w:rPr>
          <w:rFonts w:ascii="Arial" w:hAnsi="Arial" w:cs="Arial"/>
          <w:szCs w:val="21"/>
          <w:vertAlign w:val="superscript"/>
        </w:rPr>
        <w:t xml:space="preserve"> </w:t>
      </w:r>
      <w:r w:rsidRPr="00120F97">
        <w:rPr>
          <w:rFonts w:ascii="Arial" w:hAnsi="Arial" w:cs="Arial"/>
          <w:szCs w:val="21"/>
        </w:rPr>
        <w:t>School of Medicine, Foshan University, Foshan, China</w:t>
      </w:r>
    </w:p>
    <w:p w14:paraId="58D9DCE9" w14:textId="77777777" w:rsidR="0075619E" w:rsidRPr="00120F97" w:rsidRDefault="0075619E" w:rsidP="0075619E">
      <w:pPr>
        <w:adjustRightInd w:val="0"/>
        <w:snapToGrid w:val="0"/>
        <w:spacing w:line="480" w:lineRule="auto"/>
        <w:rPr>
          <w:rFonts w:ascii="Arial" w:hAnsi="Arial" w:cs="Arial"/>
          <w:szCs w:val="21"/>
        </w:rPr>
      </w:pPr>
      <w:r w:rsidRPr="00F6361E">
        <w:rPr>
          <w:rFonts w:ascii="Arial" w:hAnsi="Arial" w:cs="Arial"/>
          <w:sz w:val="28"/>
          <w:szCs w:val="28"/>
          <w:vertAlign w:val="superscript"/>
        </w:rPr>
        <w:t xml:space="preserve"> </w:t>
      </w:r>
      <w:r w:rsidRPr="00120F97">
        <w:rPr>
          <w:rFonts w:ascii="Arial" w:eastAsia="Times New Roman" w:hAnsi="Arial" w:cs="Arial"/>
          <w:szCs w:val="21"/>
          <w:vertAlign w:val="superscript"/>
        </w:rPr>
        <w:t>2</w:t>
      </w:r>
      <w:r w:rsidRPr="00120F97">
        <w:rPr>
          <w:rFonts w:ascii="Arial" w:eastAsia="Times New Roman" w:hAnsi="Arial" w:cs="Arial"/>
          <w:szCs w:val="21"/>
          <w:vertAlign w:val="superscript"/>
          <w:lang w:eastAsia="de-DE"/>
        </w:rPr>
        <w:t xml:space="preserve"> </w:t>
      </w:r>
      <w:r w:rsidRPr="00120F97">
        <w:rPr>
          <w:rFonts w:ascii="Arial" w:eastAsia="Times New Roman" w:hAnsi="Arial" w:cs="Arial"/>
          <w:szCs w:val="21"/>
          <w:lang w:eastAsia="de-DE"/>
        </w:rPr>
        <w:t>School of Mathematics, Foshan University, Foshan, China</w:t>
      </w:r>
      <w:r w:rsidRPr="00120F97">
        <w:rPr>
          <w:rFonts w:ascii="Arial" w:hAnsi="Arial" w:cs="Arial"/>
          <w:szCs w:val="21"/>
        </w:rPr>
        <w:t>;</w:t>
      </w:r>
    </w:p>
    <w:p w14:paraId="38FCC89C" w14:textId="77777777" w:rsidR="0075619E" w:rsidRPr="00120F97" w:rsidRDefault="0075619E" w:rsidP="0075619E">
      <w:pPr>
        <w:adjustRightInd w:val="0"/>
        <w:snapToGrid w:val="0"/>
        <w:spacing w:line="480" w:lineRule="auto"/>
        <w:ind w:firstLineChars="50" w:firstLine="110"/>
        <w:rPr>
          <w:rFonts w:ascii="Arial" w:hAnsi="Arial" w:cs="Arial"/>
          <w:szCs w:val="21"/>
          <w:vertAlign w:val="superscript"/>
        </w:rPr>
      </w:pPr>
      <w:r w:rsidRPr="00120F97">
        <w:rPr>
          <w:rFonts w:ascii="Arial" w:eastAsia="Times New Roman" w:hAnsi="Arial" w:cs="Arial"/>
          <w:szCs w:val="21"/>
          <w:vertAlign w:val="superscript"/>
        </w:rPr>
        <w:t>3</w:t>
      </w:r>
      <w:r w:rsidRPr="00120F97">
        <w:rPr>
          <w:rFonts w:ascii="Arial" w:eastAsia="Times New Roman" w:hAnsi="Arial" w:cs="Arial"/>
          <w:szCs w:val="21"/>
        </w:rPr>
        <w:t xml:space="preserve"> Department of Psychiatry, The Third People's Hospital of Foshan, Guangdong, China</w:t>
      </w:r>
      <w:r w:rsidRPr="00120F97">
        <w:rPr>
          <w:rFonts w:ascii="Arial" w:eastAsia="宋体" w:hAnsi="Arial" w:cs="Arial"/>
          <w:szCs w:val="21"/>
        </w:rPr>
        <w:t>;</w:t>
      </w:r>
    </w:p>
    <w:p w14:paraId="54A8ED13" w14:textId="77777777" w:rsidR="0075619E" w:rsidRPr="00F6361E" w:rsidRDefault="0075619E" w:rsidP="0075619E">
      <w:pPr>
        <w:spacing w:before="240" w:line="480" w:lineRule="auto"/>
        <w:rPr>
          <w:rFonts w:ascii="Arial" w:hAnsi="Arial" w:cs="Arial"/>
          <w:b/>
          <w:sz w:val="21"/>
          <w:szCs w:val="22"/>
        </w:rPr>
      </w:pPr>
      <w:r w:rsidRPr="00F6361E">
        <w:rPr>
          <w:rFonts w:ascii="Arial" w:hAnsi="Arial" w:cs="Arial"/>
          <w:b/>
          <w:vertAlign w:val="superscript"/>
        </w:rPr>
        <w:t>*</w:t>
      </w:r>
      <w:r w:rsidRPr="00F6361E">
        <w:rPr>
          <w:rFonts w:ascii="Arial" w:hAnsi="Arial" w:cs="Arial"/>
          <w:b/>
        </w:rPr>
        <w:t xml:space="preserve"> Correspondence: </w:t>
      </w:r>
      <w:r w:rsidRPr="00F6361E">
        <w:rPr>
          <w:rFonts w:ascii="Arial" w:hAnsi="Arial" w:cs="Arial"/>
        </w:rPr>
        <w:t xml:space="preserve">Hui Tang, Email: </w:t>
      </w:r>
      <w:hyperlink r:id="rId7" w:history="1">
        <w:r w:rsidRPr="00266D3B">
          <w:rPr>
            <w:rStyle w:val="af3"/>
            <w:rFonts w:ascii="Arial" w:hAnsi="Arial" w:cs="Arial"/>
            <w:color w:val="auto"/>
            <w:u w:val="none"/>
          </w:rPr>
          <w:t>tanghui@fosu.edu.cn</w:t>
        </w:r>
      </w:hyperlink>
      <w:r w:rsidRPr="00266D3B">
        <w:rPr>
          <w:rFonts w:ascii="Arial" w:hAnsi="Arial" w:cs="Arial"/>
        </w:rPr>
        <w:t>,</w:t>
      </w:r>
      <w:r w:rsidRPr="00F6361E">
        <w:rPr>
          <w:rFonts w:ascii="Arial" w:hAnsi="Arial" w:cs="Arial"/>
        </w:rPr>
        <w:t xml:space="preserve"> </w:t>
      </w:r>
      <w:r w:rsidRPr="00F6361E">
        <w:rPr>
          <w:rFonts w:ascii="Arial" w:hAnsi="Arial" w:cs="Arial"/>
          <w:szCs w:val="22"/>
        </w:rPr>
        <w:t>Jinyan Sun, Email:</w:t>
      </w:r>
      <w:r w:rsidRPr="00120F97">
        <w:rPr>
          <w:rFonts w:ascii="Arial" w:hAnsi="Arial" w:cs="Arial"/>
          <w:sz w:val="21"/>
          <w:szCs w:val="22"/>
        </w:rPr>
        <w:t xml:space="preserve"> </w:t>
      </w:r>
      <w:r w:rsidRPr="00F6361E">
        <w:rPr>
          <w:rFonts w:ascii="Arial" w:hAnsi="Arial" w:cs="Arial"/>
          <w:szCs w:val="22"/>
        </w:rPr>
        <w:t>jinyansun@fosu.edu.cn</w:t>
      </w:r>
    </w:p>
    <w:p w14:paraId="50E11676" w14:textId="77777777" w:rsidR="00154932" w:rsidRDefault="00154932" w:rsidP="0075619E">
      <w:pPr>
        <w:spacing w:before="240" w:line="240" w:lineRule="auto"/>
        <w:jc w:val="both"/>
        <w:rPr>
          <w:rFonts w:ascii="Arial" w:hAnsi="Arial" w:cs="Arial"/>
          <w:b/>
          <w:sz w:val="21"/>
          <w:szCs w:val="22"/>
        </w:rPr>
      </w:pPr>
    </w:p>
    <w:p w14:paraId="4EF4AD4E" w14:textId="510FCE1A" w:rsidR="0075619E" w:rsidRDefault="0075619E" w:rsidP="0075619E">
      <w:pPr>
        <w:adjustRightInd w:val="0"/>
        <w:snapToGrid w:val="0"/>
        <w:spacing w:after="0" w:line="360" w:lineRule="auto"/>
        <w:rPr>
          <w:rFonts w:ascii="Arial" w:eastAsia="黑体" w:hAnsi="Arial" w:cs="Arial"/>
          <w:sz w:val="21"/>
          <w:szCs w:val="21"/>
        </w:rPr>
      </w:pPr>
      <w:r w:rsidRPr="00966641">
        <w:rPr>
          <w:rFonts w:ascii="Arial" w:hAnsi="Arial" w:cs="Arial"/>
          <w:b/>
          <w:bCs/>
        </w:rPr>
        <w:t>Table S1:</w:t>
      </w:r>
      <w:r w:rsidRPr="0075619E">
        <w:rPr>
          <w:rFonts w:ascii="Arial" w:hAnsi="Arial" w:cs="Arial"/>
        </w:rPr>
        <w:t xml:space="preserve"> </w:t>
      </w:r>
      <w:r w:rsidRPr="0075619E">
        <w:rPr>
          <w:rFonts w:ascii="Arial" w:eastAsia="黑体" w:hAnsi="Arial" w:cs="Arial" w:hint="eastAsia"/>
          <w:sz w:val="21"/>
          <w:szCs w:val="21"/>
        </w:rPr>
        <w:t>Information of the used database.</w:t>
      </w:r>
    </w:p>
    <w:p w14:paraId="72AEF907" w14:textId="1DAD8F6B" w:rsidR="0075619E" w:rsidRDefault="0075619E"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2</w:t>
      </w:r>
      <w:r w:rsidRPr="00966641">
        <w:rPr>
          <w:rFonts w:ascii="Arial" w:hAnsi="Arial" w:cs="Arial"/>
          <w:b/>
          <w:bCs/>
        </w:rPr>
        <w:t>:</w:t>
      </w:r>
      <w:r w:rsidR="00295FDC" w:rsidRPr="00295FDC">
        <w:rPr>
          <w:rFonts w:hint="eastAsia"/>
        </w:rPr>
        <w:t xml:space="preserve"> </w:t>
      </w:r>
      <w:r w:rsidR="00295FDC" w:rsidRPr="00295FDC">
        <w:rPr>
          <w:rFonts w:ascii="Arial" w:hAnsi="Arial" w:cs="Arial" w:hint="eastAsia"/>
        </w:rPr>
        <w:t>GSE98793 DEG</w:t>
      </w:r>
      <w:r w:rsidR="00295FDC">
        <w:rPr>
          <w:rFonts w:ascii="Arial" w:hAnsi="Arial" w:cs="Arial" w:hint="eastAsia"/>
        </w:rPr>
        <w:t xml:space="preserve"> </w:t>
      </w:r>
      <w:r w:rsidR="00295FDC" w:rsidRPr="00295FDC">
        <w:rPr>
          <w:rFonts w:ascii="Arial" w:hAnsi="Arial" w:cs="Arial" w:hint="eastAsia"/>
        </w:rPr>
        <w:t>Lists</w:t>
      </w:r>
      <w:r w:rsidR="00295FDC">
        <w:rPr>
          <w:rFonts w:ascii="Arial" w:hAnsi="Arial" w:cs="Arial" w:hint="eastAsia"/>
        </w:rPr>
        <w:t>.</w:t>
      </w:r>
    </w:p>
    <w:p w14:paraId="4CB343F3" w14:textId="07E1B7BA"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3</w:t>
      </w:r>
      <w:r w:rsidRPr="00966641">
        <w:rPr>
          <w:rFonts w:ascii="Arial" w:hAnsi="Arial" w:cs="Arial"/>
          <w:b/>
          <w:bCs/>
        </w:rPr>
        <w:t>:</w:t>
      </w:r>
      <w:r w:rsidRPr="00295FDC">
        <w:rPr>
          <w:rFonts w:hint="eastAsia"/>
        </w:rPr>
        <w:t xml:space="preserve"> </w:t>
      </w:r>
      <w:r w:rsidRPr="00295FDC">
        <w:rPr>
          <w:rFonts w:ascii="Arial" w:hAnsi="Arial" w:cs="Arial" w:hint="eastAsia"/>
        </w:rPr>
        <w:t>GSE</w:t>
      </w:r>
      <w:r>
        <w:rPr>
          <w:rFonts w:ascii="Arial" w:hAnsi="Arial" w:cs="Arial" w:hint="eastAsia"/>
        </w:rPr>
        <w:t>76826</w:t>
      </w:r>
      <w:r w:rsidRPr="00295FDC">
        <w:rPr>
          <w:rFonts w:ascii="Arial" w:hAnsi="Arial" w:cs="Arial" w:hint="eastAsia"/>
        </w:rPr>
        <w:t xml:space="preserve"> DEG</w:t>
      </w:r>
      <w:r>
        <w:rPr>
          <w:rFonts w:ascii="Arial" w:hAnsi="Arial" w:cs="Arial" w:hint="eastAsia"/>
        </w:rPr>
        <w:t xml:space="preserve"> </w:t>
      </w:r>
      <w:r w:rsidRPr="00295FDC">
        <w:rPr>
          <w:rFonts w:ascii="Arial" w:hAnsi="Arial" w:cs="Arial" w:hint="eastAsia"/>
        </w:rPr>
        <w:t>Lists</w:t>
      </w:r>
      <w:r>
        <w:rPr>
          <w:rFonts w:ascii="Arial" w:hAnsi="Arial" w:cs="Arial" w:hint="eastAsia"/>
        </w:rPr>
        <w:t>.</w:t>
      </w:r>
    </w:p>
    <w:p w14:paraId="46621125" w14:textId="4A309872"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4</w:t>
      </w:r>
      <w:r w:rsidRPr="00966641">
        <w:rPr>
          <w:rFonts w:ascii="Arial" w:hAnsi="Arial" w:cs="Arial"/>
          <w:b/>
          <w:bCs/>
        </w:rPr>
        <w:t>:</w:t>
      </w:r>
      <w:r w:rsidRPr="00295FDC">
        <w:rPr>
          <w:rFonts w:hint="eastAsia"/>
        </w:rPr>
        <w:t xml:space="preserve"> </w:t>
      </w:r>
      <w:r w:rsidRPr="00295FDC">
        <w:rPr>
          <w:rFonts w:ascii="Arial" w:hAnsi="Arial" w:cs="Arial" w:hint="eastAsia"/>
        </w:rPr>
        <w:t>GSE</w:t>
      </w:r>
      <w:r>
        <w:rPr>
          <w:rFonts w:ascii="Arial" w:hAnsi="Arial" w:cs="Arial" w:hint="eastAsia"/>
        </w:rPr>
        <w:t>290797</w:t>
      </w:r>
      <w:r w:rsidRPr="00295FDC">
        <w:rPr>
          <w:rFonts w:ascii="Arial" w:hAnsi="Arial" w:cs="Arial" w:hint="eastAsia"/>
        </w:rPr>
        <w:t xml:space="preserve"> DEG</w:t>
      </w:r>
      <w:r>
        <w:rPr>
          <w:rFonts w:ascii="Arial" w:hAnsi="Arial" w:cs="Arial" w:hint="eastAsia"/>
        </w:rPr>
        <w:t xml:space="preserve"> </w:t>
      </w:r>
      <w:r w:rsidRPr="00295FDC">
        <w:rPr>
          <w:rFonts w:ascii="Arial" w:hAnsi="Arial" w:cs="Arial" w:hint="eastAsia"/>
        </w:rPr>
        <w:t>Lists</w:t>
      </w:r>
      <w:r>
        <w:rPr>
          <w:rFonts w:ascii="Arial" w:hAnsi="Arial" w:cs="Arial" w:hint="eastAsia"/>
        </w:rPr>
        <w:t>.</w:t>
      </w:r>
    </w:p>
    <w:p w14:paraId="1DF4A308" w14:textId="15B1DC76"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5</w:t>
      </w:r>
      <w:r w:rsidRPr="00966641">
        <w:rPr>
          <w:rFonts w:ascii="Arial" w:hAnsi="Arial" w:cs="Arial"/>
          <w:b/>
          <w:bCs/>
        </w:rPr>
        <w:t>:</w:t>
      </w:r>
      <w:r w:rsidRPr="00295FDC">
        <w:rPr>
          <w:rFonts w:hint="eastAsia"/>
        </w:rPr>
        <w:t xml:space="preserve"> </w:t>
      </w:r>
      <w:r w:rsidRPr="00295FDC">
        <w:rPr>
          <w:rFonts w:ascii="Arial" w:hAnsi="Arial" w:cs="Arial" w:hint="eastAsia"/>
        </w:rPr>
        <w:t>GSE</w:t>
      </w:r>
      <w:r>
        <w:rPr>
          <w:rFonts w:ascii="Arial" w:hAnsi="Arial" w:cs="Arial" w:hint="eastAsia"/>
        </w:rPr>
        <w:t>247998</w:t>
      </w:r>
      <w:r w:rsidRPr="00295FDC">
        <w:rPr>
          <w:rFonts w:ascii="Arial" w:hAnsi="Arial" w:cs="Arial" w:hint="eastAsia"/>
        </w:rPr>
        <w:t xml:space="preserve"> DEG</w:t>
      </w:r>
      <w:r>
        <w:rPr>
          <w:rFonts w:ascii="Arial" w:hAnsi="Arial" w:cs="Arial" w:hint="eastAsia"/>
        </w:rPr>
        <w:t xml:space="preserve"> </w:t>
      </w:r>
      <w:r w:rsidRPr="00295FDC">
        <w:rPr>
          <w:rFonts w:ascii="Arial" w:hAnsi="Arial" w:cs="Arial" w:hint="eastAsia"/>
        </w:rPr>
        <w:t>Lists</w:t>
      </w:r>
      <w:r>
        <w:rPr>
          <w:rFonts w:ascii="Arial" w:hAnsi="Arial" w:cs="Arial" w:hint="eastAsia"/>
        </w:rPr>
        <w:t>.</w:t>
      </w:r>
    </w:p>
    <w:p w14:paraId="3C63696E" w14:textId="68418B2E"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6</w:t>
      </w:r>
      <w:r w:rsidRPr="00966641">
        <w:rPr>
          <w:rFonts w:ascii="Arial" w:hAnsi="Arial" w:cs="Arial"/>
          <w:b/>
          <w:bCs/>
        </w:rPr>
        <w:t>:</w:t>
      </w:r>
      <w:r w:rsidRPr="00295FDC">
        <w:rPr>
          <w:rFonts w:hint="eastAsia"/>
        </w:rPr>
        <w:t xml:space="preserve"> </w:t>
      </w:r>
      <w:r w:rsidRPr="00295FDC">
        <w:rPr>
          <w:rFonts w:ascii="Arial" w:hAnsi="Arial" w:cs="Arial" w:hint="eastAsia"/>
        </w:rPr>
        <w:t>GSE</w:t>
      </w:r>
      <w:r>
        <w:rPr>
          <w:rFonts w:ascii="Arial" w:hAnsi="Arial" w:cs="Arial" w:hint="eastAsia"/>
        </w:rPr>
        <w:t>99725</w:t>
      </w:r>
      <w:r w:rsidRPr="00295FDC">
        <w:rPr>
          <w:rFonts w:ascii="Arial" w:hAnsi="Arial" w:cs="Arial" w:hint="eastAsia"/>
        </w:rPr>
        <w:t xml:space="preserve"> DEG</w:t>
      </w:r>
      <w:r>
        <w:rPr>
          <w:rFonts w:ascii="Arial" w:hAnsi="Arial" w:cs="Arial" w:hint="eastAsia"/>
        </w:rPr>
        <w:t xml:space="preserve"> </w:t>
      </w:r>
      <w:r w:rsidRPr="00295FDC">
        <w:rPr>
          <w:rFonts w:ascii="Arial" w:hAnsi="Arial" w:cs="Arial" w:hint="eastAsia"/>
        </w:rPr>
        <w:t>Lists</w:t>
      </w:r>
      <w:r>
        <w:rPr>
          <w:rFonts w:ascii="Arial" w:hAnsi="Arial" w:cs="Arial" w:hint="eastAsia"/>
        </w:rPr>
        <w:t>.</w:t>
      </w:r>
    </w:p>
    <w:p w14:paraId="02927E07" w14:textId="1D02CE4C"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7</w:t>
      </w:r>
      <w:r w:rsidRPr="00966641">
        <w:rPr>
          <w:rFonts w:ascii="Arial" w:hAnsi="Arial" w:cs="Arial"/>
          <w:b/>
          <w:bCs/>
        </w:rPr>
        <w:t>:</w:t>
      </w:r>
      <w:r w:rsidRPr="00295FDC">
        <w:rPr>
          <w:rFonts w:hint="eastAsia"/>
        </w:rPr>
        <w:t xml:space="preserve"> </w:t>
      </w:r>
      <w:r w:rsidRPr="00295FDC">
        <w:rPr>
          <w:rFonts w:ascii="Arial" w:hAnsi="Arial" w:cs="Arial" w:hint="eastAsia"/>
        </w:rPr>
        <w:t>GSE</w:t>
      </w:r>
      <w:r>
        <w:rPr>
          <w:rFonts w:ascii="Arial" w:hAnsi="Arial" w:cs="Arial" w:hint="eastAsia"/>
        </w:rPr>
        <w:t>185855</w:t>
      </w:r>
      <w:r w:rsidRPr="00295FDC">
        <w:rPr>
          <w:rFonts w:ascii="Arial" w:hAnsi="Arial" w:cs="Arial" w:hint="eastAsia"/>
        </w:rPr>
        <w:t xml:space="preserve"> DEG</w:t>
      </w:r>
      <w:r>
        <w:rPr>
          <w:rFonts w:ascii="Arial" w:hAnsi="Arial" w:cs="Arial" w:hint="eastAsia"/>
        </w:rPr>
        <w:t xml:space="preserve"> </w:t>
      </w:r>
      <w:r w:rsidRPr="00295FDC">
        <w:rPr>
          <w:rFonts w:ascii="Arial" w:hAnsi="Arial" w:cs="Arial" w:hint="eastAsia"/>
        </w:rPr>
        <w:t>Lists</w:t>
      </w:r>
      <w:r>
        <w:rPr>
          <w:rFonts w:ascii="Arial" w:hAnsi="Arial" w:cs="Arial" w:hint="eastAsia"/>
        </w:rPr>
        <w:t>.</w:t>
      </w:r>
    </w:p>
    <w:p w14:paraId="04D53E14" w14:textId="629FBDEB"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8</w:t>
      </w:r>
      <w:r w:rsidRPr="00966641">
        <w:rPr>
          <w:rFonts w:ascii="Arial" w:hAnsi="Arial" w:cs="Arial"/>
          <w:b/>
          <w:bCs/>
        </w:rPr>
        <w:t>:</w:t>
      </w:r>
      <w:r w:rsidRPr="00295FDC">
        <w:rPr>
          <w:rFonts w:hint="eastAsia"/>
        </w:rPr>
        <w:t xml:space="preserve"> </w:t>
      </w:r>
      <w:r w:rsidRPr="00295FDC">
        <w:rPr>
          <w:rFonts w:ascii="Arial" w:hAnsi="Arial" w:cs="Arial" w:hint="eastAsia"/>
        </w:rPr>
        <w:t>DEGs found by RRA methods</w:t>
      </w:r>
      <w:r>
        <w:rPr>
          <w:rFonts w:ascii="Arial" w:hAnsi="Arial" w:cs="Arial" w:hint="eastAsia"/>
        </w:rPr>
        <w:t>.</w:t>
      </w:r>
    </w:p>
    <w:p w14:paraId="76C72FFB" w14:textId="40CB39D5"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9</w:t>
      </w:r>
      <w:r w:rsidRPr="00966641">
        <w:rPr>
          <w:rFonts w:ascii="Arial" w:hAnsi="Arial" w:cs="Arial"/>
          <w:b/>
          <w:bCs/>
        </w:rPr>
        <w:t>:</w:t>
      </w:r>
      <w:r w:rsidRPr="00295FDC">
        <w:rPr>
          <w:rFonts w:hint="eastAsia"/>
        </w:rPr>
        <w:t xml:space="preserve"> </w:t>
      </w:r>
      <w:r w:rsidRPr="00295FDC">
        <w:rPr>
          <w:rFonts w:ascii="Arial" w:hAnsi="Arial" w:cs="Arial" w:hint="eastAsia"/>
        </w:rPr>
        <w:t>DEGs found by Gene intersection methods</w:t>
      </w:r>
      <w:r>
        <w:rPr>
          <w:rFonts w:ascii="Arial" w:hAnsi="Arial" w:cs="Arial" w:hint="eastAsia"/>
        </w:rPr>
        <w:t>.</w:t>
      </w:r>
    </w:p>
    <w:p w14:paraId="0CFC2807" w14:textId="505BED0D"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10</w:t>
      </w:r>
      <w:r w:rsidRPr="00966641">
        <w:rPr>
          <w:rFonts w:ascii="Arial" w:hAnsi="Arial" w:cs="Arial"/>
          <w:b/>
          <w:bCs/>
        </w:rPr>
        <w:t>:</w:t>
      </w:r>
      <w:r w:rsidRPr="00295FDC">
        <w:rPr>
          <w:rFonts w:hint="eastAsia"/>
        </w:rPr>
        <w:t xml:space="preserve"> </w:t>
      </w:r>
      <w:r w:rsidRPr="00295FDC">
        <w:rPr>
          <w:rFonts w:ascii="Arial" w:hAnsi="Arial" w:cs="Arial" w:hint="eastAsia"/>
        </w:rPr>
        <w:t>ALL DEG pathway enrichment result</w:t>
      </w:r>
    </w:p>
    <w:p w14:paraId="22F129C0" w14:textId="086A30D0"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11</w:t>
      </w:r>
      <w:r w:rsidRPr="00966641">
        <w:rPr>
          <w:rFonts w:ascii="Arial" w:hAnsi="Arial" w:cs="Arial"/>
          <w:b/>
          <w:bCs/>
        </w:rPr>
        <w:t>:</w:t>
      </w:r>
      <w:r w:rsidRPr="00295FDC">
        <w:rPr>
          <w:rFonts w:hint="eastAsia"/>
        </w:rPr>
        <w:t xml:space="preserve"> </w:t>
      </w:r>
      <w:r w:rsidRPr="00295FDC">
        <w:rPr>
          <w:rFonts w:ascii="Arial" w:hAnsi="Arial" w:cs="Arial" w:hint="eastAsia"/>
        </w:rPr>
        <w:t>Gene intersection method pathway enrichment result</w:t>
      </w:r>
      <w:r>
        <w:rPr>
          <w:rFonts w:ascii="Arial" w:hAnsi="Arial" w:cs="Arial" w:hint="eastAsia"/>
        </w:rPr>
        <w:t>.</w:t>
      </w:r>
    </w:p>
    <w:p w14:paraId="6D849EC1" w14:textId="4DC6C0E9"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12</w:t>
      </w:r>
      <w:r w:rsidRPr="00966641">
        <w:rPr>
          <w:rFonts w:ascii="Arial" w:hAnsi="Arial" w:cs="Arial"/>
          <w:b/>
          <w:bCs/>
        </w:rPr>
        <w:t>:</w:t>
      </w:r>
      <w:r w:rsidRPr="00295FDC">
        <w:rPr>
          <w:rFonts w:hint="eastAsia"/>
        </w:rPr>
        <w:t xml:space="preserve"> </w:t>
      </w:r>
      <w:r w:rsidRPr="00295FDC">
        <w:rPr>
          <w:rFonts w:ascii="Arial" w:hAnsi="Arial" w:cs="Arial" w:hint="eastAsia"/>
        </w:rPr>
        <w:t>RRA method pathway enrichment result</w:t>
      </w:r>
      <w:r>
        <w:rPr>
          <w:rFonts w:ascii="Arial" w:hAnsi="Arial" w:cs="Arial" w:hint="eastAsia"/>
        </w:rPr>
        <w:t>.</w:t>
      </w:r>
    </w:p>
    <w:p w14:paraId="371F95E6" w14:textId="7389D25A"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13</w:t>
      </w:r>
      <w:r w:rsidRPr="00966641">
        <w:rPr>
          <w:rFonts w:ascii="Arial" w:hAnsi="Arial" w:cs="Arial"/>
          <w:b/>
          <w:bCs/>
        </w:rPr>
        <w:t>:</w:t>
      </w:r>
      <w:r w:rsidRPr="00295FDC">
        <w:rPr>
          <w:rFonts w:hint="eastAsia"/>
        </w:rPr>
        <w:t xml:space="preserve"> </w:t>
      </w:r>
      <w:r w:rsidRPr="00295FDC">
        <w:rPr>
          <w:rFonts w:ascii="Arial" w:hAnsi="Arial" w:cs="Arial" w:hint="eastAsia"/>
        </w:rPr>
        <w:t>GSE144136 Cell Type Markers</w:t>
      </w:r>
      <w:r>
        <w:rPr>
          <w:rFonts w:ascii="Arial" w:hAnsi="Arial" w:cs="Arial" w:hint="eastAsia"/>
        </w:rPr>
        <w:t>.</w:t>
      </w:r>
    </w:p>
    <w:p w14:paraId="6632AEE6" w14:textId="1AEABCE6" w:rsidR="00295FDC" w:rsidRDefault="00295FDC" w:rsidP="00295FDC">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14</w:t>
      </w:r>
      <w:r w:rsidRPr="00966641">
        <w:rPr>
          <w:rFonts w:ascii="Arial" w:hAnsi="Arial" w:cs="Arial"/>
          <w:b/>
          <w:bCs/>
        </w:rPr>
        <w:t>:</w:t>
      </w:r>
      <w:r w:rsidRPr="00295FDC">
        <w:rPr>
          <w:rFonts w:hint="eastAsia"/>
        </w:rPr>
        <w:t xml:space="preserve"> </w:t>
      </w:r>
      <w:r w:rsidRPr="00295FDC">
        <w:rPr>
          <w:rFonts w:ascii="Arial" w:hAnsi="Arial" w:cs="Arial" w:hint="eastAsia"/>
        </w:rPr>
        <w:t>GSE201687 Cell Type Markers</w:t>
      </w:r>
      <w:r>
        <w:rPr>
          <w:rFonts w:ascii="Arial" w:hAnsi="Arial" w:cs="Arial" w:hint="eastAsia"/>
        </w:rPr>
        <w:t>.</w:t>
      </w:r>
    </w:p>
    <w:p w14:paraId="62809F89" w14:textId="1FE6D717" w:rsidR="00295FDC" w:rsidRDefault="00295FDC" w:rsidP="00295FDC">
      <w:pPr>
        <w:adjustRightInd w:val="0"/>
        <w:snapToGrid w:val="0"/>
        <w:spacing w:after="0" w:line="360" w:lineRule="auto"/>
        <w:rPr>
          <w:rFonts w:ascii="Arial" w:hAnsi="Arial" w:cs="Arial"/>
        </w:rPr>
      </w:pPr>
      <w:r w:rsidRPr="00966641">
        <w:rPr>
          <w:rFonts w:ascii="Arial" w:hAnsi="Arial" w:cs="Arial"/>
          <w:b/>
          <w:bCs/>
        </w:rPr>
        <w:lastRenderedPageBreak/>
        <w:t>Table S</w:t>
      </w:r>
      <w:r>
        <w:rPr>
          <w:rFonts w:ascii="Arial" w:hAnsi="Arial" w:cs="Arial" w:hint="eastAsia"/>
          <w:b/>
          <w:bCs/>
        </w:rPr>
        <w:t>15</w:t>
      </w:r>
      <w:r w:rsidRPr="00966641">
        <w:rPr>
          <w:rFonts w:ascii="Arial" w:hAnsi="Arial" w:cs="Arial"/>
          <w:b/>
          <w:bCs/>
        </w:rPr>
        <w:t>:</w:t>
      </w:r>
      <w:r w:rsidRPr="00295FDC">
        <w:rPr>
          <w:rFonts w:hint="eastAsia"/>
        </w:rPr>
        <w:t xml:space="preserve"> </w:t>
      </w:r>
      <w:r w:rsidRPr="00295FDC">
        <w:rPr>
          <w:rFonts w:ascii="Arial" w:hAnsi="Arial" w:cs="Arial" w:hint="eastAsia"/>
        </w:rPr>
        <w:t>Validation DEGs</w:t>
      </w:r>
      <w:r>
        <w:rPr>
          <w:rFonts w:ascii="Arial" w:hAnsi="Arial" w:cs="Arial" w:hint="eastAsia"/>
        </w:rPr>
        <w:t>.</w:t>
      </w:r>
    </w:p>
    <w:p w14:paraId="596BE546" w14:textId="75189F17" w:rsidR="00295FDC" w:rsidRPr="00295FDC" w:rsidRDefault="00295FDC" w:rsidP="0075619E">
      <w:pPr>
        <w:adjustRightInd w:val="0"/>
        <w:snapToGrid w:val="0"/>
        <w:spacing w:after="0" w:line="360" w:lineRule="auto"/>
        <w:rPr>
          <w:rFonts w:ascii="Arial" w:hAnsi="Arial" w:cs="Arial"/>
        </w:rPr>
      </w:pPr>
      <w:r w:rsidRPr="00966641">
        <w:rPr>
          <w:rFonts w:ascii="Arial" w:hAnsi="Arial" w:cs="Arial"/>
          <w:b/>
          <w:bCs/>
        </w:rPr>
        <w:t>Table S</w:t>
      </w:r>
      <w:r>
        <w:rPr>
          <w:rFonts w:ascii="Arial" w:hAnsi="Arial" w:cs="Arial" w:hint="eastAsia"/>
          <w:b/>
          <w:bCs/>
        </w:rPr>
        <w:t>16</w:t>
      </w:r>
      <w:r w:rsidRPr="00966641">
        <w:rPr>
          <w:rFonts w:ascii="Arial" w:hAnsi="Arial" w:cs="Arial"/>
          <w:b/>
          <w:bCs/>
        </w:rPr>
        <w:t>:</w:t>
      </w:r>
      <w:r w:rsidRPr="00295FDC">
        <w:rPr>
          <w:rFonts w:hint="eastAsia"/>
        </w:rPr>
        <w:t xml:space="preserve"> </w:t>
      </w:r>
      <w:r w:rsidRPr="00295FDC">
        <w:rPr>
          <w:rFonts w:ascii="Arial" w:hAnsi="Arial" w:cs="Arial" w:hint="eastAsia"/>
        </w:rPr>
        <w:t>Validation Pathway enrichment result</w:t>
      </w:r>
      <w:r>
        <w:rPr>
          <w:rFonts w:ascii="Arial" w:hAnsi="Arial" w:cs="Arial" w:hint="eastAsia"/>
        </w:rPr>
        <w:t>.</w:t>
      </w:r>
    </w:p>
    <w:p w14:paraId="68E8109F" w14:textId="77777777" w:rsidR="00295FDC" w:rsidRPr="0075619E" w:rsidRDefault="00295FDC" w:rsidP="0075619E">
      <w:pPr>
        <w:adjustRightInd w:val="0"/>
        <w:snapToGrid w:val="0"/>
        <w:spacing w:after="0" w:line="360" w:lineRule="auto"/>
        <w:rPr>
          <w:rFonts w:ascii="Arial" w:eastAsia="黑体" w:hAnsi="Arial" w:cs="Arial"/>
          <w:sz w:val="21"/>
          <w:szCs w:val="21"/>
        </w:rPr>
      </w:pPr>
    </w:p>
    <w:p w14:paraId="0A870200" w14:textId="57BA9C4C" w:rsidR="0075619E" w:rsidRPr="0075619E" w:rsidRDefault="0075619E" w:rsidP="0075619E">
      <w:pPr>
        <w:adjustRightInd w:val="0"/>
        <w:snapToGrid w:val="0"/>
        <w:spacing w:after="0" w:line="360" w:lineRule="auto"/>
        <w:rPr>
          <w:rFonts w:ascii="Arial" w:eastAsia="黑体" w:hAnsi="Arial" w:cs="Arial"/>
          <w:sz w:val="21"/>
          <w:szCs w:val="21"/>
        </w:rPr>
      </w:pPr>
      <w:r w:rsidRPr="00AC017F">
        <w:rPr>
          <w:rFonts w:ascii="Arial" w:eastAsia="黑体" w:hAnsi="Arial" w:cs="Arial"/>
          <w:b/>
          <w:bCs/>
          <w:sz w:val="21"/>
          <w:szCs w:val="21"/>
        </w:rPr>
        <w:t>Supplementary Fig</w:t>
      </w:r>
      <w:r w:rsidR="003422DF">
        <w:rPr>
          <w:rFonts w:ascii="Arial" w:eastAsia="黑体" w:hAnsi="Arial" w:cs="Arial" w:hint="eastAsia"/>
          <w:b/>
          <w:bCs/>
          <w:sz w:val="21"/>
          <w:szCs w:val="21"/>
        </w:rPr>
        <w:t>.</w:t>
      </w:r>
      <w:r w:rsidRPr="00AC017F">
        <w:rPr>
          <w:rFonts w:ascii="Arial" w:eastAsia="黑体" w:hAnsi="Arial" w:cs="Arial"/>
          <w:b/>
          <w:bCs/>
          <w:sz w:val="21"/>
          <w:szCs w:val="21"/>
        </w:rPr>
        <w:t xml:space="preserve"> 1</w:t>
      </w:r>
      <w:r>
        <w:rPr>
          <w:rFonts w:ascii="Arial" w:eastAsia="黑体" w:hAnsi="Arial" w:cs="Arial" w:hint="eastAsia"/>
          <w:b/>
          <w:bCs/>
          <w:sz w:val="21"/>
          <w:szCs w:val="21"/>
        </w:rPr>
        <w:t>：</w:t>
      </w:r>
      <w:r w:rsidRPr="0075619E">
        <w:rPr>
          <w:rFonts w:ascii="Arial" w:eastAsia="黑体" w:hAnsi="Arial" w:cs="Arial" w:hint="eastAsia"/>
          <w:sz w:val="21"/>
          <w:szCs w:val="21"/>
        </w:rPr>
        <w:t>Visualizing transcriptomic heterogeneity across cohorts.</w:t>
      </w:r>
      <w:r w:rsidRPr="0075619E">
        <w:rPr>
          <w:rFonts w:ascii="Arial" w:eastAsia="黑体" w:hAnsi="Arial" w:cs="Arial"/>
          <w:sz w:val="21"/>
          <w:szCs w:val="21"/>
        </w:rPr>
        <w:t xml:space="preserve"> </w:t>
      </w:r>
    </w:p>
    <w:p w14:paraId="4342F0B6" w14:textId="12ABEC80" w:rsidR="0075619E" w:rsidRDefault="0075619E" w:rsidP="0075619E">
      <w:pPr>
        <w:spacing w:after="0" w:line="36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w:t>
      </w:r>
      <w:r w:rsidR="003422DF">
        <w:rPr>
          <w:rFonts w:ascii="Arial" w:eastAsia="黑体" w:hAnsi="Arial" w:cs="Arial" w:hint="eastAsia"/>
          <w:b/>
          <w:bCs/>
          <w:sz w:val="21"/>
          <w:szCs w:val="21"/>
        </w:rPr>
        <w:t xml:space="preserve"> </w:t>
      </w:r>
      <w:r w:rsidRPr="00AC017F">
        <w:rPr>
          <w:rFonts w:ascii="Arial" w:eastAsia="黑体" w:hAnsi="Arial" w:cs="Arial"/>
          <w:b/>
          <w:bCs/>
          <w:sz w:val="21"/>
          <w:szCs w:val="21"/>
        </w:rPr>
        <w:t>2</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FE5EEB" w:rsidRPr="00FE5EEB">
        <w:rPr>
          <w:rFonts w:ascii="Arial" w:eastAsia="黑体" w:hAnsi="Arial" w:cs="Arial" w:hint="eastAsia"/>
          <w:sz w:val="21"/>
          <w:szCs w:val="21"/>
        </w:rPr>
        <w:t>Transcriptomic heterogeneity and differential expression landscape across six independent peripheral blood cohorts.</w:t>
      </w:r>
      <w:r w:rsidRPr="0075619E">
        <w:rPr>
          <w:rFonts w:ascii="Arial" w:eastAsia="黑体" w:hAnsi="Arial" w:cs="Arial" w:hint="eastAsia"/>
          <w:sz w:val="21"/>
          <w:szCs w:val="21"/>
        </w:rPr>
        <w:t xml:space="preserve"> </w:t>
      </w:r>
    </w:p>
    <w:p w14:paraId="377802AE" w14:textId="3EA92A99" w:rsidR="00FE5EEB" w:rsidRDefault="00FE5EEB" w:rsidP="0075619E">
      <w:pPr>
        <w:spacing w:after="0" w:line="360" w:lineRule="auto"/>
        <w:rPr>
          <w:rFonts w:ascii="Arial" w:eastAsia="黑体" w:hAnsi="Arial" w:cs="Arial"/>
          <w:sz w:val="21"/>
          <w:szCs w:val="21"/>
        </w:rPr>
      </w:pPr>
      <w:r w:rsidRPr="00FE5EEB">
        <w:rPr>
          <w:rFonts w:ascii="Arial" w:eastAsia="黑体" w:hAnsi="Arial" w:cs="Arial" w:hint="eastAsia"/>
          <w:b/>
          <w:bCs/>
          <w:sz w:val="21"/>
          <w:szCs w:val="21"/>
        </w:rPr>
        <w:t xml:space="preserve">Supplementary Fig. </w:t>
      </w:r>
      <w:r w:rsidR="00201F2F">
        <w:rPr>
          <w:rFonts w:ascii="Arial" w:eastAsia="黑体" w:hAnsi="Arial" w:cs="Arial"/>
          <w:b/>
          <w:bCs/>
          <w:sz w:val="21"/>
          <w:szCs w:val="21"/>
        </w:rPr>
        <w:t>3</w:t>
      </w:r>
      <w:r w:rsidRPr="00FE5EEB">
        <w:rPr>
          <w:rFonts w:ascii="Arial" w:eastAsia="黑体" w:hAnsi="Arial" w:cs="Arial" w:hint="eastAsia"/>
          <w:b/>
          <w:bCs/>
          <w:sz w:val="21"/>
          <w:szCs w:val="21"/>
        </w:rPr>
        <w:t>:</w:t>
      </w:r>
      <w:r w:rsidRPr="00FE5EEB">
        <w:rPr>
          <w:rFonts w:ascii="Arial" w:eastAsia="黑体" w:hAnsi="Arial" w:cs="Arial" w:hint="eastAsia"/>
          <w:sz w:val="21"/>
          <w:szCs w:val="21"/>
        </w:rPr>
        <w:t xml:space="preserve"> Deconvolution validates central glial shifts in peripheral blood and their pharmacological reversal.</w:t>
      </w:r>
    </w:p>
    <w:p w14:paraId="58027424" w14:textId="35463137" w:rsidR="00201F2F" w:rsidRPr="00201F2F" w:rsidRDefault="00201F2F" w:rsidP="0075619E">
      <w:pPr>
        <w:spacing w:after="0" w:line="36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Pr>
          <w:rFonts w:ascii="Arial" w:eastAsia="黑体" w:hAnsi="Arial" w:cs="Arial"/>
          <w:b/>
          <w:bCs/>
          <w:sz w:val="21"/>
          <w:szCs w:val="21"/>
        </w:rPr>
        <w:t>4</w:t>
      </w:r>
      <w:r>
        <w:rPr>
          <w:rFonts w:ascii="Arial" w:eastAsia="黑体" w:hAnsi="Arial" w:cs="Arial" w:hint="eastAsia"/>
          <w:b/>
          <w:bCs/>
          <w:sz w:val="21"/>
          <w:szCs w:val="21"/>
        </w:rPr>
        <w:t>：</w:t>
      </w:r>
      <w:r w:rsidRPr="00FE5EEB">
        <w:rPr>
          <w:rFonts w:ascii="Arial" w:eastAsia="黑体" w:hAnsi="Arial" w:cs="Arial" w:hint="eastAsia"/>
          <w:sz w:val="21"/>
          <w:szCs w:val="21"/>
        </w:rPr>
        <w:t>Hyper-connected intercellular signaling landscape in the MDD microenvironment.</w:t>
      </w:r>
    </w:p>
    <w:p w14:paraId="214585D7" w14:textId="7EB805B6" w:rsidR="00FE5EEB" w:rsidRDefault="00FE5EEB" w:rsidP="0075619E">
      <w:pPr>
        <w:spacing w:after="0" w:line="360" w:lineRule="auto"/>
        <w:rPr>
          <w:rFonts w:ascii="Arial" w:eastAsia="黑体" w:hAnsi="Arial" w:cs="Arial"/>
          <w:sz w:val="21"/>
          <w:szCs w:val="21"/>
        </w:rPr>
      </w:pPr>
      <w:r w:rsidRPr="00FE5EEB">
        <w:rPr>
          <w:rFonts w:ascii="Arial" w:eastAsia="黑体" w:hAnsi="Arial" w:cs="Arial" w:hint="eastAsia"/>
          <w:b/>
          <w:bCs/>
          <w:sz w:val="21"/>
          <w:szCs w:val="21"/>
        </w:rPr>
        <w:t>Supplementary Fig. 5:</w:t>
      </w:r>
      <w:r w:rsidRPr="00FE5EEB">
        <w:rPr>
          <w:rFonts w:ascii="Arial" w:eastAsia="黑体" w:hAnsi="Arial" w:cs="Arial" w:hint="eastAsia"/>
          <w:sz w:val="21"/>
          <w:szCs w:val="21"/>
        </w:rPr>
        <w:t xml:space="preserve"> Recapitulation of the glial-specific transcriptomic signature in the GSE98793 cohort.</w:t>
      </w:r>
    </w:p>
    <w:p w14:paraId="17003E1F" w14:textId="69799055" w:rsidR="00FE5EEB" w:rsidRDefault="00FE5EEB" w:rsidP="00FE5EEB">
      <w:pPr>
        <w:rPr>
          <w:rFonts w:hint="eastAsia"/>
        </w:rPr>
      </w:pPr>
      <w:r w:rsidRPr="00AC017F">
        <w:rPr>
          <w:rFonts w:ascii="Arial" w:eastAsia="黑体" w:hAnsi="Arial" w:cs="Arial"/>
          <w:b/>
          <w:bCs/>
          <w:sz w:val="21"/>
          <w:szCs w:val="21"/>
        </w:rPr>
        <w:t>Supplementary Fig</w:t>
      </w:r>
      <w:r>
        <w:rPr>
          <w:rFonts w:ascii="Arial" w:eastAsia="黑体" w:hAnsi="Arial" w:cs="Arial" w:hint="eastAsia"/>
          <w:b/>
          <w:bCs/>
          <w:sz w:val="21"/>
          <w:szCs w:val="21"/>
        </w:rPr>
        <w:t>. 6:</w:t>
      </w:r>
      <w:r w:rsidRPr="00AC017F">
        <w:rPr>
          <w:rFonts w:ascii="Arial" w:eastAsia="黑体" w:hAnsi="Arial" w:cs="Arial"/>
          <w:b/>
          <w:bCs/>
          <w:sz w:val="21"/>
          <w:szCs w:val="21"/>
        </w:rPr>
        <w:t xml:space="preserve"> </w:t>
      </w:r>
      <w:r w:rsidRPr="00FE5EEB">
        <w:rPr>
          <w:rFonts w:ascii="Arial" w:eastAsia="黑体" w:hAnsi="Arial" w:cs="Arial" w:hint="eastAsia"/>
          <w:sz w:val="21"/>
          <w:szCs w:val="21"/>
        </w:rPr>
        <w:t>Independent validation of cell-type-specific marker dysregulation in the GSE76826 cohort.</w:t>
      </w:r>
    </w:p>
    <w:p w14:paraId="7F5BD8F7" w14:textId="77777777" w:rsidR="00FE5EEB" w:rsidRDefault="00FE5EEB" w:rsidP="00FE5EEB">
      <w:pPr>
        <w:rPr>
          <w:rFonts w:hint="eastAsia"/>
        </w:rPr>
      </w:pPr>
      <w:r w:rsidRPr="00AC017F">
        <w:rPr>
          <w:rFonts w:ascii="Arial" w:eastAsia="黑体" w:hAnsi="Arial" w:cs="Arial"/>
          <w:b/>
          <w:bCs/>
          <w:sz w:val="21"/>
          <w:szCs w:val="21"/>
        </w:rPr>
        <w:t>Supplementary Fig</w:t>
      </w:r>
      <w:r>
        <w:rPr>
          <w:rFonts w:ascii="Arial" w:eastAsia="黑体" w:hAnsi="Arial" w:cs="Arial" w:hint="eastAsia"/>
          <w:b/>
          <w:bCs/>
          <w:sz w:val="21"/>
          <w:szCs w:val="21"/>
        </w:rPr>
        <w:t>. 7:</w:t>
      </w:r>
      <w:r w:rsidRPr="00AC017F">
        <w:rPr>
          <w:rFonts w:ascii="Arial" w:eastAsia="黑体" w:hAnsi="Arial" w:cs="Arial"/>
          <w:b/>
          <w:bCs/>
          <w:sz w:val="21"/>
          <w:szCs w:val="21"/>
        </w:rPr>
        <w:t xml:space="preserve"> </w:t>
      </w:r>
      <w:r w:rsidRPr="00FE5EEB">
        <w:rPr>
          <w:rFonts w:ascii="Arial" w:eastAsia="黑体" w:hAnsi="Arial" w:cs="Arial" w:hint="eastAsia"/>
          <w:sz w:val="21"/>
          <w:szCs w:val="21"/>
        </w:rPr>
        <w:t>Pharmacological attenuation of glial marker dysregulation by fluoxetine in rat model.</w:t>
      </w:r>
    </w:p>
    <w:p w14:paraId="05C79382" w14:textId="697C87FB" w:rsidR="00FE5EEB" w:rsidRPr="00FE5EEB" w:rsidRDefault="00FE5EEB" w:rsidP="00FE5EEB">
      <w:pPr>
        <w:rPr>
          <w:rFonts w:hint="eastAsia"/>
        </w:rPr>
      </w:pPr>
      <w:r w:rsidRPr="00AC017F">
        <w:rPr>
          <w:rFonts w:ascii="Arial" w:eastAsia="黑体" w:hAnsi="Arial" w:cs="Arial"/>
          <w:b/>
          <w:bCs/>
          <w:sz w:val="21"/>
          <w:szCs w:val="21"/>
        </w:rPr>
        <w:t>Supplementary Fig</w:t>
      </w:r>
      <w:r>
        <w:rPr>
          <w:rFonts w:ascii="Arial" w:eastAsia="黑体" w:hAnsi="Arial" w:cs="Arial" w:hint="eastAsia"/>
          <w:b/>
          <w:bCs/>
          <w:sz w:val="21"/>
          <w:szCs w:val="21"/>
        </w:rPr>
        <w:t>. 8:</w:t>
      </w:r>
      <w:r w:rsidRPr="00AC017F">
        <w:rPr>
          <w:rFonts w:ascii="Arial" w:eastAsia="黑体" w:hAnsi="Arial" w:cs="Arial"/>
          <w:b/>
          <w:bCs/>
          <w:sz w:val="21"/>
          <w:szCs w:val="21"/>
        </w:rPr>
        <w:t xml:space="preserve"> </w:t>
      </w:r>
      <w:r w:rsidRPr="00FE5EEB">
        <w:rPr>
          <w:rFonts w:ascii="Arial" w:eastAsia="黑体" w:hAnsi="Arial" w:cs="Arial" w:hint="eastAsia"/>
          <w:sz w:val="21"/>
          <w:szCs w:val="21"/>
        </w:rPr>
        <w:t>Broad pharmacological reversal of the MDD-associated glial signature across multiple antidepressant treatment.</w:t>
      </w:r>
    </w:p>
    <w:p w14:paraId="56F4C023" w14:textId="77777777" w:rsidR="000743F3" w:rsidRDefault="000743F3" w:rsidP="0075619E">
      <w:pPr>
        <w:spacing w:after="0" w:line="360" w:lineRule="auto"/>
        <w:jc w:val="both"/>
        <w:rPr>
          <w:rFonts w:ascii="Arial" w:eastAsia="黑体" w:hAnsi="Arial" w:cs="Arial"/>
          <w:sz w:val="21"/>
          <w:szCs w:val="21"/>
        </w:rPr>
        <w:sectPr w:rsidR="000743F3">
          <w:pgSz w:w="11906" w:h="16838"/>
          <w:pgMar w:top="1440" w:right="1800" w:bottom="1440" w:left="1800" w:header="851" w:footer="992" w:gutter="0"/>
          <w:cols w:space="425"/>
          <w:docGrid w:type="lines" w:linePitch="312"/>
        </w:sectPr>
      </w:pPr>
    </w:p>
    <w:p w14:paraId="038E2E7F" w14:textId="71010BF3" w:rsidR="000743F3" w:rsidRDefault="000743F3" w:rsidP="000743F3">
      <w:pPr>
        <w:spacing w:line="480" w:lineRule="auto"/>
        <w:rPr>
          <w:rFonts w:ascii="Arial" w:eastAsia="黑体" w:hAnsi="Arial" w:cs="Arial"/>
          <w:b/>
          <w:bCs/>
          <w:sz w:val="21"/>
          <w:szCs w:val="21"/>
        </w:rPr>
      </w:pPr>
      <w:r w:rsidRPr="00AC017F">
        <w:rPr>
          <w:rFonts w:ascii="Arial" w:eastAsia="黑体" w:hAnsi="Arial" w:cs="Arial"/>
          <w:b/>
          <w:bCs/>
          <w:sz w:val="21"/>
          <w:szCs w:val="21"/>
        </w:rPr>
        <w:lastRenderedPageBreak/>
        <w:t xml:space="preserve">Supplementary </w:t>
      </w:r>
      <w:r>
        <w:rPr>
          <w:rFonts w:ascii="Arial" w:eastAsia="黑体" w:hAnsi="Arial" w:cs="Arial" w:hint="eastAsia"/>
          <w:b/>
          <w:bCs/>
          <w:sz w:val="21"/>
          <w:szCs w:val="21"/>
        </w:rPr>
        <w:t>Table 1. I</w:t>
      </w:r>
      <w:r w:rsidRPr="00512349">
        <w:rPr>
          <w:rFonts w:ascii="Arial" w:eastAsia="黑体" w:hAnsi="Arial" w:cs="Arial" w:hint="eastAsia"/>
          <w:b/>
          <w:bCs/>
          <w:sz w:val="21"/>
          <w:szCs w:val="21"/>
        </w:rPr>
        <w:t>nformation of the</w:t>
      </w:r>
      <w:r w:rsidR="008C4904">
        <w:rPr>
          <w:rFonts w:ascii="Arial" w:eastAsia="黑体" w:hAnsi="Arial" w:cs="Arial" w:hint="eastAsia"/>
          <w:b/>
          <w:bCs/>
          <w:sz w:val="21"/>
          <w:szCs w:val="21"/>
        </w:rPr>
        <w:t xml:space="preserve"> used</w:t>
      </w:r>
      <w:r w:rsidRPr="00512349">
        <w:rPr>
          <w:rFonts w:ascii="Arial" w:eastAsia="黑体" w:hAnsi="Arial" w:cs="Arial" w:hint="eastAsia"/>
          <w:b/>
          <w:bCs/>
          <w:sz w:val="21"/>
          <w:szCs w:val="21"/>
        </w:rPr>
        <w:t xml:space="preserve"> database</w:t>
      </w:r>
      <w:r>
        <w:rPr>
          <w:rFonts w:ascii="Arial" w:eastAsia="黑体" w:hAnsi="Arial" w:cs="Arial" w:hint="eastAsia"/>
          <w:b/>
          <w:bCs/>
          <w:sz w:val="21"/>
          <w:szCs w:val="21"/>
        </w:rPr>
        <w:t>.</w:t>
      </w:r>
    </w:p>
    <w:tbl>
      <w:tblPr>
        <w:tblW w:w="12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159"/>
        <w:gridCol w:w="1000"/>
        <w:gridCol w:w="1450"/>
        <w:gridCol w:w="1809"/>
        <w:gridCol w:w="1701"/>
        <w:gridCol w:w="1501"/>
        <w:gridCol w:w="1409"/>
      </w:tblGrid>
      <w:tr w:rsidR="000743F3" w:rsidRPr="005A3445" w14:paraId="3E7849BD" w14:textId="77777777" w:rsidTr="002F36DC">
        <w:trPr>
          <w:trHeight w:val="285"/>
          <w:jc w:val="center"/>
        </w:trPr>
        <w:tc>
          <w:tcPr>
            <w:tcW w:w="1867" w:type="dxa"/>
            <w:noWrap/>
            <w:vAlign w:val="center"/>
            <w:hideMark/>
          </w:tcPr>
          <w:p w14:paraId="009A67A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GEO accession codes</w:t>
            </w:r>
          </w:p>
        </w:tc>
        <w:tc>
          <w:tcPr>
            <w:tcW w:w="2159" w:type="dxa"/>
            <w:noWrap/>
            <w:vAlign w:val="center"/>
            <w:hideMark/>
          </w:tcPr>
          <w:p w14:paraId="3E8716E8"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Group</w:t>
            </w:r>
          </w:p>
        </w:tc>
        <w:tc>
          <w:tcPr>
            <w:tcW w:w="1000" w:type="dxa"/>
            <w:noWrap/>
            <w:vAlign w:val="center"/>
            <w:hideMark/>
          </w:tcPr>
          <w:p w14:paraId="5F86A6A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Species</w:t>
            </w:r>
          </w:p>
        </w:tc>
        <w:tc>
          <w:tcPr>
            <w:tcW w:w="1450" w:type="dxa"/>
            <w:noWrap/>
            <w:vAlign w:val="center"/>
            <w:hideMark/>
          </w:tcPr>
          <w:p w14:paraId="4BB57C2A"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Sample Size (n)</w:t>
            </w:r>
          </w:p>
        </w:tc>
        <w:tc>
          <w:tcPr>
            <w:tcW w:w="1809" w:type="dxa"/>
            <w:noWrap/>
            <w:vAlign w:val="center"/>
            <w:hideMark/>
          </w:tcPr>
          <w:p w14:paraId="0C692304"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Gender (Famle/Male)</w:t>
            </w:r>
          </w:p>
        </w:tc>
        <w:tc>
          <w:tcPr>
            <w:tcW w:w="1701" w:type="dxa"/>
            <w:noWrap/>
            <w:vAlign w:val="center"/>
            <w:hideMark/>
          </w:tcPr>
          <w:p w14:paraId="3870F61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Data Preprocessing</w:t>
            </w:r>
          </w:p>
        </w:tc>
        <w:tc>
          <w:tcPr>
            <w:tcW w:w="1501" w:type="dxa"/>
            <w:noWrap/>
            <w:vAlign w:val="center"/>
            <w:hideMark/>
          </w:tcPr>
          <w:p w14:paraId="609CCB0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Sequencing type</w:t>
            </w:r>
          </w:p>
        </w:tc>
        <w:tc>
          <w:tcPr>
            <w:tcW w:w="1409" w:type="dxa"/>
            <w:noWrap/>
            <w:vAlign w:val="center"/>
            <w:hideMark/>
          </w:tcPr>
          <w:p w14:paraId="7A26D2F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Sample Source</w:t>
            </w:r>
          </w:p>
        </w:tc>
      </w:tr>
      <w:tr w:rsidR="000743F3" w:rsidRPr="005A3445" w14:paraId="60EF758C" w14:textId="77777777" w:rsidTr="002F36DC">
        <w:trPr>
          <w:trHeight w:val="285"/>
          <w:jc w:val="center"/>
        </w:trPr>
        <w:tc>
          <w:tcPr>
            <w:tcW w:w="1867" w:type="dxa"/>
            <w:vMerge w:val="restart"/>
            <w:noWrap/>
            <w:vAlign w:val="center"/>
            <w:hideMark/>
          </w:tcPr>
          <w:p w14:paraId="27B1A2D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GSE98793</w:t>
            </w:r>
          </w:p>
        </w:tc>
        <w:tc>
          <w:tcPr>
            <w:tcW w:w="2159" w:type="dxa"/>
            <w:noWrap/>
            <w:vAlign w:val="center"/>
            <w:hideMark/>
          </w:tcPr>
          <w:p w14:paraId="64BFE68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30FB57C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35644B5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128</w:t>
            </w:r>
          </w:p>
        </w:tc>
        <w:tc>
          <w:tcPr>
            <w:tcW w:w="1809" w:type="dxa"/>
            <w:noWrap/>
            <w:vAlign w:val="center"/>
            <w:hideMark/>
          </w:tcPr>
          <w:p w14:paraId="63ABD3D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96/32</w:t>
            </w:r>
          </w:p>
        </w:tc>
        <w:tc>
          <w:tcPr>
            <w:tcW w:w="1701" w:type="dxa"/>
            <w:vMerge w:val="restart"/>
            <w:noWrap/>
            <w:vAlign w:val="center"/>
            <w:hideMark/>
          </w:tcPr>
          <w:p w14:paraId="51EC0ED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RMA Normalized</w:t>
            </w:r>
          </w:p>
        </w:tc>
        <w:tc>
          <w:tcPr>
            <w:tcW w:w="1501" w:type="dxa"/>
            <w:vMerge w:val="restart"/>
            <w:noWrap/>
            <w:vAlign w:val="center"/>
            <w:hideMark/>
          </w:tcPr>
          <w:p w14:paraId="68023F78"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3949D7FA"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284AACF4" w14:textId="77777777" w:rsidTr="002F36DC">
        <w:trPr>
          <w:trHeight w:val="285"/>
          <w:jc w:val="center"/>
        </w:trPr>
        <w:tc>
          <w:tcPr>
            <w:tcW w:w="1867" w:type="dxa"/>
            <w:vMerge/>
            <w:vAlign w:val="center"/>
            <w:hideMark/>
          </w:tcPr>
          <w:p w14:paraId="5D7D72F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30B1732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229AB8AB"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24AB3F6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64</w:t>
            </w:r>
          </w:p>
        </w:tc>
        <w:tc>
          <w:tcPr>
            <w:tcW w:w="1809" w:type="dxa"/>
            <w:noWrap/>
            <w:vAlign w:val="center"/>
            <w:hideMark/>
          </w:tcPr>
          <w:p w14:paraId="58AB3C1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48/16</w:t>
            </w:r>
          </w:p>
        </w:tc>
        <w:tc>
          <w:tcPr>
            <w:tcW w:w="1701" w:type="dxa"/>
            <w:vMerge/>
            <w:vAlign w:val="center"/>
            <w:hideMark/>
          </w:tcPr>
          <w:p w14:paraId="3C2DF023"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4962531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5C1B8F05"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6E4E039B" w14:textId="77777777" w:rsidTr="002F36DC">
        <w:trPr>
          <w:trHeight w:val="285"/>
          <w:jc w:val="center"/>
        </w:trPr>
        <w:tc>
          <w:tcPr>
            <w:tcW w:w="1867" w:type="dxa"/>
            <w:vMerge w:val="restart"/>
            <w:noWrap/>
            <w:vAlign w:val="center"/>
            <w:hideMark/>
          </w:tcPr>
          <w:p w14:paraId="53D9C2F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GSE76826</w:t>
            </w:r>
          </w:p>
        </w:tc>
        <w:tc>
          <w:tcPr>
            <w:tcW w:w="2159" w:type="dxa"/>
            <w:noWrap/>
            <w:vAlign w:val="center"/>
            <w:hideMark/>
          </w:tcPr>
          <w:p w14:paraId="64194BA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3978424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559353E4"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20</w:t>
            </w:r>
          </w:p>
        </w:tc>
        <w:tc>
          <w:tcPr>
            <w:tcW w:w="1809" w:type="dxa"/>
            <w:noWrap/>
            <w:vAlign w:val="center"/>
            <w:hideMark/>
          </w:tcPr>
          <w:p w14:paraId="1006313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11/9</w:t>
            </w:r>
          </w:p>
        </w:tc>
        <w:tc>
          <w:tcPr>
            <w:tcW w:w="1701" w:type="dxa"/>
            <w:vMerge w:val="restart"/>
            <w:noWrap/>
            <w:vAlign w:val="center"/>
            <w:hideMark/>
          </w:tcPr>
          <w:p w14:paraId="589AC73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RMA Normalized</w:t>
            </w:r>
          </w:p>
        </w:tc>
        <w:tc>
          <w:tcPr>
            <w:tcW w:w="1501" w:type="dxa"/>
            <w:vMerge w:val="restart"/>
            <w:noWrap/>
            <w:vAlign w:val="center"/>
            <w:hideMark/>
          </w:tcPr>
          <w:p w14:paraId="44D9B10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6E69DCF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02B49B06" w14:textId="77777777" w:rsidTr="002F36DC">
        <w:trPr>
          <w:trHeight w:val="285"/>
          <w:jc w:val="center"/>
        </w:trPr>
        <w:tc>
          <w:tcPr>
            <w:tcW w:w="1867" w:type="dxa"/>
            <w:vMerge/>
            <w:vAlign w:val="center"/>
            <w:hideMark/>
          </w:tcPr>
          <w:p w14:paraId="41ED4D7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47C1A75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6B3CCD8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16A4AA1A"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12</w:t>
            </w:r>
          </w:p>
        </w:tc>
        <w:tc>
          <w:tcPr>
            <w:tcW w:w="1809" w:type="dxa"/>
            <w:noWrap/>
            <w:vAlign w:val="center"/>
            <w:hideMark/>
          </w:tcPr>
          <w:p w14:paraId="461E720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7/5</w:t>
            </w:r>
          </w:p>
        </w:tc>
        <w:tc>
          <w:tcPr>
            <w:tcW w:w="1701" w:type="dxa"/>
            <w:vMerge/>
            <w:vAlign w:val="center"/>
            <w:hideMark/>
          </w:tcPr>
          <w:p w14:paraId="1908399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6B95927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6421E0A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6E9451DD" w14:textId="77777777" w:rsidTr="002F36DC">
        <w:trPr>
          <w:trHeight w:val="285"/>
          <w:jc w:val="center"/>
        </w:trPr>
        <w:tc>
          <w:tcPr>
            <w:tcW w:w="1867" w:type="dxa"/>
            <w:vMerge w:val="restart"/>
            <w:noWrap/>
            <w:vAlign w:val="center"/>
            <w:hideMark/>
          </w:tcPr>
          <w:p w14:paraId="65ABF0A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GSE290797</w:t>
            </w:r>
          </w:p>
        </w:tc>
        <w:tc>
          <w:tcPr>
            <w:tcW w:w="2159" w:type="dxa"/>
            <w:noWrap/>
            <w:vAlign w:val="center"/>
            <w:hideMark/>
          </w:tcPr>
          <w:p w14:paraId="103CD8D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09589A1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271C04E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64</w:t>
            </w:r>
          </w:p>
        </w:tc>
        <w:tc>
          <w:tcPr>
            <w:tcW w:w="1809" w:type="dxa"/>
            <w:noWrap/>
            <w:vAlign w:val="center"/>
            <w:hideMark/>
          </w:tcPr>
          <w:p w14:paraId="78F3D8C4"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64/0</w:t>
            </w:r>
          </w:p>
        </w:tc>
        <w:tc>
          <w:tcPr>
            <w:tcW w:w="1701" w:type="dxa"/>
            <w:vMerge w:val="restart"/>
            <w:noWrap/>
            <w:vAlign w:val="center"/>
            <w:hideMark/>
          </w:tcPr>
          <w:p w14:paraId="3DCFDDC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RMA Normalized</w:t>
            </w:r>
          </w:p>
        </w:tc>
        <w:tc>
          <w:tcPr>
            <w:tcW w:w="1501" w:type="dxa"/>
            <w:vMerge w:val="restart"/>
            <w:noWrap/>
            <w:vAlign w:val="center"/>
            <w:hideMark/>
          </w:tcPr>
          <w:p w14:paraId="6A7BD77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2C059E3D"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2E2BDDA1" w14:textId="77777777" w:rsidTr="002F36DC">
        <w:trPr>
          <w:trHeight w:val="285"/>
          <w:jc w:val="center"/>
        </w:trPr>
        <w:tc>
          <w:tcPr>
            <w:tcW w:w="1867" w:type="dxa"/>
            <w:vMerge/>
            <w:vAlign w:val="center"/>
            <w:hideMark/>
          </w:tcPr>
          <w:p w14:paraId="4B1584F8"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139AF75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3B0F5E88"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57AA5B6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28</w:t>
            </w:r>
          </w:p>
        </w:tc>
        <w:tc>
          <w:tcPr>
            <w:tcW w:w="1809" w:type="dxa"/>
            <w:noWrap/>
            <w:vAlign w:val="center"/>
            <w:hideMark/>
          </w:tcPr>
          <w:p w14:paraId="3D8149A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28/0</w:t>
            </w:r>
          </w:p>
        </w:tc>
        <w:tc>
          <w:tcPr>
            <w:tcW w:w="1701" w:type="dxa"/>
            <w:vMerge/>
            <w:vAlign w:val="center"/>
            <w:hideMark/>
          </w:tcPr>
          <w:p w14:paraId="23F326D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4226EA0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69EC6D5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10A0FFDB" w14:textId="77777777" w:rsidTr="002F36DC">
        <w:trPr>
          <w:trHeight w:val="285"/>
          <w:jc w:val="center"/>
        </w:trPr>
        <w:tc>
          <w:tcPr>
            <w:tcW w:w="1867" w:type="dxa"/>
            <w:vMerge w:val="restart"/>
            <w:noWrap/>
            <w:vAlign w:val="center"/>
            <w:hideMark/>
          </w:tcPr>
          <w:p w14:paraId="63E22B5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GSE247998</w:t>
            </w:r>
          </w:p>
        </w:tc>
        <w:tc>
          <w:tcPr>
            <w:tcW w:w="2159" w:type="dxa"/>
            <w:noWrap/>
            <w:vAlign w:val="center"/>
            <w:hideMark/>
          </w:tcPr>
          <w:p w14:paraId="76A5E89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55D810D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5D09EB6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73</w:t>
            </w:r>
          </w:p>
        </w:tc>
        <w:tc>
          <w:tcPr>
            <w:tcW w:w="1809" w:type="dxa"/>
            <w:noWrap/>
            <w:vAlign w:val="center"/>
            <w:hideMark/>
          </w:tcPr>
          <w:p w14:paraId="6099BC1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44/29</w:t>
            </w:r>
          </w:p>
        </w:tc>
        <w:tc>
          <w:tcPr>
            <w:tcW w:w="1701" w:type="dxa"/>
            <w:vMerge w:val="restart"/>
            <w:noWrap/>
            <w:vAlign w:val="center"/>
            <w:hideMark/>
          </w:tcPr>
          <w:p w14:paraId="04D0C19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tc>
        <w:tc>
          <w:tcPr>
            <w:tcW w:w="1501" w:type="dxa"/>
            <w:vMerge w:val="restart"/>
            <w:noWrap/>
            <w:vAlign w:val="center"/>
            <w:hideMark/>
          </w:tcPr>
          <w:p w14:paraId="579FFA3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2F4F4F4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3C9E8D31" w14:textId="77777777" w:rsidTr="002F36DC">
        <w:trPr>
          <w:trHeight w:val="285"/>
          <w:jc w:val="center"/>
        </w:trPr>
        <w:tc>
          <w:tcPr>
            <w:tcW w:w="1867" w:type="dxa"/>
            <w:vMerge/>
            <w:vAlign w:val="center"/>
            <w:hideMark/>
          </w:tcPr>
          <w:p w14:paraId="0B843CB8"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6B1A0F3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61C7CAC3"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48BA83D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27</w:t>
            </w:r>
          </w:p>
        </w:tc>
        <w:tc>
          <w:tcPr>
            <w:tcW w:w="1809" w:type="dxa"/>
            <w:noWrap/>
            <w:vAlign w:val="center"/>
            <w:hideMark/>
          </w:tcPr>
          <w:p w14:paraId="365FAEC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16/11</w:t>
            </w:r>
          </w:p>
        </w:tc>
        <w:tc>
          <w:tcPr>
            <w:tcW w:w="1701" w:type="dxa"/>
            <w:vMerge/>
            <w:vAlign w:val="center"/>
            <w:hideMark/>
          </w:tcPr>
          <w:p w14:paraId="0FC02D6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5A9ABBF5"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7D29834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75CED0A7" w14:textId="77777777" w:rsidTr="002F36DC">
        <w:trPr>
          <w:trHeight w:val="285"/>
          <w:jc w:val="center"/>
        </w:trPr>
        <w:tc>
          <w:tcPr>
            <w:tcW w:w="1867" w:type="dxa"/>
            <w:vMerge w:val="restart"/>
            <w:noWrap/>
            <w:vAlign w:val="center"/>
            <w:hideMark/>
          </w:tcPr>
          <w:p w14:paraId="299B6C7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GSE99725</w:t>
            </w:r>
          </w:p>
        </w:tc>
        <w:tc>
          <w:tcPr>
            <w:tcW w:w="2159" w:type="dxa"/>
            <w:noWrap/>
            <w:vAlign w:val="center"/>
            <w:hideMark/>
          </w:tcPr>
          <w:p w14:paraId="4A9BE42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598C4904"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75D9F5A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15</w:t>
            </w:r>
          </w:p>
        </w:tc>
        <w:tc>
          <w:tcPr>
            <w:tcW w:w="1809" w:type="dxa"/>
            <w:noWrap/>
            <w:vAlign w:val="center"/>
            <w:hideMark/>
          </w:tcPr>
          <w:p w14:paraId="45B28B7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unknow</w:t>
            </w:r>
          </w:p>
        </w:tc>
        <w:tc>
          <w:tcPr>
            <w:tcW w:w="1701" w:type="dxa"/>
            <w:vMerge w:val="restart"/>
            <w:noWrap/>
            <w:vAlign w:val="center"/>
            <w:hideMark/>
          </w:tcPr>
          <w:p w14:paraId="6D9C64A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RMA Normalized</w:t>
            </w:r>
          </w:p>
        </w:tc>
        <w:tc>
          <w:tcPr>
            <w:tcW w:w="1501" w:type="dxa"/>
            <w:vMerge w:val="restart"/>
            <w:noWrap/>
            <w:vAlign w:val="center"/>
            <w:hideMark/>
          </w:tcPr>
          <w:p w14:paraId="23CE95D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4757290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3708AE35" w14:textId="77777777" w:rsidTr="002F36DC">
        <w:trPr>
          <w:trHeight w:val="285"/>
          <w:jc w:val="center"/>
        </w:trPr>
        <w:tc>
          <w:tcPr>
            <w:tcW w:w="1867" w:type="dxa"/>
            <w:vMerge/>
            <w:vAlign w:val="center"/>
            <w:hideMark/>
          </w:tcPr>
          <w:p w14:paraId="1A279D51"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7CCAEFA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1058176F"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1E87C14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18</w:t>
            </w:r>
          </w:p>
        </w:tc>
        <w:tc>
          <w:tcPr>
            <w:tcW w:w="1809" w:type="dxa"/>
            <w:noWrap/>
            <w:vAlign w:val="center"/>
            <w:hideMark/>
          </w:tcPr>
          <w:p w14:paraId="590EDDB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unknow</w:t>
            </w:r>
          </w:p>
        </w:tc>
        <w:tc>
          <w:tcPr>
            <w:tcW w:w="1701" w:type="dxa"/>
            <w:vMerge/>
            <w:vAlign w:val="center"/>
            <w:hideMark/>
          </w:tcPr>
          <w:p w14:paraId="2A5BB6C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1B7FC43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0F97363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2FFBDB1C" w14:textId="77777777" w:rsidTr="002F36DC">
        <w:trPr>
          <w:trHeight w:val="285"/>
          <w:jc w:val="center"/>
        </w:trPr>
        <w:tc>
          <w:tcPr>
            <w:tcW w:w="1867" w:type="dxa"/>
            <w:vMerge w:val="restart"/>
            <w:noWrap/>
            <w:vAlign w:val="center"/>
            <w:hideMark/>
          </w:tcPr>
          <w:p w14:paraId="630FFE3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GSE185855</w:t>
            </w:r>
          </w:p>
        </w:tc>
        <w:tc>
          <w:tcPr>
            <w:tcW w:w="2159" w:type="dxa"/>
            <w:noWrap/>
            <w:vAlign w:val="center"/>
            <w:hideMark/>
          </w:tcPr>
          <w:p w14:paraId="77998C4D"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58A868D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4FCC197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26</w:t>
            </w:r>
          </w:p>
        </w:tc>
        <w:tc>
          <w:tcPr>
            <w:tcW w:w="1809" w:type="dxa"/>
            <w:noWrap/>
            <w:vAlign w:val="center"/>
            <w:hideMark/>
          </w:tcPr>
          <w:p w14:paraId="63F8C32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14/12</w:t>
            </w:r>
          </w:p>
        </w:tc>
        <w:tc>
          <w:tcPr>
            <w:tcW w:w="1701" w:type="dxa"/>
            <w:vMerge w:val="restart"/>
            <w:noWrap/>
            <w:vAlign w:val="center"/>
            <w:hideMark/>
          </w:tcPr>
          <w:p w14:paraId="596313A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tc>
        <w:tc>
          <w:tcPr>
            <w:tcW w:w="1501" w:type="dxa"/>
            <w:vMerge w:val="restart"/>
            <w:noWrap/>
            <w:vAlign w:val="center"/>
            <w:hideMark/>
          </w:tcPr>
          <w:p w14:paraId="48F66DE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30E3D8A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Blood</w:t>
            </w:r>
          </w:p>
        </w:tc>
      </w:tr>
      <w:tr w:rsidR="000743F3" w:rsidRPr="005A3445" w14:paraId="55AD9997" w14:textId="77777777" w:rsidTr="002F36DC">
        <w:trPr>
          <w:trHeight w:val="285"/>
          <w:jc w:val="center"/>
        </w:trPr>
        <w:tc>
          <w:tcPr>
            <w:tcW w:w="1867" w:type="dxa"/>
            <w:vMerge/>
            <w:vAlign w:val="center"/>
            <w:hideMark/>
          </w:tcPr>
          <w:p w14:paraId="6C11837B"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76EDFC5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 Control</w:t>
            </w:r>
          </w:p>
        </w:tc>
        <w:tc>
          <w:tcPr>
            <w:tcW w:w="1000" w:type="dxa"/>
            <w:vMerge/>
            <w:vAlign w:val="center"/>
            <w:hideMark/>
          </w:tcPr>
          <w:p w14:paraId="22F7979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0F7E3B1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21</w:t>
            </w:r>
          </w:p>
        </w:tc>
        <w:tc>
          <w:tcPr>
            <w:tcW w:w="1809" w:type="dxa"/>
            <w:noWrap/>
            <w:vAlign w:val="center"/>
            <w:hideMark/>
          </w:tcPr>
          <w:p w14:paraId="78ACC72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10/11</w:t>
            </w:r>
          </w:p>
        </w:tc>
        <w:tc>
          <w:tcPr>
            <w:tcW w:w="1701" w:type="dxa"/>
            <w:vMerge/>
            <w:vAlign w:val="center"/>
            <w:hideMark/>
          </w:tcPr>
          <w:p w14:paraId="1761040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7FE53B5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18216F0A"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76F1F2D6" w14:textId="77777777" w:rsidTr="002F36DC">
        <w:trPr>
          <w:trHeight w:val="285"/>
          <w:jc w:val="center"/>
        </w:trPr>
        <w:tc>
          <w:tcPr>
            <w:tcW w:w="1867" w:type="dxa"/>
            <w:vMerge w:val="restart"/>
            <w:noWrap/>
            <w:vAlign w:val="center"/>
            <w:hideMark/>
          </w:tcPr>
          <w:p w14:paraId="7FEA103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GSE222756</w:t>
            </w:r>
          </w:p>
        </w:tc>
        <w:tc>
          <w:tcPr>
            <w:tcW w:w="2159" w:type="dxa"/>
            <w:noWrap/>
            <w:vAlign w:val="center"/>
            <w:hideMark/>
          </w:tcPr>
          <w:p w14:paraId="517D106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Fluoxetine</w:t>
            </w:r>
          </w:p>
        </w:tc>
        <w:tc>
          <w:tcPr>
            <w:tcW w:w="1000" w:type="dxa"/>
            <w:vMerge w:val="restart"/>
            <w:noWrap/>
            <w:vAlign w:val="center"/>
            <w:hideMark/>
          </w:tcPr>
          <w:p w14:paraId="45EC2EF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Rat</w:t>
            </w:r>
          </w:p>
        </w:tc>
        <w:tc>
          <w:tcPr>
            <w:tcW w:w="1450" w:type="dxa"/>
            <w:noWrap/>
            <w:vAlign w:val="center"/>
            <w:hideMark/>
          </w:tcPr>
          <w:p w14:paraId="10D1AB5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50</w:t>
            </w:r>
          </w:p>
        </w:tc>
        <w:tc>
          <w:tcPr>
            <w:tcW w:w="1809" w:type="dxa"/>
            <w:vMerge w:val="restart"/>
            <w:vAlign w:val="center"/>
            <w:hideMark/>
          </w:tcPr>
          <w:p w14:paraId="56A80A7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unknow</w:t>
            </w:r>
          </w:p>
        </w:tc>
        <w:tc>
          <w:tcPr>
            <w:tcW w:w="1701" w:type="dxa"/>
            <w:vMerge w:val="restart"/>
            <w:noWrap/>
            <w:vAlign w:val="center"/>
            <w:hideMark/>
          </w:tcPr>
          <w:p w14:paraId="07A75958" w14:textId="77777777" w:rsidR="000743F3"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p w14:paraId="3A1B4914" w14:textId="77777777" w:rsidR="000743F3" w:rsidRPr="005A3445" w:rsidRDefault="000743F3" w:rsidP="002F36DC">
            <w:pPr>
              <w:spacing w:line="240" w:lineRule="auto"/>
              <w:rPr>
                <w:rFonts w:ascii="Arial" w:eastAsia="宋体" w:hAnsi="Arial" w:cs="Arial"/>
                <w:sz w:val="18"/>
                <w:szCs w:val="18"/>
              </w:rPr>
            </w:pPr>
          </w:p>
        </w:tc>
        <w:tc>
          <w:tcPr>
            <w:tcW w:w="1501" w:type="dxa"/>
            <w:vMerge w:val="restart"/>
            <w:noWrap/>
            <w:vAlign w:val="center"/>
            <w:hideMark/>
          </w:tcPr>
          <w:p w14:paraId="43CF626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05FDDC1D"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Brain</w:t>
            </w:r>
          </w:p>
        </w:tc>
      </w:tr>
      <w:tr w:rsidR="000743F3" w:rsidRPr="005A3445" w14:paraId="672E1E6D" w14:textId="77777777" w:rsidTr="002F36DC">
        <w:trPr>
          <w:trHeight w:val="285"/>
          <w:jc w:val="center"/>
        </w:trPr>
        <w:tc>
          <w:tcPr>
            <w:tcW w:w="1867" w:type="dxa"/>
            <w:vMerge/>
            <w:vAlign w:val="center"/>
            <w:hideMark/>
          </w:tcPr>
          <w:p w14:paraId="3AFE05B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3E2CF3D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Bupropion</w:t>
            </w:r>
          </w:p>
        </w:tc>
        <w:tc>
          <w:tcPr>
            <w:tcW w:w="1000" w:type="dxa"/>
            <w:vMerge/>
            <w:vAlign w:val="center"/>
            <w:hideMark/>
          </w:tcPr>
          <w:p w14:paraId="5D93AD8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05755B9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50</w:t>
            </w:r>
          </w:p>
        </w:tc>
        <w:tc>
          <w:tcPr>
            <w:tcW w:w="1809" w:type="dxa"/>
            <w:vMerge/>
            <w:vAlign w:val="center"/>
            <w:hideMark/>
          </w:tcPr>
          <w:p w14:paraId="02470B72"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7A8EBD3F"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50FF19D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65902D7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12D71F7D" w14:textId="77777777" w:rsidTr="002F36DC">
        <w:trPr>
          <w:trHeight w:val="285"/>
          <w:jc w:val="center"/>
        </w:trPr>
        <w:tc>
          <w:tcPr>
            <w:tcW w:w="1867" w:type="dxa"/>
            <w:vMerge/>
            <w:vAlign w:val="center"/>
            <w:hideMark/>
          </w:tcPr>
          <w:p w14:paraId="6F522BC3"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3E65D4D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Desipramine</w:t>
            </w:r>
          </w:p>
        </w:tc>
        <w:tc>
          <w:tcPr>
            <w:tcW w:w="1000" w:type="dxa"/>
            <w:vMerge/>
            <w:vAlign w:val="center"/>
            <w:hideMark/>
          </w:tcPr>
          <w:p w14:paraId="63A2553A"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65AC833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50</w:t>
            </w:r>
          </w:p>
        </w:tc>
        <w:tc>
          <w:tcPr>
            <w:tcW w:w="1809" w:type="dxa"/>
            <w:vMerge/>
            <w:vAlign w:val="center"/>
            <w:hideMark/>
          </w:tcPr>
          <w:p w14:paraId="26329319"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7D41EFCF"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6599CE36"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5888CAC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40EF2F30" w14:textId="77777777" w:rsidTr="002F36DC">
        <w:trPr>
          <w:trHeight w:val="285"/>
          <w:jc w:val="center"/>
        </w:trPr>
        <w:tc>
          <w:tcPr>
            <w:tcW w:w="1867" w:type="dxa"/>
            <w:vMerge/>
            <w:vAlign w:val="center"/>
            <w:hideMark/>
          </w:tcPr>
          <w:p w14:paraId="61DFBBED"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5F3951C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Probiotics</w:t>
            </w:r>
          </w:p>
        </w:tc>
        <w:tc>
          <w:tcPr>
            <w:tcW w:w="1000" w:type="dxa"/>
            <w:vMerge/>
            <w:vAlign w:val="center"/>
            <w:hideMark/>
          </w:tcPr>
          <w:p w14:paraId="35043C7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7E90083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50</w:t>
            </w:r>
          </w:p>
        </w:tc>
        <w:tc>
          <w:tcPr>
            <w:tcW w:w="1809" w:type="dxa"/>
            <w:vMerge/>
            <w:vAlign w:val="center"/>
            <w:hideMark/>
          </w:tcPr>
          <w:p w14:paraId="7697997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30E75DB2"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37024C0F"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6E2C9F7B"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1349ED68" w14:textId="77777777" w:rsidTr="002F36DC">
        <w:trPr>
          <w:trHeight w:val="285"/>
          <w:jc w:val="center"/>
        </w:trPr>
        <w:tc>
          <w:tcPr>
            <w:tcW w:w="1867" w:type="dxa"/>
            <w:vMerge/>
            <w:vAlign w:val="center"/>
            <w:hideMark/>
          </w:tcPr>
          <w:p w14:paraId="32F227D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0EF04AEA"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Maltodextrin</w:t>
            </w:r>
          </w:p>
        </w:tc>
        <w:tc>
          <w:tcPr>
            <w:tcW w:w="1000" w:type="dxa"/>
            <w:vMerge/>
            <w:vAlign w:val="center"/>
            <w:hideMark/>
          </w:tcPr>
          <w:p w14:paraId="3376AFA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6B3C64F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50</w:t>
            </w:r>
          </w:p>
        </w:tc>
        <w:tc>
          <w:tcPr>
            <w:tcW w:w="1809" w:type="dxa"/>
            <w:vMerge/>
            <w:vAlign w:val="center"/>
            <w:hideMark/>
          </w:tcPr>
          <w:p w14:paraId="06F946E6"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242194D6"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3757A0D2"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37C1724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034F1F63" w14:textId="77777777" w:rsidTr="002F36DC">
        <w:trPr>
          <w:trHeight w:val="199"/>
          <w:jc w:val="center"/>
        </w:trPr>
        <w:tc>
          <w:tcPr>
            <w:tcW w:w="1867" w:type="dxa"/>
            <w:vMerge/>
            <w:vAlign w:val="center"/>
            <w:hideMark/>
          </w:tcPr>
          <w:p w14:paraId="16255991"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31E9DEA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Control</w:t>
            </w:r>
          </w:p>
        </w:tc>
        <w:tc>
          <w:tcPr>
            <w:tcW w:w="1000" w:type="dxa"/>
            <w:vMerge/>
            <w:vAlign w:val="center"/>
            <w:hideMark/>
          </w:tcPr>
          <w:p w14:paraId="740F7160"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0F7D5F5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hint="eastAsia"/>
                <w:color w:val="000000"/>
                <w:kern w:val="0"/>
                <w:sz w:val="18"/>
                <w:szCs w:val="18"/>
                <w14:ligatures w14:val="none"/>
              </w:rPr>
              <w:t>50</w:t>
            </w:r>
          </w:p>
        </w:tc>
        <w:tc>
          <w:tcPr>
            <w:tcW w:w="1809" w:type="dxa"/>
            <w:vMerge/>
            <w:vAlign w:val="center"/>
            <w:hideMark/>
          </w:tcPr>
          <w:p w14:paraId="57C07DC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0EA612F6"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14322EC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64393FBD"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5354AA61" w14:textId="77777777" w:rsidTr="002F36DC">
        <w:trPr>
          <w:trHeight w:val="285"/>
          <w:jc w:val="center"/>
        </w:trPr>
        <w:tc>
          <w:tcPr>
            <w:tcW w:w="1867" w:type="dxa"/>
            <w:vMerge w:val="restart"/>
            <w:noWrap/>
            <w:vAlign w:val="center"/>
            <w:hideMark/>
          </w:tcPr>
          <w:p w14:paraId="0D73D7C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GSE194289</w:t>
            </w:r>
          </w:p>
        </w:tc>
        <w:tc>
          <w:tcPr>
            <w:tcW w:w="2159" w:type="dxa"/>
            <w:noWrap/>
            <w:vAlign w:val="center"/>
            <w:hideMark/>
          </w:tcPr>
          <w:p w14:paraId="3028E93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Fluoxetine</w:t>
            </w:r>
          </w:p>
        </w:tc>
        <w:tc>
          <w:tcPr>
            <w:tcW w:w="1000" w:type="dxa"/>
            <w:vMerge w:val="restart"/>
            <w:noWrap/>
            <w:vAlign w:val="center"/>
            <w:hideMark/>
          </w:tcPr>
          <w:p w14:paraId="2C870B17"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Rat</w:t>
            </w:r>
          </w:p>
        </w:tc>
        <w:tc>
          <w:tcPr>
            <w:tcW w:w="1450" w:type="dxa"/>
            <w:noWrap/>
            <w:vAlign w:val="center"/>
            <w:hideMark/>
          </w:tcPr>
          <w:p w14:paraId="53C148B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106</w:t>
            </w:r>
          </w:p>
        </w:tc>
        <w:tc>
          <w:tcPr>
            <w:tcW w:w="1809" w:type="dxa"/>
            <w:vMerge w:val="restart"/>
            <w:vAlign w:val="center"/>
            <w:hideMark/>
          </w:tcPr>
          <w:p w14:paraId="390FB31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unknow</w:t>
            </w:r>
          </w:p>
        </w:tc>
        <w:tc>
          <w:tcPr>
            <w:tcW w:w="1701" w:type="dxa"/>
            <w:vMerge w:val="restart"/>
            <w:noWrap/>
            <w:vAlign w:val="center"/>
            <w:hideMark/>
          </w:tcPr>
          <w:p w14:paraId="2A56DABE"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tc>
        <w:tc>
          <w:tcPr>
            <w:tcW w:w="1501" w:type="dxa"/>
            <w:vMerge w:val="restart"/>
            <w:noWrap/>
            <w:vAlign w:val="center"/>
            <w:hideMark/>
          </w:tcPr>
          <w:p w14:paraId="61126CE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Bulk RNA-Seq</w:t>
            </w:r>
          </w:p>
        </w:tc>
        <w:tc>
          <w:tcPr>
            <w:tcW w:w="1409" w:type="dxa"/>
            <w:vMerge w:val="restart"/>
            <w:noWrap/>
            <w:vAlign w:val="center"/>
            <w:hideMark/>
          </w:tcPr>
          <w:p w14:paraId="1AE80D58"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Brain</w:t>
            </w:r>
          </w:p>
        </w:tc>
      </w:tr>
      <w:tr w:rsidR="000743F3" w:rsidRPr="005A3445" w14:paraId="06127305" w14:textId="77777777" w:rsidTr="002F36DC">
        <w:trPr>
          <w:trHeight w:val="285"/>
          <w:jc w:val="center"/>
        </w:trPr>
        <w:tc>
          <w:tcPr>
            <w:tcW w:w="1867" w:type="dxa"/>
            <w:vMerge/>
            <w:vAlign w:val="center"/>
            <w:hideMark/>
          </w:tcPr>
          <w:p w14:paraId="72193B07"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4CFA7C0B"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Control</w:t>
            </w:r>
          </w:p>
        </w:tc>
        <w:tc>
          <w:tcPr>
            <w:tcW w:w="1000" w:type="dxa"/>
            <w:vMerge/>
            <w:vAlign w:val="center"/>
            <w:hideMark/>
          </w:tcPr>
          <w:p w14:paraId="40759F9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7B79404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106</w:t>
            </w:r>
          </w:p>
        </w:tc>
        <w:tc>
          <w:tcPr>
            <w:tcW w:w="1809" w:type="dxa"/>
            <w:vMerge/>
            <w:vAlign w:val="center"/>
            <w:hideMark/>
          </w:tcPr>
          <w:p w14:paraId="75A38908"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701" w:type="dxa"/>
            <w:vMerge/>
            <w:vAlign w:val="center"/>
            <w:hideMark/>
          </w:tcPr>
          <w:p w14:paraId="1DCCDC63"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572F8BC5"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5611DB2F"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7034484D" w14:textId="77777777" w:rsidTr="002F36DC">
        <w:trPr>
          <w:trHeight w:val="285"/>
          <w:jc w:val="center"/>
        </w:trPr>
        <w:tc>
          <w:tcPr>
            <w:tcW w:w="1867" w:type="dxa"/>
            <w:vMerge w:val="restart"/>
            <w:noWrap/>
            <w:vAlign w:val="center"/>
            <w:hideMark/>
          </w:tcPr>
          <w:p w14:paraId="0CD32B3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GSE144136</w:t>
            </w:r>
          </w:p>
        </w:tc>
        <w:tc>
          <w:tcPr>
            <w:tcW w:w="2159" w:type="dxa"/>
            <w:noWrap/>
            <w:vAlign w:val="center"/>
            <w:hideMark/>
          </w:tcPr>
          <w:p w14:paraId="1C2E5AEA"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39628CBD"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Human</w:t>
            </w:r>
          </w:p>
        </w:tc>
        <w:tc>
          <w:tcPr>
            <w:tcW w:w="1450" w:type="dxa"/>
            <w:noWrap/>
            <w:vAlign w:val="center"/>
            <w:hideMark/>
          </w:tcPr>
          <w:p w14:paraId="14BDFE5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12</w:t>
            </w:r>
          </w:p>
        </w:tc>
        <w:tc>
          <w:tcPr>
            <w:tcW w:w="1809" w:type="dxa"/>
            <w:noWrap/>
            <w:vAlign w:val="center"/>
            <w:hideMark/>
          </w:tcPr>
          <w:p w14:paraId="57D1F9C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0/12</w:t>
            </w:r>
          </w:p>
        </w:tc>
        <w:tc>
          <w:tcPr>
            <w:tcW w:w="1701" w:type="dxa"/>
            <w:vMerge w:val="restart"/>
            <w:noWrap/>
            <w:vAlign w:val="center"/>
            <w:hideMark/>
          </w:tcPr>
          <w:p w14:paraId="2D67783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tc>
        <w:tc>
          <w:tcPr>
            <w:tcW w:w="1501" w:type="dxa"/>
            <w:vMerge w:val="restart"/>
            <w:noWrap/>
            <w:vAlign w:val="center"/>
            <w:hideMark/>
          </w:tcPr>
          <w:p w14:paraId="757CCA8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scRNA-seq</w:t>
            </w:r>
          </w:p>
        </w:tc>
        <w:tc>
          <w:tcPr>
            <w:tcW w:w="1409" w:type="dxa"/>
            <w:vMerge w:val="restart"/>
            <w:noWrap/>
            <w:vAlign w:val="center"/>
            <w:hideMark/>
          </w:tcPr>
          <w:p w14:paraId="4F725504"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Brain</w:t>
            </w:r>
          </w:p>
        </w:tc>
      </w:tr>
      <w:tr w:rsidR="000743F3" w:rsidRPr="005A3445" w14:paraId="7749B03B" w14:textId="77777777" w:rsidTr="002F36DC">
        <w:trPr>
          <w:trHeight w:val="285"/>
          <w:jc w:val="center"/>
        </w:trPr>
        <w:tc>
          <w:tcPr>
            <w:tcW w:w="1867" w:type="dxa"/>
            <w:vMerge/>
            <w:vAlign w:val="center"/>
            <w:hideMark/>
          </w:tcPr>
          <w:p w14:paraId="20C6A79D"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0018EC6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w:t>
            </w:r>
          </w:p>
        </w:tc>
        <w:tc>
          <w:tcPr>
            <w:tcW w:w="1000" w:type="dxa"/>
            <w:vMerge/>
            <w:vAlign w:val="center"/>
            <w:hideMark/>
          </w:tcPr>
          <w:p w14:paraId="5732185D"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37DD85AC"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7</w:t>
            </w:r>
          </w:p>
        </w:tc>
        <w:tc>
          <w:tcPr>
            <w:tcW w:w="1809" w:type="dxa"/>
            <w:noWrap/>
            <w:vAlign w:val="center"/>
            <w:hideMark/>
          </w:tcPr>
          <w:p w14:paraId="485DEF7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0/7</w:t>
            </w:r>
          </w:p>
        </w:tc>
        <w:tc>
          <w:tcPr>
            <w:tcW w:w="1701" w:type="dxa"/>
            <w:vMerge/>
            <w:vAlign w:val="center"/>
            <w:hideMark/>
          </w:tcPr>
          <w:p w14:paraId="56B7F20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69CDF6C6"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1D80F528"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r w:rsidR="000743F3" w:rsidRPr="005A3445" w14:paraId="30450BFD" w14:textId="77777777" w:rsidTr="002F36DC">
        <w:trPr>
          <w:trHeight w:val="285"/>
          <w:jc w:val="center"/>
        </w:trPr>
        <w:tc>
          <w:tcPr>
            <w:tcW w:w="1867" w:type="dxa"/>
            <w:vMerge w:val="restart"/>
            <w:noWrap/>
            <w:vAlign w:val="center"/>
            <w:hideMark/>
          </w:tcPr>
          <w:p w14:paraId="60FACA2F"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GSE201687</w:t>
            </w:r>
          </w:p>
        </w:tc>
        <w:tc>
          <w:tcPr>
            <w:tcW w:w="2159" w:type="dxa"/>
            <w:noWrap/>
            <w:vAlign w:val="center"/>
            <w:hideMark/>
          </w:tcPr>
          <w:p w14:paraId="102B459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Major Depressive Disorder</w:t>
            </w:r>
          </w:p>
        </w:tc>
        <w:tc>
          <w:tcPr>
            <w:tcW w:w="1000" w:type="dxa"/>
            <w:vMerge w:val="restart"/>
            <w:noWrap/>
            <w:vAlign w:val="center"/>
            <w:hideMark/>
          </w:tcPr>
          <w:p w14:paraId="6718930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Macaque</w:t>
            </w:r>
          </w:p>
        </w:tc>
        <w:tc>
          <w:tcPr>
            <w:tcW w:w="1450" w:type="dxa"/>
            <w:noWrap/>
            <w:vAlign w:val="center"/>
            <w:hideMark/>
          </w:tcPr>
          <w:p w14:paraId="34CC8A9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17</w:t>
            </w:r>
          </w:p>
        </w:tc>
        <w:tc>
          <w:tcPr>
            <w:tcW w:w="1809" w:type="dxa"/>
            <w:noWrap/>
            <w:vAlign w:val="center"/>
            <w:hideMark/>
          </w:tcPr>
          <w:p w14:paraId="25ECCA86"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17/0</w:t>
            </w:r>
          </w:p>
        </w:tc>
        <w:tc>
          <w:tcPr>
            <w:tcW w:w="1701" w:type="dxa"/>
            <w:vMerge w:val="restart"/>
            <w:noWrap/>
            <w:vAlign w:val="center"/>
            <w:hideMark/>
          </w:tcPr>
          <w:p w14:paraId="08223519"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Raw Counts</w:t>
            </w:r>
          </w:p>
        </w:tc>
        <w:tc>
          <w:tcPr>
            <w:tcW w:w="1501" w:type="dxa"/>
            <w:vMerge w:val="restart"/>
            <w:noWrap/>
            <w:vAlign w:val="center"/>
            <w:hideMark/>
          </w:tcPr>
          <w:p w14:paraId="235BBF53"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scRNA-seq</w:t>
            </w:r>
          </w:p>
        </w:tc>
        <w:tc>
          <w:tcPr>
            <w:tcW w:w="1409" w:type="dxa"/>
            <w:vMerge w:val="restart"/>
            <w:noWrap/>
            <w:vAlign w:val="center"/>
            <w:hideMark/>
          </w:tcPr>
          <w:p w14:paraId="11C79252"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Brain</w:t>
            </w:r>
          </w:p>
        </w:tc>
      </w:tr>
      <w:tr w:rsidR="000743F3" w:rsidRPr="005A3445" w14:paraId="762692D4" w14:textId="77777777" w:rsidTr="002F36DC">
        <w:trPr>
          <w:trHeight w:val="285"/>
          <w:jc w:val="center"/>
        </w:trPr>
        <w:tc>
          <w:tcPr>
            <w:tcW w:w="1867" w:type="dxa"/>
            <w:vMerge/>
            <w:vAlign w:val="center"/>
            <w:hideMark/>
          </w:tcPr>
          <w:p w14:paraId="63E9A53A"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2159" w:type="dxa"/>
            <w:noWrap/>
            <w:vAlign w:val="center"/>
            <w:hideMark/>
          </w:tcPr>
          <w:p w14:paraId="15748461"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Healthy</w:t>
            </w:r>
          </w:p>
        </w:tc>
        <w:tc>
          <w:tcPr>
            <w:tcW w:w="1000" w:type="dxa"/>
            <w:vMerge/>
            <w:vAlign w:val="center"/>
            <w:hideMark/>
          </w:tcPr>
          <w:p w14:paraId="32073CB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50" w:type="dxa"/>
            <w:noWrap/>
            <w:vAlign w:val="center"/>
            <w:hideMark/>
          </w:tcPr>
          <w:p w14:paraId="5AB09975"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17</w:t>
            </w:r>
          </w:p>
        </w:tc>
        <w:tc>
          <w:tcPr>
            <w:tcW w:w="1809" w:type="dxa"/>
            <w:noWrap/>
            <w:vAlign w:val="center"/>
            <w:hideMark/>
          </w:tcPr>
          <w:p w14:paraId="43FC1610" w14:textId="77777777" w:rsidR="000743F3" w:rsidRPr="005A3445" w:rsidRDefault="000743F3" w:rsidP="002F36DC">
            <w:pPr>
              <w:widowControl/>
              <w:spacing w:after="0" w:line="240" w:lineRule="auto"/>
              <w:jc w:val="center"/>
              <w:rPr>
                <w:rFonts w:ascii="Arial" w:eastAsia="宋体" w:hAnsi="Arial" w:cs="Arial"/>
                <w:color w:val="000000"/>
                <w:kern w:val="0"/>
                <w:sz w:val="18"/>
                <w:szCs w:val="18"/>
                <w14:ligatures w14:val="none"/>
              </w:rPr>
            </w:pPr>
            <w:r w:rsidRPr="005A3445">
              <w:rPr>
                <w:rFonts w:ascii="Arial" w:eastAsia="宋体" w:hAnsi="Arial" w:cs="Arial"/>
                <w:color w:val="000000"/>
                <w:kern w:val="0"/>
                <w:sz w:val="18"/>
                <w:szCs w:val="18"/>
                <w14:ligatures w14:val="none"/>
              </w:rPr>
              <w:t>17/0</w:t>
            </w:r>
          </w:p>
        </w:tc>
        <w:tc>
          <w:tcPr>
            <w:tcW w:w="1701" w:type="dxa"/>
            <w:vMerge/>
            <w:vAlign w:val="center"/>
            <w:hideMark/>
          </w:tcPr>
          <w:p w14:paraId="38E7479E"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501" w:type="dxa"/>
            <w:vMerge/>
            <w:vAlign w:val="center"/>
            <w:hideMark/>
          </w:tcPr>
          <w:p w14:paraId="1BB3502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c>
          <w:tcPr>
            <w:tcW w:w="1409" w:type="dxa"/>
            <w:vMerge/>
            <w:vAlign w:val="center"/>
            <w:hideMark/>
          </w:tcPr>
          <w:p w14:paraId="49164374" w14:textId="77777777" w:rsidR="000743F3" w:rsidRPr="005A3445" w:rsidRDefault="000743F3" w:rsidP="002F36DC">
            <w:pPr>
              <w:widowControl/>
              <w:spacing w:after="0" w:line="240" w:lineRule="auto"/>
              <w:rPr>
                <w:rFonts w:ascii="Arial" w:eastAsia="宋体" w:hAnsi="Arial" w:cs="Arial"/>
                <w:color w:val="000000"/>
                <w:kern w:val="0"/>
                <w:sz w:val="18"/>
                <w:szCs w:val="18"/>
                <w14:ligatures w14:val="none"/>
              </w:rPr>
            </w:pPr>
          </w:p>
        </w:tc>
      </w:tr>
    </w:tbl>
    <w:p w14:paraId="57195C5F" w14:textId="77777777" w:rsidR="000743F3" w:rsidRDefault="000743F3" w:rsidP="0075619E">
      <w:pPr>
        <w:spacing w:after="0" w:line="360" w:lineRule="auto"/>
        <w:jc w:val="both"/>
        <w:rPr>
          <w:rFonts w:ascii="Arial" w:eastAsia="黑体" w:hAnsi="Arial" w:cs="Arial"/>
          <w:sz w:val="21"/>
          <w:szCs w:val="21"/>
        </w:rPr>
      </w:pPr>
    </w:p>
    <w:p w14:paraId="38BCEBDC" w14:textId="77777777" w:rsidR="000743F3" w:rsidRDefault="000743F3" w:rsidP="000743F3">
      <w:pPr>
        <w:rPr>
          <w:rFonts w:ascii="Arial" w:eastAsia="黑体" w:hAnsi="Arial" w:cs="Arial"/>
          <w:sz w:val="21"/>
          <w:szCs w:val="21"/>
        </w:rPr>
      </w:pPr>
    </w:p>
    <w:p w14:paraId="2204B8E3" w14:textId="68E7A848" w:rsidR="000743F3" w:rsidRDefault="000743F3" w:rsidP="000743F3">
      <w:pPr>
        <w:tabs>
          <w:tab w:val="left" w:pos="1515"/>
        </w:tabs>
        <w:rPr>
          <w:rFonts w:ascii="Arial" w:eastAsia="黑体" w:hAnsi="Arial" w:cs="Arial"/>
          <w:sz w:val="21"/>
          <w:szCs w:val="21"/>
        </w:rPr>
      </w:pPr>
      <w:r>
        <w:rPr>
          <w:rFonts w:ascii="Arial" w:eastAsia="黑体" w:hAnsi="Arial" w:cs="Arial"/>
          <w:sz w:val="21"/>
          <w:szCs w:val="21"/>
        </w:rPr>
        <w:tab/>
      </w:r>
    </w:p>
    <w:p w14:paraId="067BE226" w14:textId="2A35B183" w:rsidR="000743F3" w:rsidRPr="000743F3" w:rsidRDefault="000743F3" w:rsidP="000743F3">
      <w:pPr>
        <w:tabs>
          <w:tab w:val="left" w:pos="1515"/>
        </w:tabs>
        <w:rPr>
          <w:rFonts w:ascii="Arial" w:eastAsia="黑体" w:hAnsi="Arial" w:cs="Arial"/>
          <w:sz w:val="21"/>
          <w:szCs w:val="21"/>
        </w:rPr>
        <w:sectPr w:rsidR="000743F3" w:rsidRPr="000743F3" w:rsidSect="000743F3">
          <w:pgSz w:w="16838" w:h="11906" w:orient="landscape"/>
          <w:pgMar w:top="1800" w:right="1440" w:bottom="1800" w:left="1440" w:header="851" w:footer="992" w:gutter="0"/>
          <w:cols w:space="425"/>
          <w:docGrid w:type="lines" w:linePitch="312"/>
        </w:sectPr>
      </w:pPr>
      <w:r>
        <w:rPr>
          <w:rFonts w:ascii="Arial" w:eastAsia="黑体" w:hAnsi="Arial" w:cs="Arial"/>
          <w:sz w:val="21"/>
          <w:szCs w:val="21"/>
        </w:rPr>
        <w:tab/>
      </w:r>
    </w:p>
    <w:p w14:paraId="413A1404" w14:textId="77777777" w:rsidR="0075619E" w:rsidRDefault="0075619E" w:rsidP="0075619E">
      <w:pPr>
        <w:spacing w:after="0" w:line="360" w:lineRule="auto"/>
        <w:jc w:val="both"/>
        <w:rPr>
          <w:rFonts w:ascii="Arial" w:eastAsia="黑体" w:hAnsi="Arial" w:cs="Arial"/>
          <w:sz w:val="21"/>
          <w:szCs w:val="21"/>
        </w:rPr>
      </w:pPr>
    </w:p>
    <w:p w14:paraId="5BB3A7C5" w14:textId="49D36CE8" w:rsidR="008D51D8" w:rsidRPr="000C6E3F" w:rsidRDefault="008D51D8" w:rsidP="0075619E">
      <w:pPr>
        <w:spacing w:after="0" w:line="360" w:lineRule="auto"/>
        <w:jc w:val="both"/>
        <w:rPr>
          <w:rFonts w:ascii="Arial" w:hAnsi="Arial" w:cs="Arial"/>
          <w:sz w:val="24"/>
        </w:rPr>
      </w:pPr>
    </w:p>
    <w:p w14:paraId="4DD067AA" w14:textId="2DCF7CF9" w:rsidR="00097801" w:rsidRDefault="00F6301A" w:rsidP="004C7356">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sidR="0075619E">
        <w:rPr>
          <w:rFonts w:ascii="Arial" w:eastAsia="黑体" w:hAnsi="Arial" w:cs="Arial" w:hint="eastAsia"/>
          <w:b/>
          <w:bCs/>
          <w:sz w:val="21"/>
          <w:szCs w:val="21"/>
        </w:rPr>
        <w:t>.</w:t>
      </w:r>
      <w:r w:rsidRPr="00AC017F">
        <w:rPr>
          <w:rFonts w:ascii="Arial" w:eastAsia="黑体" w:hAnsi="Arial" w:cs="Arial"/>
          <w:b/>
          <w:bCs/>
          <w:sz w:val="21"/>
          <w:szCs w:val="21"/>
        </w:rPr>
        <w:t xml:space="preserve"> 1</w:t>
      </w:r>
      <w:r w:rsidR="0075619E">
        <w:rPr>
          <w:rFonts w:ascii="Arial" w:eastAsia="黑体" w:hAnsi="Arial" w:cs="Arial" w:hint="eastAsia"/>
          <w:b/>
          <w:bCs/>
          <w:sz w:val="21"/>
          <w:szCs w:val="21"/>
        </w:rPr>
        <w:t xml:space="preserve">: </w:t>
      </w:r>
      <w:r w:rsidR="00EB4C64" w:rsidRPr="00AC017F">
        <w:rPr>
          <w:rFonts w:ascii="Arial" w:eastAsia="黑体" w:hAnsi="Arial" w:cs="Arial" w:hint="eastAsia"/>
          <w:b/>
          <w:bCs/>
          <w:sz w:val="21"/>
          <w:szCs w:val="21"/>
        </w:rPr>
        <w:t>V</w:t>
      </w:r>
      <w:r w:rsidR="00026B00" w:rsidRPr="00AC017F">
        <w:rPr>
          <w:rFonts w:ascii="Arial" w:eastAsia="黑体" w:hAnsi="Arial" w:cs="Arial" w:hint="eastAsia"/>
          <w:b/>
          <w:bCs/>
          <w:sz w:val="21"/>
          <w:szCs w:val="21"/>
        </w:rPr>
        <w:t>isualizing transcriptomic heterogeneity across cohorts.</w:t>
      </w:r>
      <w:r w:rsidRPr="00AC017F">
        <w:rPr>
          <w:rFonts w:ascii="Arial" w:eastAsia="黑体" w:hAnsi="Arial" w:cs="Arial"/>
          <w:sz w:val="21"/>
          <w:szCs w:val="21"/>
        </w:rPr>
        <w:t xml:space="preserve"> </w:t>
      </w:r>
      <w:r w:rsidR="00026B00" w:rsidRPr="00AC017F">
        <w:rPr>
          <w:rFonts w:ascii="Arial" w:eastAsia="黑体" w:hAnsi="Arial" w:cs="Arial" w:hint="eastAsia"/>
          <w:sz w:val="21"/>
          <w:szCs w:val="21"/>
        </w:rPr>
        <w:t>PCA plots derived from the expression profiles of identified differentially expressed genes (DEGs) across independent peripheral blood datasets. Samples are stratified by disease status (MDD: red; Control: blue) and biological sex (Female: triangle; Male: square).</w:t>
      </w:r>
    </w:p>
    <w:p w14:paraId="1F09B5BD" w14:textId="77777777" w:rsidR="00A605E9" w:rsidRDefault="00A605E9" w:rsidP="004C7356">
      <w:pPr>
        <w:spacing w:line="480" w:lineRule="auto"/>
        <w:rPr>
          <w:rFonts w:ascii="Arial" w:eastAsia="黑体" w:hAnsi="Arial" w:cs="Arial"/>
          <w:sz w:val="21"/>
          <w:szCs w:val="21"/>
        </w:rPr>
      </w:pPr>
    </w:p>
    <w:p w14:paraId="74B95653" w14:textId="0692D3C9" w:rsidR="00A605E9" w:rsidRDefault="00A605E9" w:rsidP="004C7356">
      <w:pPr>
        <w:spacing w:line="480" w:lineRule="auto"/>
        <w:rPr>
          <w:rFonts w:ascii="Arial" w:eastAsia="黑体" w:hAnsi="Arial" w:cs="Arial"/>
          <w:sz w:val="21"/>
          <w:szCs w:val="21"/>
        </w:rPr>
      </w:pPr>
    </w:p>
    <w:p w14:paraId="51E6E523" w14:textId="2DBB8652" w:rsidR="00A605E9" w:rsidRPr="00AC017F" w:rsidRDefault="00A605E9" w:rsidP="00A605E9">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sidRPr="00AC017F">
        <w:rPr>
          <w:rFonts w:ascii="Arial" w:eastAsia="黑体" w:hAnsi="Arial" w:cs="Arial"/>
          <w:b/>
          <w:bCs/>
          <w:sz w:val="21"/>
          <w:szCs w:val="21"/>
        </w:rPr>
        <w:t>2</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CF391A">
        <w:rPr>
          <w:rFonts w:ascii="Arial" w:eastAsia="黑体" w:hAnsi="Arial" w:cs="Arial" w:hint="eastAsia"/>
          <w:b/>
          <w:bCs/>
          <w:sz w:val="21"/>
          <w:szCs w:val="21"/>
        </w:rPr>
        <w:t>T</w:t>
      </w:r>
      <w:r w:rsidR="00CF391A" w:rsidRPr="00CF391A">
        <w:rPr>
          <w:rFonts w:ascii="Arial" w:eastAsia="黑体" w:hAnsi="Arial" w:cs="Arial" w:hint="eastAsia"/>
          <w:b/>
          <w:bCs/>
          <w:sz w:val="21"/>
          <w:szCs w:val="21"/>
        </w:rPr>
        <w:t>ranscriptomic heterogeneity and differential expression landscape across six independent peripheral blood cohorts</w:t>
      </w:r>
      <w:r w:rsidRPr="00AC017F">
        <w:rPr>
          <w:rFonts w:ascii="Arial" w:eastAsia="黑体" w:hAnsi="Arial" w:cs="Arial" w:hint="eastAsia"/>
          <w:b/>
          <w:bCs/>
          <w:sz w:val="21"/>
          <w:szCs w:val="21"/>
        </w:rPr>
        <w:t>.</w:t>
      </w:r>
      <w:r w:rsidRPr="00AC017F">
        <w:rPr>
          <w:rFonts w:ascii="Arial" w:eastAsia="黑体" w:hAnsi="Arial" w:cs="Arial" w:hint="eastAsia"/>
          <w:sz w:val="21"/>
          <w:szCs w:val="21"/>
        </w:rPr>
        <w:t xml:space="preserve"> </w:t>
      </w:r>
      <w:r w:rsidR="00CF391A" w:rsidRPr="00CF391A">
        <w:rPr>
          <w:rFonts w:ascii="Arial" w:eastAsia="黑体" w:hAnsi="Arial" w:cs="Arial" w:hint="eastAsia"/>
          <w:sz w:val="21"/>
          <w:szCs w:val="21"/>
        </w:rPr>
        <w:t>Volcano plots illustrating the differential gene expression profiles for each of the six included datasets (GSE98793, GSE76826, GSE290797, GSE247998, GSE99725, and GSE185855). The x-axis represents the log</w:t>
      </w:r>
      <w:r w:rsidR="00CF391A" w:rsidRPr="00CF391A">
        <w:rPr>
          <w:rFonts w:ascii="Arial" w:eastAsia="黑体" w:hAnsi="Arial" w:cs="Arial" w:hint="eastAsia"/>
          <w:sz w:val="21"/>
          <w:szCs w:val="21"/>
          <w:vertAlign w:val="subscript"/>
        </w:rPr>
        <w:t>2</w:t>
      </w:r>
      <w:r w:rsidR="00CF391A" w:rsidRPr="00CF391A">
        <w:rPr>
          <w:rFonts w:ascii="Arial" w:eastAsia="黑体" w:hAnsi="Arial" w:cs="Arial" w:hint="eastAsia"/>
          <w:sz w:val="21"/>
          <w:szCs w:val="21"/>
        </w:rPr>
        <w:t xml:space="preserve"> fold change (log</w:t>
      </w:r>
      <w:r w:rsidR="00CF391A" w:rsidRPr="00CF391A">
        <w:rPr>
          <w:rFonts w:ascii="Arial" w:eastAsia="黑体" w:hAnsi="Arial" w:cs="Arial" w:hint="eastAsia"/>
          <w:sz w:val="21"/>
          <w:szCs w:val="21"/>
          <w:vertAlign w:val="subscript"/>
        </w:rPr>
        <w:t>2</w:t>
      </w:r>
      <w:r w:rsidR="00CF391A" w:rsidRPr="00CF391A">
        <w:rPr>
          <w:rFonts w:ascii="Arial" w:eastAsia="黑体" w:hAnsi="Arial" w:cs="Arial" w:hint="eastAsia"/>
          <w:sz w:val="21"/>
          <w:szCs w:val="21"/>
        </w:rPr>
        <w:t>FC), and the y-axis represents the negative log10 adjusted p-value. Vertical and horizontal dashed lines denote the stringent significance thresholds applied in this study (p &lt; 0.05 and |log</w:t>
      </w:r>
      <w:r w:rsidR="00CF391A" w:rsidRPr="00CF391A">
        <w:rPr>
          <w:rFonts w:ascii="Arial" w:eastAsia="黑体" w:hAnsi="Arial" w:cs="Arial" w:hint="eastAsia"/>
          <w:sz w:val="21"/>
          <w:szCs w:val="21"/>
          <w:vertAlign w:val="subscript"/>
        </w:rPr>
        <w:t>2</w:t>
      </w:r>
      <w:r w:rsidR="00CF391A" w:rsidRPr="00CF391A">
        <w:rPr>
          <w:rFonts w:ascii="Arial" w:eastAsia="黑体" w:hAnsi="Arial" w:cs="Arial" w:hint="eastAsia"/>
          <w:sz w:val="21"/>
          <w:szCs w:val="21"/>
        </w:rPr>
        <w:t>FC| &gt; log</w:t>
      </w:r>
      <w:r w:rsidR="00CF391A" w:rsidRPr="00CF391A">
        <w:rPr>
          <w:rFonts w:ascii="Arial" w:eastAsia="黑体" w:hAnsi="Arial" w:cs="Arial" w:hint="eastAsia"/>
          <w:sz w:val="21"/>
          <w:szCs w:val="21"/>
          <w:vertAlign w:val="subscript"/>
        </w:rPr>
        <w:t>2</w:t>
      </w:r>
      <w:r w:rsidR="00CF391A" w:rsidRPr="00CF391A">
        <w:rPr>
          <w:rFonts w:ascii="Arial" w:eastAsia="黑体" w:hAnsi="Arial" w:cs="Arial" w:hint="eastAsia"/>
          <w:sz w:val="21"/>
          <w:szCs w:val="21"/>
        </w:rPr>
        <w:t>(1.1)). Red points indicate significantly up-regulated genes, while blue points indicate significantly down-regulated genes. The variation in the number and distribution of DEGs across datasets highlights the substantial inter-study heterogeneity inherent to MDD transcriptomics</w:t>
      </w:r>
      <w:r w:rsidR="00CF391A">
        <w:rPr>
          <w:rFonts w:ascii="Arial" w:eastAsia="黑体" w:hAnsi="Arial" w:cs="Arial" w:hint="eastAsia"/>
          <w:sz w:val="21"/>
          <w:szCs w:val="21"/>
        </w:rPr>
        <w:t>.</w:t>
      </w:r>
      <w:r w:rsidRPr="00AC017F">
        <w:rPr>
          <w:rFonts w:ascii="Arial" w:eastAsia="黑体" w:hAnsi="Arial" w:cs="Arial" w:hint="eastAsia"/>
          <w:sz w:val="21"/>
          <w:szCs w:val="21"/>
        </w:rPr>
        <w:t xml:space="preserve"> </w:t>
      </w:r>
    </w:p>
    <w:p w14:paraId="4F7DC0A5" w14:textId="7ECFD7B2" w:rsidR="00552373" w:rsidRPr="0014366D" w:rsidRDefault="00552373" w:rsidP="004C7356">
      <w:pPr>
        <w:spacing w:line="480" w:lineRule="auto"/>
        <w:jc w:val="center"/>
        <w:rPr>
          <w:rFonts w:ascii="Arial" w:hAnsi="Arial" w:cs="Arial"/>
          <w:sz w:val="24"/>
        </w:rPr>
      </w:pPr>
    </w:p>
    <w:p w14:paraId="2EF1DAA2" w14:textId="604971E0" w:rsidR="005A3445" w:rsidRDefault="0022530C" w:rsidP="004C7356">
      <w:pPr>
        <w:spacing w:line="480" w:lineRule="auto"/>
        <w:rPr>
          <w:rFonts w:ascii="Arial" w:eastAsia="黑体" w:hAnsi="Arial" w:cs="Arial"/>
          <w:sz w:val="21"/>
          <w:szCs w:val="21"/>
        </w:rPr>
      </w:pPr>
      <w:r w:rsidRPr="00AC017F">
        <w:rPr>
          <w:rFonts w:ascii="Arial" w:eastAsia="黑体" w:hAnsi="Arial" w:cs="Arial"/>
          <w:b/>
          <w:bCs/>
          <w:sz w:val="21"/>
          <w:szCs w:val="21"/>
        </w:rPr>
        <w:t xml:space="preserve">Supplementary Fig. </w:t>
      </w:r>
      <w:r w:rsidR="00201F2F">
        <w:rPr>
          <w:rFonts w:ascii="Arial" w:eastAsia="黑体" w:hAnsi="Arial" w:cs="Arial"/>
          <w:b/>
          <w:bCs/>
          <w:sz w:val="21"/>
          <w:szCs w:val="21"/>
        </w:rPr>
        <w:t>3</w:t>
      </w:r>
      <w:r w:rsidR="00DD77F0">
        <w:rPr>
          <w:rFonts w:ascii="Arial" w:eastAsia="黑体" w:hAnsi="Arial" w:cs="Arial" w:hint="eastAsia"/>
          <w:b/>
          <w:bCs/>
          <w:sz w:val="21"/>
          <w:szCs w:val="21"/>
        </w:rPr>
        <w:t>:</w:t>
      </w:r>
      <w:r w:rsidRPr="00AC017F">
        <w:rPr>
          <w:rFonts w:ascii="Arial" w:eastAsia="黑体" w:hAnsi="Arial" w:cs="Arial"/>
          <w:b/>
          <w:bCs/>
          <w:sz w:val="21"/>
          <w:szCs w:val="21"/>
        </w:rPr>
        <w:t xml:space="preserve"> </w:t>
      </w:r>
      <w:r w:rsidR="00EB4C64" w:rsidRPr="00AC017F">
        <w:rPr>
          <w:rFonts w:ascii="Arial" w:eastAsia="黑体" w:hAnsi="Arial" w:cs="Arial" w:hint="eastAsia"/>
          <w:b/>
          <w:bCs/>
          <w:sz w:val="21"/>
          <w:szCs w:val="21"/>
        </w:rPr>
        <w:t xml:space="preserve">Deconvolution validates central glial shifts in peripheral </w:t>
      </w:r>
      <w:r w:rsidR="00EB4C64" w:rsidRPr="00AC017F">
        <w:rPr>
          <w:rFonts w:ascii="Arial" w:eastAsia="黑体" w:hAnsi="Arial" w:cs="Arial" w:hint="eastAsia"/>
          <w:b/>
          <w:bCs/>
          <w:sz w:val="21"/>
          <w:szCs w:val="21"/>
        </w:rPr>
        <w:lastRenderedPageBreak/>
        <w:t>blood and their pharmacological reversal.</w:t>
      </w:r>
      <w:r w:rsidR="00EB4C64" w:rsidRPr="00AC017F">
        <w:rPr>
          <w:rFonts w:ascii="Arial" w:eastAsia="黑体" w:hAnsi="Arial" w:cs="Arial" w:hint="eastAsia"/>
          <w:sz w:val="21"/>
          <w:szCs w:val="21"/>
        </w:rPr>
        <w:t xml:space="preserve"> </w:t>
      </w:r>
      <w:r w:rsidR="00EB4C64" w:rsidRPr="00AC017F">
        <w:rPr>
          <w:rFonts w:ascii="Arial" w:eastAsia="黑体" w:hAnsi="Arial" w:cs="Arial" w:hint="eastAsia"/>
          <w:b/>
          <w:bCs/>
          <w:sz w:val="21"/>
          <w:szCs w:val="21"/>
        </w:rPr>
        <w:t>A</w:t>
      </w:r>
      <w:r w:rsidR="00EB4C64" w:rsidRPr="00AC017F">
        <w:rPr>
          <w:rFonts w:ascii="Arial" w:eastAsia="黑体" w:hAnsi="Arial" w:cs="Arial" w:hint="eastAsia"/>
          <w:sz w:val="21"/>
          <w:szCs w:val="21"/>
        </w:rPr>
        <w:t xml:space="preserve"> Box plots displaying the estimated cellular proportions of microglia (MIC) and oligodendrocytes (OLI) in the GSE98793 human blood dataset. </w:t>
      </w:r>
      <w:r w:rsidR="00EB4C64" w:rsidRPr="00AC017F">
        <w:rPr>
          <w:rFonts w:ascii="Arial" w:eastAsia="黑体" w:hAnsi="Arial" w:cs="Arial" w:hint="eastAsia"/>
          <w:b/>
          <w:bCs/>
          <w:sz w:val="21"/>
          <w:szCs w:val="21"/>
        </w:rPr>
        <w:t xml:space="preserve">B </w:t>
      </w:r>
      <w:r w:rsidR="00EB4C64" w:rsidRPr="00AC017F">
        <w:rPr>
          <w:rFonts w:ascii="Arial" w:eastAsia="黑体" w:hAnsi="Arial" w:cs="Arial" w:hint="eastAsia"/>
          <w:sz w:val="21"/>
          <w:szCs w:val="21"/>
        </w:rPr>
        <w:t xml:space="preserve">Pharmacological validation in rat treatment models (GSE222756). Box plots illustrate the dynamic restoration of MIC and OLI proportions following therapeutic intervention. </w:t>
      </w:r>
      <w:r w:rsidR="00EB4C64" w:rsidRPr="00AC017F">
        <w:rPr>
          <w:rFonts w:ascii="Arial" w:eastAsia="黑体" w:hAnsi="Arial" w:cs="Arial" w:hint="eastAsia"/>
          <w:b/>
          <w:bCs/>
          <w:sz w:val="21"/>
          <w:szCs w:val="21"/>
        </w:rPr>
        <w:t>C</w:t>
      </w:r>
      <w:r w:rsidR="00EB4C64" w:rsidRPr="00AC017F">
        <w:rPr>
          <w:rFonts w:ascii="Arial" w:eastAsia="黑体" w:hAnsi="Arial" w:cs="Arial" w:hint="eastAsia"/>
          <w:sz w:val="21"/>
          <w:szCs w:val="21"/>
        </w:rPr>
        <w:t xml:space="preserve"> Stacked bar plots summarizing the global cellular composition landscape inferred by BayesPrism across representative human blood cohorts (GSE76826 and GSE98793)</w:t>
      </w:r>
      <w:r w:rsidR="00A605E9">
        <w:rPr>
          <w:rFonts w:ascii="Arial" w:eastAsia="黑体" w:hAnsi="Arial" w:cs="Arial"/>
          <w:sz w:val="21"/>
          <w:szCs w:val="21"/>
        </w:rPr>
        <w:t>.</w:t>
      </w:r>
    </w:p>
    <w:p w14:paraId="654E43AB" w14:textId="77777777" w:rsidR="00201F2F" w:rsidRPr="00A605E9" w:rsidRDefault="00201F2F" w:rsidP="00201F2F">
      <w:pPr>
        <w:spacing w:line="480" w:lineRule="auto"/>
        <w:rPr>
          <w:rFonts w:ascii="Arial" w:eastAsia="黑体" w:hAnsi="Arial" w:cs="Arial"/>
          <w:sz w:val="21"/>
          <w:szCs w:val="21"/>
        </w:rPr>
      </w:pPr>
    </w:p>
    <w:p w14:paraId="0686E3B2" w14:textId="110819BB" w:rsidR="00201F2F" w:rsidRPr="000C6E3F" w:rsidRDefault="00201F2F" w:rsidP="00201F2F">
      <w:pPr>
        <w:spacing w:line="480" w:lineRule="auto"/>
        <w:jc w:val="center"/>
        <w:rPr>
          <w:rFonts w:ascii="Arial" w:hAnsi="Arial" w:cs="Arial"/>
          <w:sz w:val="24"/>
        </w:rPr>
      </w:pPr>
    </w:p>
    <w:p w14:paraId="7FD9DEB4" w14:textId="77777777" w:rsidR="00201F2F" w:rsidRPr="00AC017F" w:rsidRDefault="00201F2F" w:rsidP="00201F2F">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Pr>
          <w:rFonts w:ascii="Arial" w:eastAsia="黑体" w:hAnsi="Arial" w:cs="Arial"/>
          <w:b/>
          <w:bCs/>
          <w:sz w:val="21"/>
          <w:szCs w:val="21"/>
        </w:rPr>
        <w:t>4</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Pr="00AC017F">
        <w:rPr>
          <w:rFonts w:ascii="Arial" w:eastAsia="黑体" w:hAnsi="Arial" w:cs="Arial" w:hint="eastAsia"/>
          <w:b/>
          <w:bCs/>
          <w:sz w:val="21"/>
          <w:szCs w:val="21"/>
        </w:rPr>
        <w:t>Hyper-connected intercellular signaling landscape in the MDD microenvironment.</w:t>
      </w:r>
      <w:r w:rsidRPr="00AC017F">
        <w:rPr>
          <w:rFonts w:ascii="Arial" w:eastAsia="黑体" w:hAnsi="Arial" w:cs="Arial" w:hint="eastAsia"/>
          <w:sz w:val="21"/>
          <w:szCs w:val="21"/>
        </w:rPr>
        <w:t xml:space="preserve"> Circle plots illustrating the inferred cell-cell communication networks in human and macaque brain scRNA-seq datasets using CellChat analysis. Comparative visualization between Healthy (right) and Depressed (left) states reveals an intensified signaling architecture in MDD. The edge width represents the interaction strength (probability) of ligand-receptor pairs, and node size correlates with the number of interactions. </w:t>
      </w:r>
    </w:p>
    <w:p w14:paraId="4C3EF45D" w14:textId="77777777" w:rsidR="00CE2B39" w:rsidRPr="00201F2F" w:rsidRDefault="00CE2B39" w:rsidP="004C7356">
      <w:pPr>
        <w:spacing w:line="480" w:lineRule="auto"/>
        <w:rPr>
          <w:rFonts w:ascii="Arial" w:eastAsia="黑体" w:hAnsi="Arial" w:cs="Arial"/>
          <w:sz w:val="21"/>
          <w:szCs w:val="21"/>
        </w:rPr>
      </w:pPr>
    </w:p>
    <w:p w14:paraId="2D094BFD" w14:textId="104A64C2" w:rsidR="00A605E9" w:rsidRDefault="00A605E9" w:rsidP="00D91AF2">
      <w:pPr>
        <w:spacing w:line="480" w:lineRule="auto"/>
        <w:jc w:val="center"/>
        <w:rPr>
          <w:rFonts w:ascii="Arial" w:eastAsia="黑体" w:hAnsi="Arial" w:cs="Arial"/>
          <w:sz w:val="21"/>
          <w:szCs w:val="21"/>
        </w:rPr>
      </w:pPr>
    </w:p>
    <w:p w14:paraId="1AC0A3AC" w14:textId="66447863" w:rsidR="005A3445" w:rsidRDefault="00D91AF2" w:rsidP="004C7356">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sidR="00CE2B39">
        <w:rPr>
          <w:rFonts w:ascii="Arial" w:eastAsia="黑体" w:hAnsi="Arial" w:cs="Arial" w:hint="eastAsia"/>
          <w:b/>
          <w:bCs/>
          <w:sz w:val="21"/>
          <w:szCs w:val="21"/>
        </w:rPr>
        <w:t>5</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A634B3" w:rsidRPr="00A634B3">
        <w:rPr>
          <w:rFonts w:ascii="Arial" w:eastAsia="黑体" w:hAnsi="Arial" w:cs="Arial" w:hint="eastAsia"/>
          <w:b/>
          <w:bCs/>
          <w:sz w:val="21"/>
          <w:szCs w:val="21"/>
        </w:rPr>
        <w:t>Recapitulation of the glial-specific transcriptomic signature in the GSE98793 cohort</w:t>
      </w:r>
      <w:r w:rsidRPr="00AC017F">
        <w:rPr>
          <w:rFonts w:ascii="Arial" w:eastAsia="黑体" w:hAnsi="Arial" w:cs="Arial" w:hint="eastAsia"/>
          <w:b/>
          <w:bCs/>
          <w:sz w:val="21"/>
          <w:szCs w:val="21"/>
        </w:rPr>
        <w:t>.</w:t>
      </w:r>
      <w:r w:rsidRPr="00AC017F">
        <w:rPr>
          <w:rFonts w:ascii="Arial" w:eastAsia="黑体" w:hAnsi="Arial" w:cs="Arial" w:hint="eastAsia"/>
          <w:sz w:val="21"/>
          <w:szCs w:val="21"/>
        </w:rPr>
        <w:t xml:space="preserve"> </w:t>
      </w:r>
      <w:r w:rsidR="00A92883" w:rsidRPr="00A92883">
        <w:rPr>
          <w:rFonts w:ascii="Arial" w:eastAsia="黑体" w:hAnsi="Arial" w:cs="Arial" w:hint="eastAsia"/>
          <w:sz w:val="21"/>
          <w:szCs w:val="21"/>
        </w:rPr>
        <w:t xml:space="preserve">Violin plots showing the normalized expression of key glial markers in the GSE98793 dataset, providing further independent validation. Panels with </w:t>
      </w:r>
      <w:r w:rsidR="00A92883" w:rsidRPr="00A92883">
        <w:rPr>
          <w:rFonts w:ascii="Arial" w:eastAsia="黑体" w:hAnsi="Arial" w:cs="Arial" w:hint="eastAsia"/>
          <w:sz w:val="21"/>
          <w:szCs w:val="21"/>
        </w:rPr>
        <w:lastRenderedPageBreak/>
        <w:t>blue-shaded backgrounds represent microglia-associated genes (MIC), and those with red-shaded backgrounds represent oligodendrocyte-associated genes (OLI). *(p &lt; 0.05, *p &lt; 0.01, **p &lt; 0.001, **p &lt; 0.0001; ns, not significant; two-sided Wilcoxon rank-sum test)</w:t>
      </w:r>
      <w:r>
        <w:rPr>
          <w:rFonts w:ascii="Arial" w:eastAsia="黑体" w:hAnsi="Arial" w:cs="Arial"/>
          <w:sz w:val="21"/>
          <w:szCs w:val="21"/>
        </w:rPr>
        <w:t>.</w:t>
      </w:r>
    </w:p>
    <w:p w14:paraId="2FABD63E" w14:textId="77777777" w:rsidR="00DD77F0" w:rsidRDefault="00DD77F0" w:rsidP="004C7356">
      <w:pPr>
        <w:spacing w:line="480" w:lineRule="auto"/>
        <w:rPr>
          <w:rFonts w:ascii="Arial" w:eastAsia="黑体" w:hAnsi="Arial" w:cs="Arial"/>
          <w:sz w:val="21"/>
          <w:szCs w:val="21"/>
        </w:rPr>
      </w:pPr>
    </w:p>
    <w:p w14:paraId="148AE2E0" w14:textId="59D9B6E5" w:rsidR="00D91AF2" w:rsidRDefault="00D91AF2" w:rsidP="004C7356">
      <w:pPr>
        <w:spacing w:line="480" w:lineRule="auto"/>
        <w:rPr>
          <w:rFonts w:ascii="Arial" w:eastAsia="黑体" w:hAnsi="Arial" w:cs="Arial"/>
          <w:sz w:val="21"/>
          <w:szCs w:val="21"/>
        </w:rPr>
      </w:pPr>
    </w:p>
    <w:p w14:paraId="5D05E0E2" w14:textId="77A2F926" w:rsidR="00D91AF2" w:rsidRDefault="00D91AF2" w:rsidP="00D91AF2">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sidR="00DD77F0">
        <w:rPr>
          <w:rFonts w:ascii="Arial" w:eastAsia="黑体" w:hAnsi="Arial" w:cs="Arial" w:hint="eastAsia"/>
          <w:b/>
          <w:bCs/>
          <w:sz w:val="21"/>
          <w:szCs w:val="21"/>
        </w:rPr>
        <w:t>6</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DD77F0">
        <w:rPr>
          <w:rFonts w:ascii="Arial" w:eastAsia="黑体" w:hAnsi="Arial" w:cs="Arial" w:hint="eastAsia"/>
          <w:b/>
          <w:bCs/>
          <w:sz w:val="21"/>
          <w:szCs w:val="21"/>
        </w:rPr>
        <w:t>I</w:t>
      </w:r>
      <w:r w:rsidR="00DD77F0" w:rsidRPr="00DD77F0">
        <w:rPr>
          <w:rFonts w:ascii="Arial" w:eastAsia="黑体" w:hAnsi="Arial" w:cs="Arial" w:hint="eastAsia"/>
          <w:b/>
          <w:bCs/>
          <w:sz w:val="21"/>
          <w:szCs w:val="21"/>
        </w:rPr>
        <w:t>ndependent validation of cell-type-specific marker dysregulation in the GSE76826 cohort.</w:t>
      </w:r>
      <w:r w:rsidRPr="00AC017F">
        <w:rPr>
          <w:rFonts w:ascii="Arial" w:eastAsia="黑体" w:hAnsi="Arial" w:cs="Arial" w:hint="eastAsia"/>
          <w:sz w:val="21"/>
          <w:szCs w:val="21"/>
        </w:rPr>
        <w:t xml:space="preserve"> </w:t>
      </w:r>
      <w:r w:rsidR="00D56DB0" w:rsidRPr="00A92883">
        <w:rPr>
          <w:rFonts w:ascii="Arial" w:eastAsia="黑体" w:hAnsi="Arial" w:cs="Arial" w:hint="eastAsia"/>
          <w:sz w:val="21"/>
          <w:szCs w:val="21"/>
        </w:rPr>
        <w:t>Violin plots showing the normalized expression of key glial markers in the GSE</w:t>
      </w:r>
      <w:r w:rsidR="005D6492">
        <w:rPr>
          <w:rFonts w:ascii="Arial" w:eastAsia="黑体" w:hAnsi="Arial" w:cs="Arial" w:hint="eastAsia"/>
          <w:sz w:val="21"/>
          <w:szCs w:val="21"/>
        </w:rPr>
        <w:t>76826</w:t>
      </w:r>
      <w:r w:rsidR="00D56DB0" w:rsidRPr="00A92883">
        <w:rPr>
          <w:rFonts w:ascii="Arial" w:eastAsia="黑体" w:hAnsi="Arial" w:cs="Arial" w:hint="eastAsia"/>
          <w:sz w:val="21"/>
          <w:szCs w:val="21"/>
        </w:rPr>
        <w:t xml:space="preserve"> dataset, providing further independent validation. Panels with blue-shaded backgrounds represent microglia-associated genes (MIC), and those with red-shaded backgrounds represent oligodendrocyte-associated genes (OLI). The data faithfully recapitulate the core finding, demonstrating a clear and statistically significant elevation of microglial transcripts (</w:t>
      </w:r>
      <w:r w:rsidR="00D56DB0" w:rsidRPr="00A92883">
        <w:rPr>
          <w:rFonts w:ascii="Arial" w:eastAsia="黑体" w:hAnsi="Arial" w:cs="Arial" w:hint="eastAsia"/>
          <w:i/>
          <w:iCs/>
          <w:sz w:val="21"/>
          <w:szCs w:val="21"/>
        </w:rPr>
        <w:t>HK2, ANO10</w:t>
      </w:r>
      <w:r w:rsidR="00D56DB0" w:rsidRPr="00A92883">
        <w:rPr>
          <w:rFonts w:ascii="Arial" w:eastAsia="黑体" w:hAnsi="Arial" w:cs="Arial" w:hint="eastAsia"/>
          <w:sz w:val="21"/>
          <w:szCs w:val="21"/>
        </w:rPr>
        <w:t>) and a reduction of oligodendrocyte transcripts (</w:t>
      </w:r>
      <w:r w:rsidR="00D56DB0" w:rsidRPr="00A92883">
        <w:rPr>
          <w:rFonts w:ascii="Arial" w:eastAsia="黑体" w:hAnsi="Arial" w:cs="Arial" w:hint="eastAsia"/>
          <w:i/>
          <w:iCs/>
          <w:sz w:val="21"/>
          <w:szCs w:val="21"/>
        </w:rPr>
        <w:t>CCDC50, FUT8</w:t>
      </w:r>
      <w:r w:rsidR="00D56DB0" w:rsidRPr="00A92883">
        <w:rPr>
          <w:rFonts w:ascii="Arial" w:eastAsia="黑体" w:hAnsi="Arial" w:cs="Arial" w:hint="eastAsia"/>
          <w:sz w:val="21"/>
          <w:szCs w:val="21"/>
        </w:rPr>
        <w:t>) in individuals with MDD (red violins) versus controls (blue violins). *(p &lt; 0.05, *p &lt; 0.01, **p &lt; 0.001, **p &lt; 0.0001; ns, not significant; two-sided Wilcoxon rank-sum test)</w:t>
      </w:r>
      <w:r w:rsidR="00D56DB0">
        <w:rPr>
          <w:rFonts w:ascii="Arial" w:eastAsia="黑体" w:hAnsi="Arial" w:cs="Arial"/>
          <w:sz w:val="21"/>
          <w:szCs w:val="21"/>
        </w:rPr>
        <w:t>.</w:t>
      </w:r>
    </w:p>
    <w:p w14:paraId="24243E66" w14:textId="16E7C0F6" w:rsidR="00D91AF2" w:rsidRDefault="00D91AF2" w:rsidP="004C7356">
      <w:pPr>
        <w:spacing w:line="480" w:lineRule="auto"/>
        <w:rPr>
          <w:rFonts w:ascii="Arial" w:eastAsia="黑体" w:hAnsi="Arial" w:cs="Arial"/>
          <w:sz w:val="21"/>
          <w:szCs w:val="21"/>
        </w:rPr>
      </w:pPr>
    </w:p>
    <w:p w14:paraId="7F04B58B" w14:textId="13AC738D" w:rsidR="00D91AF2" w:rsidRDefault="00D91AF2" w:rsidP="00D91AF2">
      <w:pPr>
        <w:spacing w:line="480" w:lineRule="auto"/>
        <w:rPr>
          <w:rFonts w:ascii="Arial" w:eastAsia="黑体" w:hAnsi="Arial" w:cs="Arial"/>
          <w:sz w:val="21"/>
          <w:szCs w:val="21"/>
        </w:rPr>
      </w:pPr>
      <w:r w:rsidRPr="00D91AF2">
        <w:rPr>
          <w:rFonts w:ascii="Arial" w:eastAsia="黑体" w:hAnsi="Arial" w:cs="Arial"/>
          <w:b/>
          <w:bCs/>
          <w:sz w:val="21"/>
          <w:szCs w:val="21"/>
        </w:rPr>
        <w:t xml:space="preserve"> </w:t>
      </w: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sidR="005D6492">
        <w:rPr>
          <w:rFonts w:ascii="Arial" w:eastAsia="黑体" w:hAnsi="Arial" w:cs="Arial" w:hint="eastAsia"/>
          <w:b/>
          <w:bCs/>
          <w:sz w:val="21"/>
          <w:szCs w:val="21"/>
        </w:rPr>
        <w:t>7</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5D6492" w:rsidRPr="005D6492">
        <w:rPr>
          <w:rFonts w:ascii="Arial" w:eastAsia="黑体" w:hAnsi="Arial" w:cs="Arial" w:hint="eastAsia"/>
          <w:b/>
          <w:bCs/>
          <w:sz w:val="21"/>
          <w:szCs w:val="21"/>
        </w:rPr>
        <w:t>Pharmacological attenuation of glial marker dysregulation by fluoxetine in rat model</w:t>
      </w:r>
      <w:r w:rsidRPr="00AC017F">
        <w:rPr>
          <w:rFonts w:ascii="Arial" w:eastAsia="黑体" w:hAnsi="Arial" w:cs="Arial" w:hint="eastAsia"/>
          <w:b/>
          <w:bCs/>
          <w:sz w:val="21"/>
          <w:szCs w:val="21"/>
        </w:rPr>
        <w:t>.</w:t>
      </w:r>
      <w:r w:rsidRPr="00AC017F">
        <w:rPr>
          <w:rFonts w:ascii="Arial" w:eastAsia="黑体" w:hAnsi="Arial" w:cs="Arial" w:hint="eastAsia"/>
          <w:sz w:val="21"/>
          <w:szCs w:val="21"/>
        </w:rPr>
        <w:t xml:space="preserve"> </w:t>
      </w:r>
      <w:r w:rsidR="005D6492" w:rsidRPr="005D6492">
        <w:rPr>
          <w:rFonts w:ascii="Arial" w:eastAsia="黑体" w:hAnsi="Arial" w:cs="Arial" w:hint="eastAsia"/>
          <w:sz w:val="21"/>
          <w:szCs w:val="21"/>
        </w:rPr>
        <w:t xml:space="preserve">Violin plots from the GSE194289 rat dataset demonstrating the dynamic responsiveness of prioritized biomarkers to antidepressant treatment. Blue-shaded panels correspond to microglia (MIC) markers, and red-shaded panels </w:t>
      </w:r>
      <w:r w:rsidR="005D6492" w:rsidRPr="005D6492">
        <w:rPr>
          <w:rFonts w:ascii="Arial" w:eastAsia="黑体" w:hAnsi="Arial" w:cs="Arial" w:hint="eastAsia"/>
          <w:sz w:val="21"/>
          <w:szCs w:val="21"/>
        </w:rPr>
        <w:lastRenderedPageBreak/>
        <w:t>correspond to oligodendrocyte (OLI) markers. Chronic fluoxetine administration (orange violins) significantly reversed the stress-induced expression changes, attenuating the upregulation of microglia-specific genes (</w:t>
      </w:r>
      <w:r w:rsidR="005D6492" w:rsidRPr="005D6492">
        <w:rPr>
          <w:rFonts w:ascii="Arial" w:eastAsia="黑体" w:hAnsi="Arial" w:cs="Arial" w:hint="eastAsia"/>
          <w:i/>
          <w:iCs/>
          <w:sz w:val="21"/>
          <w:szCs w:val="21"/>
        </w:rPr>
        <w:t>Ano10, Hk2</w:t>
      </w:r>
      <w:r w:rsidR="005D6492" w:rsidRPr="005D6492">
        <w:rPr>
          <w:rFonts w:ascii="Arial" w:eastAsia="黑体" w:hAnsi="Arial" w:cs="Arial" w:hint="eastAsia"/>
          <w:sz w:val="21"/>
          <w:szCs w:val="21"/>
        </w:rPr>
        <w:t>) and restoring the expression of oligodendrocyte-specific genes (</w:t>
      </w:r>
      <w:r w:rsidR="005D6492" w:rsidRPr="005D6492">
        <w:rPr>
          <w:rFonts w:ascii="Arial" w:eastAsia="黑体" w:hAnsi="Arial" w:cs="Arial" w:hint="eastAsia"/>
          <w:i/>
          <w:iCs/>
          <w:sz w:val="21"/>
          <w:szCs w:val="21"/>
        </w:rPr>
        <w:t>Ccdc50, Zfp532</w:t>
      </w:r>
      <w:r w:rsidR="005D6492" w:rsidRPr="005D6492">
        <w:rPr>
          <w:rFonts w:ascii="Arial" w:eastAsia="黑体" w:hAnsi="Arial" w:cs="Arial" w:hint="eastAsia"/>
          <w:sz w:val="21"/>
          <w:szCs w:val="21"/>
        </w:rPr>
        <w:t>) compared to the sham-treated group (blue violins). This provides crucial in vivo evidence for the state-dependent nature of the identified biomarkers. *(p &lt; 0.05, *p &lt; 0.01, **p &lt; 0.001, **p &lt; 0.0001; ns, not significant).</w:t>
      </w:r>
    </w:p>
    <w:p w14:paraId="4EA49C51" w14:textId="54D893D7" w:rsidR="00D91AF2" w:rsidRDefault="00D91AF2" w:rsidP="004C7356">
      <w:pPr>
        <w:spacing w:line="480" w:lineRule="auto"/>
        <w:rPr>
          <w:rFonts w:ascii="Arial" w:eastAsia="黑体" w:hAnsi="Arial" w:cs="Arial"/>
          <w:sz w:val="21"/>
          <w:szCs w:val="21"/>
        </w:rPr>
      </w:pPr>
    </w:p>
    <w:p w14:paraId="67DB1BAE" w14:textId="257EC7D5" w:rsidR="00D91AF2" w:rsidRDefault="00D91AF2" w:rsidP="00D91AF2">
      <w:pPr>
        <w:spacing w:line="480" w:lineRule="auto"/>
        <w:rPr>
          <w:rFonts w:ascii="Arial" w:eastAsia="黑体" w:hAnsi="Arial" w:cs="Arial"/>
          <w:sz w:val="21"/>
          <w:szCs w:val="21"/>
        </w:rPr>
      </w:pPr>
      <w:r w:rsidRPr="00AC017F">
        <w:rPr>
          <w:rFonts w:ascii="Arial" w:eastAsia="黑体" w:hAnsi="Arial" w:cs="Arial"/>
          <w:b/>
          <w:bCs/>
          <w:sz w:val="21"/>
          <w:szCs w:val="21"/>
        </w:rPr>
        <w:t>Supplementary Fig</w:t>
      </w:r>
      <w:r>
        <w:rPr>
          <w:rFonts w:ascii="Arial" w:eastAsia="黑体" w:hAnsi="Arial" w:cs="Arial" w:hint="eastAsia"/>
          <w:b/>
          <w:bCs/>
          <w:sz w:val="21"/>
          <w:szCs w:val="21"/>
        </w:rPr>
        <w:t xml:space="preserve">. </w:t>
      </w:r>
      <w:r w:rsidR="005D6492">
        <w:rPr>
          <w:rFonts w:ascii="Arial" w:eastAsia="黑体" w:hAnsi="Arial" w:cs="Arial" w:hint="eastAsia"/>
          <w:b/>
          <w:bCs/>
          <w:sz w:val="21"/>
          <w:szCs w:val="21"/>
        </w:rPr>
        <w:t>8</w:t>
      </w:r>
      <w:r>
        <w:rPr>
          <w:rFonts w:ascii="Arial" w:eastAsia="黑体" w:hAnsi="Arial" w:cs="Arial" w:hint="eastAsia"/>
          <w:b/>
          <w:bCs/>
          <w:sz w:val="21"/>
          <w:szCs w:val="21"/>
        </w:rPr>
        <w:t>:</w:t>
      </w:r>
      <w:r w:rsidRPr="00AC017F">
        <w:rPr>
          <w:rFonts w:ascii="Arial" w:eastAsia="黑体" w:hAnsi="Arial" w:cs="Arial"/>
          <w:b/>
          <w:bCs/>
          <w:sz w:val="21"/>
          <w:szCs w:val="21"/>
        </w:rPr>
        <w:t xml:space="preserve"> </w:t>
      </w:r>
      <w:r w:rsidR="005D6492" w:rsidRPr="005D6492">
        <w:rPr>
          <w:rFonts w:ascii="Arial" w:eastAsia="黑体" w:hAnsi="Arial" w:cs="Arial" w:hint="eastAsia"/>
          <w:b/>
          <w:bCs/>
          <w:sz w:val="21"/>
          <w:szCs w:val="21"/>
        </w:rPr>
        <w:t xml:space="preserve">Broad pharmacological reversal of the MDD-associated glial signature across multiple antidepressant </w:t>
      </w:r>
      <w:r w:rsidR="005D6492">
        <w:rPr>
          <w:rFonts w:ascii="Arial" w:eastAsia="黑体" w:hAnsi="Arial" w:cs="Arial" w:hint="eastAsia"/>
          <w:b/>
          <w:bCs/>
          <w:sz w:val="21"/>
          <w:szCs w:val="21"/>
        </w:rPr>
        <w:t>treatment</w:t>
      </w:r>
      <w:r w:rsidRPr="00AC017F">
        <w:rPr>
          <w:rFonts w:ascii="Arial" w:eastAsia="黑体" w:hAnsi="Arial" w:cs="Arial" w:hint="eastAsia"/>
          <w:b/>
          <w:bCs/>
          <w:sz w:val="21"/>
          <w:szCs w:val="21"/>
        </w:rPr>
        <w:t>.</w:t>
      </w:r>
      <w:r w:rsidRPr="00AC017F">
        <w:rPr>
          <w:rFonts w:ascii="Arial" w:eastAsia="黑体" w:hAnsi="Arial" w:cs="Arial" w:hint="eastAsia"/>
          <w:sz w:val="21"/>
          <w:szCs w:val="21"/>
        </w:rPr>
        <w:t xml:space="preserve"> </w:t>
      </w:r>
      <w:r w:rsidR="005D6492" w:rsidRPr="005D6492">
        <w:rPr>
          <w:rFonts w:ascii="Arial" w:eastAsia="黑体" w:hAnsi="Arial" w:cs="Arial" w:hint="eastAsia"/>
          <w:sz w:val="21"/>
          <w:szCs w:val="21"/>
        </w:rPr>
        <w:t>Violin plots from the GSE222756 rat dataset assessing the effect of various therapeutic interventions on the expression of core glial markers. Microglia (MIC) and oligodendrocyte (OLI) associated genes are highlighted with blue and red-shaded backgrounds, respectively. Critically, treatment with mechanistically distinct antidepressants effectively normalized the expression of both microglial (</w:t>
      </w:r>
      <w:r w:rsidR="005D6492" w:rsidRPr="005D6492">
        <w:rPr>
          <w:rFonts w:ascii="Arial" w:eastAsia="黑体" w:hAnsi="Arial" w:cs="Arial" w:hint="eastAsia"/>
          <w:i/>
          <w:iCs/>
          <w:sz w:val="21"/>
          <w:szCs w:val="21"/>
        </w:rPr>
        <w:t>Hk2, Irak3</w:t>
      </w:r>
      <w:r w:rsidR="005D6492" w:rsidRPr="005D6492">
        <w:rPr>
          <w:rFonts w:ascii="Arial" w:eastAsia="黑体" w:hAnsi="Arial" w:cs="Arial" w:hint="eastAsia"/>
          <w:sz w:val="21"/>
          <w:szCs w:val="21"/>
        </w:rPr>
        <w:t>) and oligodendrocyte (</w:t>
      </w:r>
      <w:r w:rsidR="005D6492" w:rsidRPr="005D6492">
        <w:rPr>
          <w:rFonts w:ascii="Arial" w:eastAsia="黑体" w:hAnsi="Arial" w:cs="Arial" w:hint="eastAsia"/>
          <w:i/>
          <w:iCs/>
          <w:sz w:val="21"/>
          <w:szCs w:val="21"/>
        </w:rPr>
        <w:t>Ccdc50, Fut8</w:t>
      </w:r>
      <w:r w:rsidR="005D6492" w:rsidRPr="005D6492">
        <w:rPr>
          <w:rFonts w:ascii="Arial" w:eastAsia="黑体" w:hAnsi="Arial" w:cs="Arial" w:hint="eastAsia"/>
          <w:sz w:val="21"/>
          <w:szCs w:val="21"/>
        </w:rPr>
        <w:t>) markers. These results confirm that the identified transcriptomic signature is not only pharmacologically reversible but also responsive to multiple classes of therapeutics, strengthening its relevance as a potential tool for monitoring treatment efficacy. *(p &lt; 0.05, *p &lt; 0.01, **p &lt; 0.001, **p &lt; 0.0001; ns, not significant)</w:t>
      </w:r>
      <w:r>
        <w:rPr>
          <w:rFonts w:ascii="Arial" w:eastAsia="黑体" w:hAnsi="Arial" w:cs="Arial"/>
          <w:sz w:val="21"/>
          <w:szCs w:val="21"/>
        </w:rPr>
        <w:t>.</w:t>
      </w:r>
    </w:p>
    <w:p w14:paraId="1E70A6D8" w14:textId="5BC1CF3B" w:rsidR="00D91AF2" w:rsidRPr="00D91AF2" w:rsidRDefault="00D91AF2" w:rsidP="004C7356">
      <w:pPr>
        <w:spacing w:line="480" w:lineRule="auto"/>
        <w:rPr>
          <w:rFonts w:ascii="Arial" w:eastAsia="黑体" w:hAnsi="Arial" w:cs="Arial"/>
          <w:sz w:val="21"/>
          <w:szCs w:val="21"/>
        </w:rPr>
      </w:pPr>
    </w:p>
    <w:sectPr w:rsidR="00D91AF2" w:rsidRPr="00D91AF2" w:rsidSect="00D91AF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2B01" w14:textId="77777777" w:rsidR="005C480D" w:rsidRDefault="005C480D" w:rsidP="00593414">
      <w:pPr>
        <w:spacing w:after="0" w:line="240" w:lineRule="auto"/>
        <w:rPr>
          <w:rFonts w:hint="eastAsia"/>
        </w:rPr>
      </w:pPr>
      <w:r>
        <w:separator/>
      </w:r>
    </w:p>
  </w:endnote>
  <w:endnote w:type="continuationSeparator" w:id="0">
    <w:p w14:paraId="11730774" w14:textId="77777777" w:rsidR="005C480D" w:rsidRDefault="005C480D" w:rsidP="0059341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074F" w14:textId="77777777" w:rsidR="005C480D" w:rsidRDefault="005C480D" w:rsidP="00593414">
      <w:pPr>
        <w:spacing w:after="0" w:line="240" w:lineRule="auto"/>
        <w:rPr>
          <w:rFonts w:hint="eastAsia"/>
        </w:rPr>
      </w:pPr>
      <w:r>
        <w:separator/>
      </w:r>
    </w:p>
  </w:footnote>
  <w:footnote w:type="continuationSeparator" w:id="0">
    <w:p w14:paraId="76562A13" w14:textId="77777777" w:rsidR="005C480D" w:rsidRDefault="005C480D" w:rsidP="0059341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1"/>
    <w:rsid w:val="00003E08"/>
    <w:rsid w:val="000176AE"/>
    <w:rsid w:val="0002304D"/>
    <w:rsid w:val="00026B00"/>
    <w:rsid w:val="0004781C"/>
    <w:rsid w:val="000743F3"/>
    <w:rsid w:val="00091E5E"/>
    <w:rsid w:val="00097801"/>
    <w:rsid w:val="000B3074"/>
    <w:rsid w:val="000C6E3F"/>
    <w:rsid w:val="00115FD8"/>
    <w:rsid w:val="001308AD"/>
    <w:rsid w:val="0014366D"/>
    <w:rsid w:val="00154932"/>
    <w:rsid w:val="00201F2F"/>
    <w:rsid w:val="0022530C"/>
    <w:rsid w:val="00266D3B"/>
    <w:rsid w:val="00272319"/>
    <w:rsid w:val="00295FDC"/>
    <w:rsid w:val="002A12D1"/>
    <w:rsid w:val="00325A17"/>
    <w:rsid w:val="003422DF"/>
    <w:rsid w:val="00455290"/>
    <w:rsid w:val="00465D4F"/>
    <w:rsid w:val="004C7356"/>
    <w:rsid w:val="004D1A1B"/>
    <w:rsid w:val="004F4310"/>
    <w:rsid w:val="00512349"/>
    <w:rsid w:val="005514AA"/>
    <w:rsid w:val="00552373"/>
    <w:rsid w:val="00580721"/>
    <w:rsid w:val="00586B38"/>
    <w:rsid w:val="00593414"/>
    <w:rsid w:val="005A3445"/>
    <w:rsid w:val="005A5FB2"/>
    <w:rsid w:val="005B7AE3"/>
    <w:rsid w:val="005C480D"/>
    <w:rsid w:val="005D6492"/>
    <w:rsid w:val="005F79D6"/>
    <w:rsid w:val="007311EC"/>
    <w:rsid w:val="0074563E"/>
    <w:rsid w:val="0075619E"/>
    <w:rsid w:val="007634AD"/>
    <w:rsid w:val="007803CD"/>
    <w:rsid w:val="00780B24"/>
    <w:rsid w:val="008C4904"/>
    <w:rsid w:val="008D51D8"/>
    <w:rsid w:val="009136F6"/>
    <w:rsid w:val="009C39D8"/>
    <w:rsid w:val="009D0F5A"/>
    <w:rsid w:val="009F60EB"/>
    <w:rsid w:val="00A1261B"/>
    <w:rsid w:val="00A17800"/>
    <w:rsid w:val="00A27FDE"/>
    <w:rsid w:val="00A605E9"/>
    <w:rsid w:val="00A634B3"/>
    <w:rsid w:val="00A81B54"/>
    <w:rsid w:val="00A92883"/>
    <w:rsid w:val="00AC017F"/>
    <w:rsid w:val="00AC2479"/>
    <w:rsid w:val="00B61B93"/>
    <w:rsid w:val="00BB15EC"/>
    <w:rsid w:val="00BB1D7B"/>
    <w:rsid w:val="00C84909"/>
    <w:rsid w:val="00CE2B39"/>
    <w:rsid w:val="00CF391A"/>
    <w:rsid w:val="00CF396B"/>
    <w:rsid w:val="00D30D9C"/>
    <w:rsid w:val="00D345D4"/>
    <w:rsid w:val="00D56DB0"/>
    <w:rsid w:val="00D91AF2"/>
    <w:rsid w:val="00DA4791"/>
    <w:rsid w:val="00DD77F0"/>
    <w:rsid w:val="00DF1D2C"/>
    <w:rsid w:val="00E87846"/>
    <w:rsid w:val="00E92B4B"/>
    <w:rsid w:val="00EB4C64"/>
    <w:rsid w:val="00EB567E"/>
    <w:rsid w:val="00ED7B50"/>
    <w:rsid w:val="00EE6E54"/>
    <w:rsid w:val="00F6301A"/>
    <w:rsid w:val="00FB6AD1"/>
    <w:rsid w:val="00FC2721"/>
    <w:rsid w:val="00FE5EEB"/>
    <w:rsid w:val="00FF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73566"/>
  <w14:defaultImageDpi w14:val="32767"/>
  <w15:chartTrackingRefBased/>
  <w15:docId w15:val="{27D6FBCB-7B6C-40DB-B779-6B01A7FA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F2"/>
    <w:pPr>
      <w:widowControl w:val="0"/>
    </w:pPr>
  </w:style>
  <w:style w:type="paragraph" w:styleId="1">
    <w:name w:val="heading 1"/>
    <w:basedOn w:val="a"/>
    <w:next w:val="a"/>
    <w:link w:val="10"/>
    <w:uiPriority w:val="9"/>
    <w:qFormat/>
    <w:rsid w:val="000978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0978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978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9780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9780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9780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97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8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0978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978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97801"/>
    <w:rPr>
      <w:rFonts w:cstheme="majorBidi"/>
      <w:color w:val="0F4761" w:themeColor="accent1" w:themeShade="BF"/>
      <w:sz w:val="28"/>
      <w:szCs w:val="28"/>
    </w:rPr>
  </w:style>
  <w:style w:type="character" w:customStyle="1" w:styleId="50">
    <w:name w:val="标题 5 字符"/>
    <w:basedOn w:val="a0"/>
    <w:link w:val="5"/>
    <w:uiPriority w:val="9"/>
    <w:semiHidden/>
    <w:rsid w:val="00097801"/>
    <w:rPr>
      <w:rFonts w:cstheme="majorBidi"/>
      <w:color w:val="0F4761" w:themeColor="accent1" w:themeShade="BF"/>
      <w:sz w:val="24"/>
    </w:rPr>
  </w:style>
  <w:style w:type="character" w:customStyle="1" w:styleId="60">
    <w:name w:val="标题 6 字符"/>
    <w:basedOn w:val="a0"/>
    <w:link w:val="6"/>
    <w:uiPriority w:val="9"/>
    <w:semiHidden/>
    <w:rsid w:val="00097801"/>
    <w:rPr>
      <w:rFonts w:cstheme="majorBidi"/>
      <w:b/>
      <w:bCs/>
      <w:color w:val="0F4761" w:themeColor="accent1" w:themeShade="BF"/>
    </w:rPr>
  </w:style>
  <w:style w:type="character" w:customStyle="1" w:styleId="70">
    <w:name w:val="标题 7 字符"/>
    <w:basedOn w:val="a0"/>
    <w:link w:val="7"/>
    <w:uiPriority w:val="9"/>
    <w:semiHidden/>
    <w:rsid w:val="00097801"/>
    <w:rPr>
      <w:rFonts w:cstheme="majorBidi"/>
      <w:b/>
      <w:bCs/>
      <w:color w:val="595959" w:themeColor="text1" w:themeTint="A6"/>
    </w:rPr>
  </w:style>
  <w:style w:type="character" w:customStyle="1" w:styleId="80">
    <w:name w:val="标题 8 字符"/>
    <w:basedOn w:val="a0"/>
    <w:link w:val="8"/>
    <w:uiPriority w:val="9"/>
    <w:semiHidden/>
    <w:rsid w:val="00097801"/>
    <w:rPr>
      <w:rFonts w:cstheme="majorBidi"/>
      <w:color w:val="595959" w:themeColor="text1" w:themeTint="A6"/>
    </w:rPr>
  </w:style>
  <w:style w:type="character" w:customStyle="1" w:styleId="90">
    <w:name w:val="标题 9 字符"/>
    <w:basedOn w:val="a0"/>
    <w:link w:val="9"/>
    <w:uiPriority w:val="9"/>
    <w:semiHidden/>
    <w:rsid w:val="00097801"/>
    <w:rPr>
      <w:rFonts w:eastAsiaTheme="majorEastAsia" w:cstheme="majorBidi"/>
      <w:color w:val="595959" w:themeColor="text1" w:themeTint="A6"/>
    </w:rPr>
  </w:style>
  <w:style w:type="paragraph" w:styleId="a3">
    <w:name w:val="Title"/>
    <w:basedOn w:val="a"/>
    <w:next w:val="a"/>
    <w:link w:val="a4"/>
    <w:uiPriority w:val="10"/>
    <w:qFormat/>
    <w:rsid w:val="00097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801"/>
    <w:pPr>
      <w:spacing w:before="160"/>
      <w:jc w:val="center"/>
    </w:pPr>
    <w:rPr>
      <w:i/>
      <w:iCs/>
      <w:color w:val="404040" w:themeColor="text1" w:themeTint="BF"/>
    </w:rPr>
  </w:style>
  <w:style w:type="character" w:customStyle="1" w:styleId="a8">
    <w:name w:val="引用 字符"/>
    <w:basedOn w:val="a0"/>
    <w:link w:val="a7"/>
    <w:uiPriority w:val="29"/>
    <w:rsid w:val="00097801"/>
    <w:rPr>
      <w:i/>
      <w:iCs/>
      <w:color w:val="404040" w:themeColor="text1" w:themeTint="BF"/>
    </w:rPr>
  </w:style>
  <w:style w:type="paragraph" w:styleId="a9">
    <w:name w:val="List Paragraph"/>
    <w:basedOn w:val="a"/>
    <w:uiPriority w:val="34"/>
    <w:qFormat/>
    <w:rsid w:val="00097801"/>
    <w:pPr>
      <w:ind w:left="720"/>
      <w:contextualSpacing/>
    </w:pPr>
  </w:style>
  <w:style w:type="character" w:styleId="aa">
    <w:name w:val="Intense Emphasis"/>
    <w:basedOn w:val="a0"/>
    <w:uiPriority w:val="21"/>
    <w:qFormat/>
    <w:rsid w:val="00097801"/>
    <w:rPr>
      <w:i/>
      <w:iCs/>
      <w:color w:val="0F4761" w:themeColor="accent1" w:themeShade="BF"/>
    </w:rPr>
  </w:style>
  <w:style w:type="paragraph" w:styleId="ab">
    <w:name w:val="Intense Quote"/>
    <w:basedOn w:val="a"/>
    <w:next w:val="a"/>
    <w:link w:val="ac"/>
    <w:uiPriority w:val="30"/>
    <w:qFormat/>
    <w:rsid w:val="0009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97801"/>
    <w:rPr>
      <w:i/>
      <w:iCs/>
      <w:color w:val="0F4761" w:themeColor="accent1" w:themeShade="BF"/>
    </w:rPr>
  </w:style>
  <w:style w:type="character" w:styleId="ad">
    <w:name w:val="Intense Reference"/>
    <w:basedOn w:val="a0"/>
    <w:uiPriority w:val="32"/>
    <w:qFormat/>
    <w:rsid w:val="00097801"/>
    <w:rPr>
      <w:b/>
      <w:bCs/>
      <w:smallCaps/>
      <w:color w:val="0F4761" w:themeColor="accent1" w:themeShade="BF"/>
      <w:spacing w:val="5"/>
    </w:rPr>
  </w:style>
  <w:style w:type="paragraph" w:styleId="ae">
    <w:name w:val="caption"/>
    <w:basedOn w:val="a"/>
    <w:next w:val="a"/>
    <w:uiPriority w:val="35"/>
    <w:semiHidden/>
    <w:unhideWhenUsed/>
    <w:qFormat/>
    <w:rsid w:val="00097801"/>
    <w:rPr>
      <w:rFonts w:asciiTheme="majorHAnsi" w:eastAsia="黑体" w:hAnsiTheme="majorHAnsi" w:cstheme="majorBidi"/>
      <w:sz w:val="20"/>
      <w:szCs w:val="20"/>
    </w:rPr>
  </w:style>
  <w:style w:type="paragraph" w:styleId="af">
    <w:name w:val="header"/>
    <w:basedOn w:val="a"/>
    <w:link w:val="af0"/>
    <w:uiPriority w:val="99"/>
    <w:unhideWhenUsed/>
    <w:rsid w:val="00593414"/>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593414"/>
    <w:rPr>
      <w:sz w:val="18"/>
      <w:szCs w:val="18"/>
    </w:rPr>
  </w:style>
  <w:style w:type="paragraph" w:styleId="af1">
    <w:name w:val="footer"/>
    <w:basedOn w:val="a"/>
    <w:link w:val="af2"/>
    <w:uiPriority w:val="99"/>
    <w:unhideWhenUsed/>
    <w:rsid w:val="00593414"/>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593414"/>
    <w:rPr>
      <w:sz w:val="18"/>
      <w:szCs w:val="18"/>
    </w:rPr>
  </w:style>
  <w:style w:type="character" w:styleId="af3">
    <w:name w:val="Hyperlink"/>
    <w:basedOn w:val="a0"/>
    <w:uiPriority w:val="99"/>
    <w:unhideWhenUsed/>
    <w:qFormat/>
    <w:rsid w:val="00154932"/>
    <w:rPr>
      <w:color w:val="467886" w:themeColor="hyperlink"/>
      <w:u w:val="single"/>
    </w:rPr>
  </w:style>
  <w:style w:type="character" w:styleId="af4">
    <w:name w:val="Unresolved Mention"/>
    <w:basedOn w:val="a0"/>
    <w:uiPriority w:val="99"/>
    <w:semiHidden/>
    <w:unhideWhenUsed/>
    <w:rsid w:val="00154932"/>
    <w:rPr>
      <w:color w:val="605E5C"/>
      <w:shd w:val="clear" w:color="auto" w:fill="E1DFDD"/>
    </w:rPr>
  </w:style>
  <w:style w:type="table" w:styleId="af5">
    <w:name w:val="Table Grid"/>
    <w:basedOn w:val="a1"/>
    <w:uiPriority w:val="39"/>
    <w:rsid w:val="00154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3422DF"/>
    <w:rPr>
      <w:sz w:val="21"/>
      <w:szCs w:val="21"/>
    </w:rPr>
  </w:style>
  <w:style w:type="paragraph" w:styleId="af7">
    <w:name w:val="annotation text"/>
    <w:basedOn w:val="a"/>
    <w:link w:val="af8"/>
    <w:uiPriority w:val="99"/>
    <w:unhideWhenUsed/>
    <w:rsid w:val="003422DF"/>
  </w:style>
  <w:style w:type="character" w:customStyle="1" w:styleId="af8">
    <w:name w:val="批注文字 字符"/>
    <w:basedOn w:val="a0"/>
    <w:link w:val="af7"/>
    <w:uiPriority w:val="99"/>
    <w:rsid w:val="003422DF"/>
  </w:style>
  <w:style w:type="paragraph" w:styleId="af9">
    <w:name w:val="annotation subject"/>
    <w:basedOn w:val="af7"/>
    <w:next w:val="af7"/>
    <w:link w:val="afa"/>
    <w:uiPriority w:val="99"/>
    <w:semiHidden/>
    <w:unhideWhenUsed/>
    <w:rsid w:val="003422DF"/>
    <w:rPr>
      <w:b/>
      <w:bCs/>
    </w:rPr>
  </w:style>
  <w:style w:type="character" w:customStyle="1" w:styleId="afa">
    <w:name w:val="批注主题 字符"/>
    <w:basedOn w:val="af8"/>
    <w:link w:val="af9"/>
    <w:uiPriority w:val="99"/>
    <w:semiHidden/>
    <w:rsid w:val="00342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ghui@fo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CFD1-7A32-44D9-9152-F63310EF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山三 三</dc:creator>
  <cp:keywords/>
  <dc:description/>
  <cp:lastModifiedBy>山三 三</cp:lastModifiedBy>
  <cp:revision>5</cp:revision>
  <dcterms:created xsi:type="dcterms:W3CDTF">2026-02-26T03:25:00Z</dcterms:created>
  <dcterms:modified xsi:type="dcterms:W3CDTF">2026-02-26T09:27:00Z</dcterms:modified>
</cp:coreProperties>
</file>