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8F9B79">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4"/>
          <w:szCs w:val="24"/>
          <w:highlight w:val="none"/>
          <w:lang w:val="en-US" w:eastAsia="zh-CN"/>
        </w:rPr>
        <w:t>Optimization of the 5’ untranslated region and codon of the mRNA vaccines</w:t>
      </w:r>
    </w:p>
    <w:p w14:paraId="2E50A50D">
      <w:pPr>
        <w:jc w:val="left"/>
        <w:rPr>
          <w:rFonts w:hint="default" w:ascii="Times New Roman" w:hAnsi="Times New Roman" w:cs="Times New Roman"/>
          <w:b w:val="0"/>
          <w:bCs w:val="0"/>
          <w:color w:val="auto"/>
          <w:sz w:val="21"/>
          <w:szCs w:val="21"/>
          <w:highlight w:val="none"/>
          <w:vertAlign w:val="superscript"/>
          <w:lang w:val="en-US" w:eastAsia="zh-CN"/>
        </w:rPr>
      </w:pPr>
      <w:r>
        <w:rPr>
          <w:rFonts w:hint="default" w:ascii="Times New Roman" w:hAnsi="Times New Roman" w:cs="Times New Roman"/>
          <w:b w:val="0"/>
          <w:bCs w:val="0"/>
          <w:color w:val="auto"/>
          <w:sz w:val="21"/>
          <w:szCs w:val="21"/>
          <w:highlight w:val="none"/>
          <w:lang w:val="en-US" w:eastAsia="zh-CN"/>
        </w:rPr>
        <w:t>Qiuji Wang</w:t>
      </w:r>
      <w:r>
        <w:rPr>
          <w:rFonts w:hint="default" w:ascii="Times New Roman" w:hAnsi="Times New Roman" w:cs="Times New Roman"/>
          <w:b w:val="0"/>
          <w:bCs w:val="0"/>
          <w:color w:val="auto"/>
          <w:sz w:val="21"/>
          <w:szCs w:val="21"/>
          <w:highlight w:val="none"/>
          <w:vertAlign w:val="superscript"/>
          <w:lang w:val="en-US" w:eastAsia="zh-CN"/>
        </w:rPr>
        <w:t>1, 2</w:t>
      </w: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 xml:space="preserve"> Xiaorong Peng</w:t>
      </w:r>
      <w:r>
        <w:rPr>
          <w:rFonts w:hint="default" w:ascii="Times New Roman" w:hAnsi="Times New Roman" w:cs="Times New Roman"/>
          <w:b w:val="0"/>
          <w:bCs w:val="0"/>
          <w:color w:val="auto"/>
          <w:sz w:val="21"/>
          <w:szCs w:val="21"/>
          <w:highlight w:val="none"/>
          <w:vertAlign w:val="superscript"/>
          <w:lang w:val="en-US" w:eastAsia="zh-CN"/>
        </w:rPr>
        <w:t>1, 2</w:t>
      </w:r>
      <w:r>
        <w:rPr>
          <w:rFonts w:hint="eastAsia" w:ascii="Times New Roman" w:hAnsi="Times New Roman" w:cs="Times New Roman"/>
          <w:b w:val="0"/>
          <w:bCs w:val="0"/>
          <w:color w:val="auto"/>
          <w:sz w:val="21"/>
          <w:szCs w:val="21"/>
          <w:highlight w:val="none"/>
          <w:lang w:val="en-US" w:eastAsia="zh-CN"/>
        </w:rPr>
        <w:t>, Yaqian Zeng</w:t>
      </w:r>
      <w:r>
        <w:rPr>
          <w:rFonts w:hint="default"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lang w:val="en-US" w:eastAsia="zh-CN"/>
        </w:rPr>
        <w:t>, Xindeng Guo</w:t>
      </w:r>
      <w:r>
        <w:rPr>
          <w:rFonts w:hint="default"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vertAlign w:val="superscript"/>
          <w:lang w:val="en-US" w:eastAsia="zh-CN"/>
        </w:rPr>
        <w:t>,*</w:t>
      </w:r>
      <w:r>
        <w:rPr>
          <w:rFonts w:hint="eastAsia"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 xml:space="preserve"> Weineng Meng</w:t>
      </w:r>
      <w:r>
        <w:rPr>
          <w:rFonts w:hint="default"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vertAlign w:val="superscript"/>
          <w:lang w:val="en-US" w:eastAsia="zh-CN"/>
        </w:rPr>
        <w:t>,*</w:t>
      </w:r>
      <w:r>
        <w:rPr>
          <w:rFonts w:hint="eastAsia" w:ascii="Times New Roman" w:hAnsi="Times New Roman" w:cs="Times New Roman"/>
          <w:b w:val="0"/>
          <w:bCs w:val="0"/>
          <w:color w:val="auto"/>
          <w:sz w:val="21"/>
          <w:szCs w:val="21"/>
          <w:highlight w:val="none"/>
          <w:vertAlign w:val="baseline"/>
          <w:lang w:val="en-US" w:eastAsia="zh-CN"/>
        </w:rPr>
        <w:t>, Ning Deng</w:t>
      </w:r>
      <w:r>
        <w:rPr>
          <w:rFonts w:hint="eastAsia" w:ascii="Times New Roman" w:hAnsi="Times New Roman" w:cs="Times New Roman"/>
          <w:b w:val="0"/>
          <w:bCs w:val="0"/>
          <w:color w:val="auto"/>
          <w:sz w:val="21"/>
          <w:szCs w:val="21"/>
          <w:highlight w:val="none"/>
          <w:vertAlign w:val="superscript"/>
          <w:lang w:val="en-US" w:eastAsia="zh-CN"/>
        </w:rPr>
        <w:t>1,*</w:t>
      </w:r>
    </w:p>
    <w:p w14:paraId="473EF1DC">
      <w:pPr>
        <w:jc w:val="left"/>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superscript"/>
          <w:lang w:val="en-US" w:eastAsia="zh-CN"/>
        </w:rPr>
        <w:t>1</w:t>
      </w:r>
      <w:r>
        <w:rPr>
          <w:rFonts w:hint="default" w:ascii="Times New Roman" w:hAnsi="Times New Roman" w:cs="Times New Roman"/>
          <w:color w:val="auto"/>
          <w:sz w:val="21"/>
          <w:szCs w:val="21"/>
          <w:highlight w:val="none"/>
          <w:vertAlign w:val="baseline"/>
          <w:lang w:val="en-US" w:eastAsia="zh-CN"/>
        </w:rPr>
        <w:t>College of Life Science and Technology, Jinan University, Guangzhou, 510632, China.</w:t>
      </w:r>
    </w:p>
    <w:p w14:paraId="616DFD1A">
      <w:pPr>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 xml:space="preserve">VectorBuilder </w:t>
      </w:r>
      <w:r>
        <w:rPr>
          <w:rFonts w:hint="eastAsia" w:ascii="Times New Roman" w:hAnsi="Times New Roman" w:cs="Times New Roman"/>
          <w:color w:val="auto"/>
          <w:sz w:val="21"/>
          <w:szCs w:val="21"/>
          <w:highlight w:val="none"/>
          <w:lang w:val="en-US" w:eastAsia="zh-CN"/>
        </w:rPr>
        <w:t>China</w:t>
      </w:r>
      <w:r>
        <w:rPr>
          <w:rFonts w:hint="default" w:ascii="Times New Roman" w:hAnsi="Times New Roman" w:cs="Times New Roman"/>
          <w:color w:val="auto"/>
          <w:sz w:val="21"/>
          <w:szCs w:val="21"/>
          <w:highlight w:val="none"/>
          <w:lang w:val="en-US" w:eastAsia="zh-CN"/>
        </w:rPr>
        <w:t>, Guangzhou, 510663, China</w:t>
      </w:r>
      <w:bookmarkStart w:id="0" w:name="_GoBack"/>
      <w:bookmarkEnd w:id="0"/>
    </w:p>
    <w:p w14:paraId="51D17962">
      <w:pPr>
        <w:jc w:val="left"/>
        <w:rPr>
          <w:rFonts w:hint="default" w:ascii="Times New Roman" w:hAnsi="Times New Roman" w:cs="Times New Roman"/>
          <w:b/>
          <w:bCs/>
          <w:i w:val="0"/>
          <w:iCs w:val="0"/>
          <w:color w:val="auto"/>
          <w:sz w:val="6"/>
          <w:szCs w:val="6"/>
          <w:highlight w:val="none"/>
          <w:lang w:val="en-US" w:eastAsia="zh-CN"/>
        </w:rPr>
      </w:pPr>
      <w:r>
        <w:rPr>
          <w:rFonts w:hint="eastAsia" w:ascii="Times New Roman" w:hAnsi="Times New Roman" w:cs="Times New Roman"/>
          <w:color w:val="auto"/>
          <w:sz w:val="21"/>
          <w:szCs w:val="21"/>
          <w:highlight w:val="none"/>
          <w:lang w:val="en-US" w:eastAsia="zh-CN"/>
        </w:rPr>
        <w:t xml:space="preserve">*Corresponding author: Xindeng Guo, </w:t>
      </w:r>
      <w:r>
        <w:rPr>
          <w:rFonts w:hint="eastAsia" w:ascii="Times New Roman" w:hAnsi="Times New Roman" w:cs="Times New Roman"/>
          <w:color w:val="auto"/>
          <w:sz w:val="21"/>
          <w:szCs w:val="21"/>
          <w:highlight w:val="none"/>
          <w:lang w:val="en-US" w:eastAsia="zh-CN"/>
        </w:rPr>
        <w:fldChar w:fldCharType="begin"/>
      </w:r>
      <w:r>
        <w:rPr>
          <w:rFonts w:hint="eastAsia" w:ascii="Times New Roman" w:hAnsi="Times New Roman" w:cs="Times New Roman"/>
          <w:color w:val="auto"/>
          <w:sz w:val="21"/>
          <w:szCs w:val="21"/>
          <w:highlight w:val="none"/>
          <w:lang w:val="en-US" w:eastAsia="zh-CN"/>
        </w:rPr>
        <w:instrText xml:space="preserve"> HYPERLINK "mailto:guoxindeng930@163.com;" </w:instrText>
      </w:r>
      <w:r>
        <w:rPr>
          <w:rFonts w:hint="eastAsia" w:ascii="Times New Roman" w:hAnsi="Times New Roman" w:cs="Times New Roman"/>
          <w:color w:val="auto"/>
          <w:sz w:val="21"/>
          <w:szCs w:val="21"/>
          <w:highlight w:val="none"/>
          <w:lang w:val="en-US" w:eastAsia="zh-CN"/>
        </w:rPr>
        <w:fldChar w:fldCharType="separate"/>
      </w:r>
      <w:r>
        <w:rPr>
          <w:rStyle w:val="6"/>
          <w:rFonts w:hint="eastAsia" w:ascii="Times New Roman" w:hAnsi="Times New Roman" w:cs="Times New Roman"/>
          <w:sz w:val="21"/>
          <w:szCs w:val="21"/>
          <w:highlight w:val="none"/>
          <w:lang w:val="en-US" w:eastAsia="zh-CN"/>
        </w:rPr>
        <w:t>jefferyguo@vectorbuilder.net;</w:t>
      </w:r>
      <w:r>
        <w:rPr>
          <w:rFonts w:hint="eastAsia" w:ascii="Times New Roman" w:hAnsi="Times New Roman" w:cs="Times New Roman"/>
          <w:color w:val="auto"/>
          <w:sz w:val="21"/>
          <w:szCs w:val="21"/>
          <w:highlight w:val="none"/>
          <w:lang w:val="en-US" w:eastAsia="zh-CN"/>
        </w:rPr>
        <w:fldChar w:fldCharType="end"/>
      </w:r>
      <w:r>
        <w:rPr>
          <w:rFonts w:hint="eastAsia" w:ascii="Times New Roman" w:hAnsi="Times New Roman" w:cs="Times New Roman"/>
          <w:color w:val="auto"/>
          <w:sz w:val="21"/>
          <w:szCs w:val="21"/>
          <w:highlight w:val="none"/>
          <w:lang w:val="en-US" w:eastAsia="zh-CN"/>
        </w:rPr>
        <w:t xml:space="preserve"> Weineng Meng, </w:t>
      </w:r>
      <w:r>
        <w:rPr>
          <w:rFonts w:hint="eastAsia" w:ascii="Times New Roman" w:hAnsi="Times New Roman" w:cs="Times New Roman"/>
          <w:color w:val="auto"/>
          <w:sz w:val="21"/>
          <w:szCs w:val="21"/>
          <w:highlight w:val="none"/>
          <w:lang w:val="en-US" w:eastAsia="zh-CN"/>
        </w:rPr>
        <w:fldChar w:fldCharType="begin"/>
      </w:r>
      <w:r>
        <w:rPr>
          <w:rFonts w:hint="eastAsia" w:ascii="Times New Roman" w:hAnsi="Times New Roman" w:cs="Times New Roman"/>
          <w:color w:val="auto"/>
          <w:sz w:val="21"/>
          <w:szCs w:val="21"/>
          <w:highlight w:val="none"/>
          <w:lang w:val="en-US" w:eastAsia="zh-CN"/>
        </w:rPr>
        <w:instrText xml:space="preserve"> HYPERLINK "mailto:danielmeng@vectorbuilder.net;" </w:instrText>
      </w:r>
      <w:r>
        <w:rPr>
          <w:rFonts w:hint="eastAsia" w:ascii="Times New Roman" w:hAnsi="Times New Roman" w:cs="Times New Roman"/>
          <w:color w:val="auto"/>
          <w:sz w:val="21"/>
          <w:szCs w:val="21"/>
          <w:highlight w:val="none"/>
          <w:lang w:val="en-US" w:eastAsia="zh-CN"/>
        </w:rPr>
        <w:fldChar w:fldCharType="separate"/>
      </w:r>
      <w:r>
        <w:rPr>
          <w:rStyle w:val="6"/>
          <w:rFonts w:hint="eastAsia" w:ascii="Times New Roman" w:hAnsi="Times New Roman" w:cs="Times New Roman"/>
          <w:sz w:val="21"/>
          <w:szCs w:val="21"/>
          <w:highlight w:val="none"/>
          <w:lang w:val="en-US" w:eastAsia="zh-CN"/>
        </w:rPr>
        <w:t>danielmeng@vectorbuilder.net;</w:t>
      </w:r>
      <w:r>
        <w:rPr>
          <w:rFonts w:hint="eastAsia" w:ascii="Times New Roman" w:hAnsi="Times New Roman" w:cs="Times New Roman"/>
          <w:color w:val="auto"/>
          <w:sz w:val="21"/>
          <w:szCs w:val="21"/>
          <w:highlight w:val="none"/>
          <w:lang w:val="en-US" w:eastAsia="zh-CN"/>
        </w:rPr>
        <w:fldChar w:fldCharType="end"/>
      </w:r>
      <w:r>
        <w:rPr>
          <w:rFonts w:hint="eastAsia" w:ascii="Times New Roman" w:hAnsi="Times New Roman" w:cs="Times New Roman"/>
          <w:color w:val="auto"/>
          <w:sz w:val="21"/>
          <w:szCs w:val="21"/>
          <w:highlight w:val="none"/>
          <w:lang w:val="en-US" w:eastAsia="zh-CN"/>
        </w:rPr>
        <w:t xml:space="preserve"> Ning Deng, </w:t>
      </w:r>
      <w:r>
        <w:rPr>
          <w:rFonts w:hint="eastAsia" w:ascii="Times New Roman" w:hAnsi="Times New Roman" w:cs="Times New Roman"/>
          <w:color w:val="auto"/>
          <w:sz w:val="21"/>
          <w:szCs w:val="21"/>
          <w:highlight w:val="none"/>
          <w:lang w:val="en-US" w:eastAsia="zh-CN"/>
        </w:rPr>
        <w:fldChar w:fldCharType="begin"/>
      </w:r>
      <w:r>
        <w:rPr>
          <w:rFonts w:hint="eastAsia" w:ascii="Times New Roman" w:hAnsi="Times New Roman" w:cs="Times New Roman"/>
          <w:color w:val="auto"/>
          <w:sz w:val="21"/>
          <w:szCs w:val="21"/>
          <w:highlight w:val="none"/>
          <w:lang w:val="en-US" w:eastAsia="zh-CN"/>
        </w:rPr>
        <w:instrText xml:space="preserve"> HYPERLINK "mailto:tdengn@jnu.edu.cn" </w:instrText>
      </w:r>
      <w:r>
        <w:rPr>
          <w:rFonts w:hint="eastAsia" w:ascii="Times New Roman" w:hAnsi="Times New Roman" w:cs="Times New Roman"/>
          <w:color w:val="auto"/>
          <w:sz w:val="21"/>
          <w:szCs w:val="21"/>
          <w:highlight w:val="none"/>
          <w:lang w:val="en-US" w:eastAsia="zh-CN"/>
        </w:rPr>
        <w:fldChar w:fldCharType="separate"/>
      </w:r>
      <w:r>
        <w:rPr>
          <w:rStyle w:val="6"/>
          <w:rFonts w:hint="eastAsia" w:ascii="Times New Roman" w:hAnsi="Times New Roman" w:cs="Times New Roman"/>
          <w:sz w:val="21"/>
          <w:szCs w:val="21"/>
          <w:highlight w:val="none"/>
          <w:lang w:val="en-US" w:eastAsia="zh-CN"/>
        </w:rPr>
        <w:t>tdengn@jnu.edu.cn</w:t>
      </w:r>
      <w:r>
        <w:rPr>
          <w:rFonts w:hint="eastAsia" w:ascii="Times New Roman" w:hAnsi="Times New Roman" w:cs="Times New Roman"/>
          <w:color w:val="auto"/>
          <w:sz w:val="21"/>
          <w:szCs w:val="21"/>
          <w:highlight w:val="none"/>
          <w:lang w:val="en-US" w:eastAsia="zh-CN"/>
        </w:rPr>
        <w:fldChar w:fldCharType="end"/>
      </w:r>
      <w:r>
        <w:rPr>
          <w:rFonts w:hint="eastAsia" w:ascii="Times New Roman" w:hAnsi="Times New Roman" w:cs="Times New Roman"/>
          <w:color w:val="auto"/>
          <w:sz w:val="21"/>
          <w:szCs w:val="21"/>
          <w:highlight w:val="none"/>
          <w:lang w:val="en-US" w:eastAsia="zh-CN"/>
        </w:rPr>
        <w:t>.</w:t>
      </w:r>
    </w:p>
    <w:p w14:paraId="42B7E467">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Times New Roman" w:hAnsi="Times New Roman" w:cs="Times New Roman"/>
          <w:b/>
          <w:bCs/>
          <w:i/>
          <w:iCs/>
          <w:color w:val="auto"/>
          <w:sz w:val="32"/>
          <w:szCs w:val="32"/>
          <w:highlight w:val="none"/>
          <w:lang w:val="en-US" w:eastAsia="zh-CN"/>
        </w:rPr>
      </w:pPr>
      <w:r>
        <w:rPr>
          <w:rFonts w:hint="eastAsia" w:ascii="Times New Roman" w:hAnsi="Times New Roman" w:cs="Times New Roman"/>
          <w:b/>
          <w:bCs/>
          <w:i/>
          <w:iCs/>
          <w:color w:val="auto"/>
          <w:sz w:val="32"/>
          <w:szCs w:val="32"/>
          <w:highlight w:val="none"/>
          <w:lang w:val="en-US" w:eastAsia="zh-CN"/>
        </w:rPr>
        <w:t>SUPPLEMENTAL MATERIALS</w:t>
      </w:r>
    </w:p>
    <w:p w14:paraId="2313C20E">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ascii="Times New Roman" w:hAnsi="Times New Roman" w:cs="Times New Roman"/>
          <w:b w:val="0"/>
          <w:bCs w:val="0"/>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 xml:space="preserve">Supplemental Table S1. The Sequences of Open Reading Frame Region in this study. </w:t>
      </w:r>
      <w:r>
        <w:rPr>
          <w:rFonts w:hint="eastAsia" w:ascii="Times New Roman" w:hAnsi="Times New Roman" w:cs="Times New Roman"/>
          <w:b w:val="0"/>
          <w:bCs w:val="0"/>
          <w:i w:val="0"/>
          <w:iCs w:val="0"/>
          <w:color w:val="auto"/>
          <w:sz w:val="21"/>
          <w:szCs w:val="21"/>
          <w:highlight w:val="none"/>
          <w:lang w:val="en-US" w:eastAsia="zh-CN"/>
        </w:rPr>
        <w:t>In this study, the open reading frame (ORF) regions of mRNA encode firefly luciferase and the hemagglutinin (HA)-tagged fusion protein (F protein) of respiratory syncytial virus (RSV), respectively, with some sequences undergoing codon optimization. The luciferase ORF was used in the codon optimization and 5' untranslated region (5'UTR) screening experiments described in the main text; whereas the RSV F protein ORF was applied in the optimization study of the respiratory syncytial virus mRNA vaccine. The detailed data can be found in the Excel file.</w:t>
      </w:r>
    </w:p>
    <w:p w14:paraId="02D94C9C">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Times New Roman" w:hAnsi="Times New Roman" w:cs="Times New Roman"/>
          <w:b w:val="0"/>
          <w:bCs w:val="0"/>
          <w:i w:val="0"/>
          <w:iCs w:val="0"/>
          <w:color w:val="auto"/>
          <w:sz w:val="21"/>
          <w:szCs w:val="21"/>
          <w:highlight w:val="none"/>
          <w:lang w:val="en-US" w:eastAsia="zh-CN"/>
        </w:rPr>
      </w:pPr>
      <w:r>
        <w:rPr>
          <w:rFonts w:hint="eastAsia" w:ascii="Times New Roman" w:hAnsi="Times New Roman" w:cs="Times New Roman"/>
          <w:b w:val="0"/>
          <w:bCs w:val="0"/>
          <w:i w:val="0"/>
          <w:iCs w:val="0"/>
          <w:color w:val="auto"/>
          <w:sz w:val="21"/>
          <w:szCs w:val="21"/>
          <w:highlight w:val="none"/>
          <w:lang w:val="en-US" w:eastAsia="zh-CN"/>
        </w:rPr>
        <w:drawing>
          <wp:inline distT="0" distB="0" distL="114300" distR="114300">
            <wp:extent cx="7221220" cy="3328670"/>
            <wp:effectExtent l="0" t="0" r="17780" b="5080"/>
            <wp:docPr id="1" name="图片 1"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演示文稿1_01"/>
                    <pic:cNvPicPr>
                      <a:picLocks noChangeAspect="1"/>
                    </pic:cNvPicPr>
                  </pic:nvPicPr>
                  <pic:blipFill>
                    <a:blip r:embed="rId4"/>
                    <a:srcRect b="18056"/>
                    <a:stretch>
                      <a:fillRect/>
                    </a:stretch>
                  </pic:blipFill>
                  <pic:spPr>
                    <a:xfrm>
                      <a:off x="0" y="0"/>
                      <a:ext cx="7221220" cy="3328670"/>
                    </a:xfrm>
                    <a:prstGeom prst="rect">
                      <a:avLst/>
                    </a:prstGeom>
                  </pic:spPr>
                </pic:pic>
              </a:graphicData>
            </a:graphic>
          </wp:inline>
        </w:drawing>
      </w:r>
    </w:p>
    <w:p w14:paraId="1A6A364C">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 xml:space="preserve">Supplemental Figure S1. Codon optimization improves GC content and CAI (Codon Adaptation Index). </w:t>
      </w:r>
      <w:r>
        <w:rPr>
          <w:rFonts w:hint="eastAsia" w:ascii="Times New Roman" w:hAnsi="Times New Roman" w:cs="Times New Roman"/>
          <w:b w:val="0"/>
          <w:bCs w:val="0"/>
          <w:i w:val="0"/>
          <w:iCs w:val="0"/>
          <w:color w:val="auto"/>
          <w:sz w:val="21"/>
          <w:szCs w:val="21"/>
          <w:highlight w:val="none"/>
          <w:lang w:val="en-US" w:eastAsia="zh-CN"/>
        </w:rPr>
        <w:t>WT, R004, R008, and R009 encode luciferase. While Wild-type, VB2, and VB3 encode RSV-F protein.</w:t>
      </w:r>
    </w:p>
    <w:p w14:paraId="0BF25173">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cs="Times New Roman"/>
          <w:b w:val="0"/>
          <w:bCs w:val="0"/>
          <w:i w:val="0"/>
          <w:iCs w:val="0"/>
          <w:color w:val="auto"/>
          <w:sz w:val="21"/>
          <w:szCs w:val="21"/>
          <w:highlight w:val="none"/>
          <w:lang w:val="en-US" w:eastAsia="zh-CN"/>
        </w:rPr>
      </w:pPr>
    </w:p>
    <w:p w14:paraId="5E0E6D09">
      <w:pPr>
        <w:keepNext w:val="0"/>
        <w:keepLines w:val="0"/>
        <w:pageBreakBefore w:val="0"/>
        <w:widowControl w:val="0"/>
        <w:kinsoku/>
        <w:wordWrap/>
        <w:overflowPunct/>
        <w:topLinePunct w:val="0"/>
        <w:autoSpaceDE/>
        <w:autoSpaceDN/>
        <w:bidi w:val="0"/>
        <w:adjustRightInd/>
        <w:snapToGrid/>
        <w:spacing w:after="157" w:afterLines="50"/>
        <w:jc w:val="both"/>
        <w:textAlignment w:val="auto"/>
        <w:rPr>
          <w:rFonts w:hint="eastAsia" w:ascii="Times New Roman" w:hAnsi="Times New Roman" w:cs="Times New Roman"/>
          <w:b w:val="0"/>
          <w:bCs w:val="0"/>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 xml:space="preserve">Supplemental Table S2. Quality Control Test Results of LNP-mRNA. </w:t>
      </w:r>
      <w:r>
        <w:rPr>
          <w:rFonts w:hint="eastAsia" w:ascii="Times New Roman" w:hAnsi="Times New Roman" w:cs="Times New Roman"/>
          <w:b w:val="0"/>
          <w:bCs w:val="0"/>
          <w:i w:val="0"/>
          <w:iCs w:val="0"/>
          <w:color w:val="auto"/>
          <w:sz w:val="21"/>
          <w:szCs w:val="21"/>
          <w:highlight w:val="none"/>
          <w:lang w:val="en-US" w:eastAsia="zh-CN"/>
        </w:rPr>
        <w:t>All LNP-mRNA formulations used for this study were independently prepared. Systematic quality inspections were conducted on all samples to ensure they met experimental standards.</w:t>
      </w:r>
    </w:p>
    <w:p w14:paraId="5856C50C">
      <w:pPr>
        <w:jc w:val="center"/>
        <w:rPr>
          <w:rFonts w:hint="eastAsia"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Table S2. Quality control test results of LNP-mRNA.</w:t>
      </w:r>
    </w:p>
    <w:tbl>
      <w:tblPr>
        <w:tblStyle w:val="4"/>
        <w:tblW w:w="8129"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79"/>
        <w:gridCol w:w="1296"/>
        <w:gridCol w:w="954"/>
        <w:gridCol w:w="1489"/>
        <w:gridCol w:w="1520"/>
        <w:gridCol w:w="1291"/>
      </w:tblGrid>
      <w:tr w14:paraId="7006F0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tcBorders>
              <w:bottom w:val="single" w:color="auto" w:sz="12" w:space="0"/>
            </w:tcBorders>
            <w:vAlign w:val="top"/>
          </w:tcPr>
          <w:p w14:paraId="04D913B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Name</w:t>
            </w:r>
          </w:p>
        </w:tc>
        <w:tc>
          <w:tcPr>
            <w:tcW w:w="1296" w:type="dxa"/>
            <w:tcBorders>
              <w:bottom w:val="single" w:color="auto" w:sz="12" w:space="0"/>
            </w:tcBorders>
            <w:vAlign w:val="top"/>
          </w:tcPr>
          <w:p w14:paraId="039603C7">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Particle size</w:t>
            </w:r>
          </w:p>
          <w:p w14:paraId="38FA0F78">
            <w:pPr>
              <w:bidi w:val="0"/>
              <w:ind w:firstLine="216" w:firstLineChars="0"/>
              <w:jc w:val="left"/>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kern w:val="2"/>
                <w:sz w:val="21"/>
                <w:szCs w:val="24"/>
                <w:lang w:val="en-US" w:eastAsia="zh-CN" w:bidi="ar-SA"/>
              </w:rPr>
              <w:t>(nm)</w:t>
            </w:r>
          </w:p>
        </w:tc>
        <w:tc>
          <w:tcPr>
            <w:tcW w:w="954" w:type="dxa"/>
            <w:tcBorders>
              <w:bottom w:val="single" w:color="auto" w:sz="12" w:space="0"/>
            </w:tcBorders>
            <w:vAlign w:val="top"/>
          </w:tcPr>
          <w:p w14:paraId="17E3790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PDI</w:t>
            </w:r>
          </w:p>
        </w:tc>
        <w:tc>
          <w:tcPr>
            <w:tcW w:w="1489" w:type="dxa"/>
            <w:tcBorders>
              <w:bottom w:val="single" w:color="auto" w:sz="12" w:space="0"/>
            </w:tcBorders>
            <w:vAlign w:val="top"/>
          </w:tcPr>
          <w:p w14:paraId="70F1AD2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Zeta potential</w:t>
            </w:r>
          </w:p>
          <w:p w14:paraId="6E293F93">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(mV)</w:t>
            </w:r>
          </w:p>
        </w:tc>
        <w:tc>
          <w:tcPr>
            <w:tcW w:w="1520" w:type="dxa"/>
            <w:tcBorders>
              <w:bottom w:val="single" w:color="auto" w:sz="12" w:space="0"/>
            </w:tcBorders>
            <w:vAlign w:val="top"/>
          </w:tcPr>
          <w:p w14:paraId="68C9F21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Encapsulation</w:t>
            </w:r>
          </w:p>
          <w:p w14:paraId="17C8037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Efficiency</w:t>
            </w:r>
            <w:r>
              <w:rPr>
                <w:rFonts w:hint="eastAsia" w:ascii="Times New Roman" w:hAnsi="Times New Roman" w:cs="Times New Roman"/>
                <w:b w:val="0"/>
                <w:bCs w:val="0"/>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lang w:val="en-US" w:eastAsia="zh-CN"/>
              </w:rPr>
              <w:t>(%)</w:t>
            </w:r>
          </w:p>
        </w:tc>
        <w:tc>
          <w:tcPr>
            <w:tcW w:w="1291" w:type="dxa"/>
            <w:tcBorders>
              <w:bottom w:val="single" w:color="auto" w:sz="12" w:space="0"/>
            </w:tcBorders>
            <w:vAlign w:val="top"/>
          </w:tcPr>
          <w:p w14:paraId="10686046">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Endotoxins</w:t>
            </w:r>
            <w:r>
              <w:rPr>
                <w:rFonts w:hint="eastAsia" w:ascii="Times New Roman" w:hAnsi="Times New Roman" w:cs="Times New Roman"/>
                <w:b w:val="0"/>
                <w:bCs w:val="0"/>
                <w:color w:val="auto"/>
                <w:sz w:val="21"/>
                <w:szCs w:val="21"/>
                <w:highlight w:val="none"/>
                <w:lang w:val="en-US" w:eastAsia="zh-CN"/>
              </w:rPr>
              <w:br w:type="textWrapping"/>
            </w:r>
            <w:r>
              <w:rPr>
                <w:rFonts w:hint="eastAsia" w:ascii="Times New Roman" w:hAnsi="Times New Roman" w:cs="Times New Roman"/>
                <w:b w:val="0"/>
                <w:bCs w:val="0"/>
                <w:color w:val="auto"/>
                <w:sz w:val="21"/>
                <w:szCs w:val="21"/>
                <w:highlight w:val="none"/>
                <w:lang w:val="en-US" w:eastAsia="zh-CN"/>
              </w:rPr>
              <w:t>(</w:t>
            </w:r>
            <w:r>
              <w:rPr>
                <w:rFonts w:hint="default" w:ascii="Times New Roman" w:hAnsi="Times New Roman" w:eastAsia="Tahoma" w:cs="Times New Roman"/>
                <w:i w:val="0"/>
                <w:iCs w:val="0"/>
                <w:caps w:val="0"/>
                <w:color w:val="000000"/>
                <w:spacing w:val="0"/>
                <w:sz w:val="21"/>
                <w:szCs w:val="21"/>
                <w:shd w:val="clear" w:fill="FFFFFF"/>
              </w:rPr>
              <w:t>EU/m</w:t>
            </w:r>
            <w:r>
              <w:rPr>
                <w:rFonts w:hint="default" w:ascii="Times New Roman" w:hAnsi="Times New Roman" w:eastAsia="宋体" w:cs="Times New Roman"/>
                <w:i w:val="0"/>
                <w:iCs w:val="0"/>
                <w:caps w:val="0"/>
                <w:color w:val="000000"/>
                <w:spacing w:val="0"/>
                <w:sz w:val="21"/>
                <w:szCs w:val="21"/>
                <w:shd w:val="clear" w:fill="FFFFFF"/>
                <w:lang w:val="en-US" w:eastAsia="zh-CN"/>
              </w:rPr>
              <w:t>L</w:t>
            </w:r>
            <w:r>
              <w:rPr>
                <w:rFonts w:hint="eastAsia" w:ascii="Times New Roman" w:hAnsi="Times New Roman" w:eastAsia="宋体" w:cs="Times New Roman"/>
                <w:i w:val="0"/>
                <w:iCs w:val="0"/>
                <w:caps w:val="0"/>
                <w:color w:val="000000"/>
                <w:spacing w:val="0"/>
                <w:sz w:val="21"/>
                <w:szCs w:val="21"/>
                <w:shd w:val="clear" w:fill="FFFFFF"/>
                <w:lang w:val="en-US" w:eastAsia="zh-CN"/>
              </w:rPr>
              <w:t>)</w:t>
            </w:r>
          </w:p>
        </w:tc>
      </w:tr>
      <w:tr w14:paraId="483AC45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tcBorders>
              <w:top w:val="single" w:color="auto" w:sz="12" w:space="0"/>
              <w:tl2br w:val="nil"/>
              <w:tr2bl w:val="nil"/>
            </w:tcBorders>
            <w:vAlign w:val="top"/>
          </w:tcPr>
          <w:p w14:paraId="6D907F68">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 xml:space="preserve">WT, </w:t>
            </w:r>
            <w:r>
              <w:rPr>
                <w:rFonts w:hint="eastAsia" w:ascii="Times New Roman" w:hAnsi="Times New Roman" w:cs="Times New Roman"/>
                <w:b w:val="0"/>
                <w:bCs w:val="0"/>
                <w:color w:val="auto"/>
                <w:sz w:val="18"/>
                <w:szCs w:val="18"/>
                <w:highlight w:val="none"/>
                <w:lang w:val="en-US" w:eastAsia="zh-CN"/>
              </w:rPr>
              <w:t>luciferase</w:t>
            </w:r>
          </w:p>
        </w:tc>
        <w:tc>
          <w:tcPr>
            <w:tcW w:w="1296" w:type="dxa"/>
            <w:tcBorders>
              <w:top w:val="single" w:color="auto" w:sz="12" w:space="0"/>
              <w:tl2br w:val="nil"/>
              <w:tr2bl w:val="nil"/>
            </w:tcBorders>
            <w:vAlign w:val="top"/>
          </w:tcPr>
          <w:p w14:paraId="0FC8F79B">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78</w:t>
            </w:r>
          </w:p>
        </w:tc>
        <w:tc>
          <w:tcPr>
            <w:tcW w:w="954" w:type="dxa"/>
            <w:tcBorders>
              <w:top w:val="single" w:color="auto" w:sz="12" w:space="0"/>
              <w:tl2br w:val="nil"/>
              <w:tr2bl w:val="nil"/>
            </w:tcBorders>
            <w:vAlign w:val="top"/>
          </w:tcPr>
          <w:p w14:paraId="7421783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0.01737</w:t>
            </w:r>
          </w:p>
        </w:tc>
        <w:tc>
          <w:tcPr>
            <w:tcW w:w="1489" w:type="dxa"/>
            <w:tcBorders>
              <w:top w:val="single" w:color="auto" w:sz="12" w:space="0"/>
              <w:tl2br w:val="nil"/>
              <w:tr2bl w:val="nil"/>
            </w:tcBorders>
            <w:vAlign w:val="top"/>
          </w:tcPr>
          <w:p w14:paraId="4DA33B1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-9.165</w:t>
            </w:r>
          </w:p>
        </w:tc>
        <w:tc>
          <w:tcPr>
            <w:tcW w:w="1520" w:type="dxa"/>
            <w:tcBorders>
              <w:top w:val="single" w:color="auto" w:sz="12" w:space="0"/>
              <w:tl2br w:val="nil"/>
              <w:tr2bl w:val="nil"/>
            </w:tcBorders>
            <w:vAlign w:val="top"/>
          </w:tcPr>
          <w:p w14:paraId="167AC5C1">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96.9</w:t>
            </w:r>
          </w:p>
        </w:tc>
        <w:tc>
          <w:tcPr>
            <w:tcW w:w="1291" w:type="dxa"/>
            <w:tcBorders>
              <w:top w:val="single" w:color="auto" w:sz="12" w:space="0"/>
              <w:tl2br w:val="nil"/>
              <w:tr2bl w:val="nil"/>
            </w:tcBorders>
            <w:vAlign w:val="top"/>
          </w:tcPr>
          <w:p w14:paraId="10AFA55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w:t>
            </w:r>
          </w:p>
        </w:tc>
      </w:tr>
      <w:tr w14:paraId="10C5803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tcBorders>
              <w:tl2br w:val="nil"/>
              <w:tr2bl w:val="nil"/>
            </w:tcBorders>
            <w:vAlign w:val="top"/>
          </w:tcPr>
          <w:p w14:paraId="529A416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R004</w:t>
            </w:r>
          </w:p>
        </w:tc>
        <w:tc>
          <w:tcPr>
            <w:tcW w:w="1296" w:type="dxa"/>
            <w:tcBorders>
              <w:tl2br w:val="nil"/>
              <w:tr2bl w:val="nil"/>
            </w:tcBorders>
            <w:vAlign w:val="top"/>
          </w:tcPr>
          <w:p w14:paraId="0AEC0F1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67</w:t>
            </w:r>
          </w:p>
        </w:tc>
        <w:tc>
          <w:tcPr>
            <w:tcW w:w="954" w:type="dxa"/>
            <w:tcBorders>
              <w:tl2br w:val="nil"/>
              <w:tr2bl w:val="nil"/>
            </w:tcBorders>
            <w:vAlign w:val="top"/>
          </w:tcPr>
          <w:p w14:paraId="3B858482">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0.04020</w:t>
            </w:r>
          </w:p>
        </w:tc>
        <w:tc>
          <w:tcPr>
            <w:tcW w:w="1489" w:type="dxa"/>
            <w:tcBorders>
              <w:tl2br w:val="nil"/>
              <w:tr2bl w:val="nil"/>
            </w:tcBorders>
            <w:vAlign w:val="top"/>
          </w:tcPr>
          <w:p w14:paraId="57B79A1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-6.939</w:t>
            </w:r>
          </w:p>
        </w:tc>
        <w:tc>
          <w:tcPr>
            <w:tcW w:w="1520" w:type="dxa"/>
            <w:tcBorders>
              <w:tl2br w:val="nil"/>
              <w:tr2bl w:val="nil"/>
            </w:tcBorders>
            <w:vAlign w:val="top"/>
          </w:tcPr>
          <w:p w14:paraId="44E8064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97.0</w:t>
            </w:r>
          </w:p>
        </w:tc>
        <w:tc>
          <w:tcPr>
            <w:tcW w:w="1291" w:type="dxa"/>
            <w:tcBorders>
              <w:tl2br w:val="nil"/>
              <w:tr2bl w:val="nil"/>
            </w:tcBorders>
            <w:vAlign w:val="top"/>
          </w:tcPr>
          <w:p w14:paraId="4F43544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w:t>
            </w:r>
          </w:p>
        </w:tc>
      </w:tr>
      <w:tr w14:paraId="075BF5C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tcBorders>
              <w:tl2br w:val="nil"/>
              <w:tr2bl w:val="nil"/>
            </w:tcBorders>
            <w:vAlign w:val="top"/>
          </w:tcPr>
          <w:p w14:paraId="66FC9EA7">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R008</w:t>
            </w:r>
          </w:p>
        </w:tc>
        <w:tc>
          <w:tcPr>
            <w:tcW w:w="1296" w:type="dxa"/>
            <w:tcBorders>
              <w:tl2br w:val="nil"/>
              <w:tr2bl w:val="nil"/>
            </w:tcBorders>
            <w:vAlign w:val="top"/>
          </w:tcPr>
          <w:p w14:paraId="56435CB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71</w:t>
            </w:r>
          </w:p>
        </w:tc>
        <w:tc>
          <w:tcPr>
            <w:tcW w:w="954" w:type="dxa"/>
            <w:tcBorders>
              <w:tl2br w:val="nil"/>
              <w:tr2bl w:val="nil"/>
            </w:tcBorders>
            <w:vAlign w:val="top"/>
          </w:tcPr>
          <w:p w14:paraId="7A94DFE6">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0.03731</w:t>
            </w:r>
          </w:p>
        </w:tc>
        <w:tc>
          <w:tcPr>
            <w:tcW w:w="1489" w:type="dxa"/>
            <w:tcBorders>
              <w:tl2br w:val="nil"/>
              <w:tr2bl w:val="nil"/>
            </w:tcBorders>
            <w:vAlign w:val="top"/>
          </w:tcPr>
          <w:p w14:paraId="0FBF533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-8.302</w:t>
            </w:r>
          </w:p>
        </w:tc>
        <w:tc>
          <w:tcPr>
            <w:tcW w:w="1520" w:type="dxa"/>
            <w:tcBorders>
              <w:tl2br w:val="nil"/>
              <w:tr2bl w:val="nil"/>
            </w:tcBorders>
            <w:vAlign w:val="top"/>
          </w:tcPr>
          <w:p w14:paraId="1136C7F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96.9</w:t>
            </w:r>
          </w:p>
        </w:tc>
        <w:tc>
          <w:tcPr>
            <w:tcW w:w="1291" w:type="dxa"/>
            <w:tcBorders>
              <w:tl2br w:val="nil"/>
              <w:tr2bl w:val="nil"/>
            </w:tcBorders>
            <w:vAlign w:val="top"/>
          </w:tcPr>
          <w:p w14:paraId="50D7C17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w:t>
            </w:r>
          </w:p>
        </w:tc>
      </w:tr>
      <w:tr w14:paraId="724ED49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tcBorders>
              <w:tl2br w:val="nil"/>
              <w:tr2bl w:val="nil"/>
            </w:tcBorders>
            <w:vAlign w:val="top"/>
          </w:tcPr>
          <w:p w14:paraId="57C5789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R009</w:t>
            </w:r>
          </w:p>
        </w:tc>
        <w:tc>
          <w:tcPr>
            <w:tcW w:w="1296" w:type="dxa"/>
            <w:tcBorders>
              <w:tl2br w:val="nil"/>
              <w:tr2bl w:val="nil"/>
            </w:tcBorders>
            <w:vAlign w:val="top"/>
          </w:tcPr>
          <w:p w14:paraId="179CF0F8">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68</w:t>
            </w:r>
          </w:p>
        </w:tc>
        <w:tc>
          <w:tcPr>
            <w:tcW w:w="954" w:type="dxa"/>
            <w:tcBorders>
              <w:tl2br w:val="nil"/>
              <w:tr2bl w:val="nil"/>
            </w:tcBorders>
            <w:vAlign w:val="top"/>
          </w:tcPr>
          <w:p w14:paraId="4D1AD2A3">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0.03774</w:t>
            </w:r>
          </w:p>
        </w:tc>
        <w:tc>
          <w:tcPr>
            <w:tcW w:w="1489" w:type="dxa"/>
            <w:tcBorders>
              <w:tl2br w:val="nil"/>
              <w:tr2bl w:val="nil"/>
            </w:tcBorders>
            <w:vAlign w:val="top"/>
          </w:tcPr>
          <w:p w14:paraId="278459B6">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-5.795</w:t>
            </w:r>
          </w:p>
        </w:tc>
        <w:tc>
          <w:tcPr>
            <w:tcW w:w="1520" w:type="dxa"/>
            <w:tcBorders>
              <w:tl2br w:val="nil"/>
              <w:tr2bl w:val="nil"/>
            </w:tcBorders>
            <w:vAlign w:val="top"/>
          </w:tcPr>
          <w:p w14:paraId="32D9914D">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96.9</w:t>
            </w:r>
          </w:p>
        </w:tc>
        <w:tc>
          <w:tcPr>
            <w:tcW w:w="1291" w:type="dxa"/>
            <w:tcBorders>
              <w:tl2br w:val="nil"/>
              <w:tr2bl w:val="nil"/>
            </w:tcBorders>
            <w:vAlign w:val="top"/>
          </w:tcPr>
          <w:p w14:paraId="66086B18">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w:t>
            </w:r>
          </w:p>
        </w:tc>
      </w:tr>
      <w:tr w14:paraId="6CC5F9F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tcBorders>
              <w:tl2br w:val="nil"/>
              <w:tr2bl w:val="nil"/>
            </w:tcBorders>
            <w:shd w:val="clear" w:color="auto" w:fill="auto"/>
            <w:vAlign w:val="top"/>
          </w:tcPr>
          <w:p w14:paraId="78B6EC3E">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5.0</w:t>
            </w:r>
          </w:p>
        </w:tc>
        <w:tc>
          <w:tcPr>
            <w:tcW w:w="1296" w:type="dxa"/>
            <w:tcBorders>
              <w:tl2br w:val="nil"/>
              <w:tr2bl w:val="nil"/>
            </w:tcBorders>
            <w:shd w:val="clear" w:color="auto" w:fill="auto"/>
            <w:vAlign w:val="top"/>
          </w:tcPr>
          <w:p w14:paraId="1B10F86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69</w:t>
            </w:r>
          </w:p>
        </w:tc>
        <w:tc>
          <w:tcPr>
            <w:tcW w:w="954" w:type="dxa"/>
            <w:tcBorders>
              <w:tl2br w:val="nil"/>
              <w:tr2bl w:val="nil"/>
            </w:tcBorders>
            <w:shd w:val="clear" w:color="auto" w:fill="auto"/>
            <w:vAlign w:val="top"/>
          </w:tcPr>
          <w:p w14:paraId="04AC2C33">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0.02989</w:t>
            </w:r>
          </w:p>
        </w:tc>
        <w:tc>
          <w:tcPr>
            <w:tcW w:w="1489" w:type="dxa"/>
            <w:tcBorders>
              <w:tl2br w:val="nil"/>
              <w:tr2bl w:val="nil"/>
            </w:tcBorders>
            <w:shd w:val="clear" w:color="auto" w:fill="auto"/>
            <w:vAlign w:val="top"/>
          </w:tcPr>
          <w:p w14:paraId="1D2A43F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-4.174</w:t>
            </w:r>
          </w:p>
        </w:tc>
        <w:tc>
          <w:tcPr>
            <w:tcW w:w="1520" w:type="dxa"/>
            <w:tcBorders>
              <w:tl2br w:val="nil"/>
              <w:tr2bl w:val="nil"/>
            </w:tcBorders>
            <w:shd w:val="clear" w:color="auto" w:fill="auto"/>
            <w:vAlign w:val="top"/>
          </w:tcPr>
          <w:p w14:paraId="4820D12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97</w:t>
            </w:r>
          </w:p>
        </w:tc>
        <w:tc>
          <w:tcPr>
            <w:tcW w:w="1291" w:type="dxa"/>
            <w:tcBorders>
              <w:tl2br w:val="nil"/>
              <w:tr2bl w:val="nil"/>
            </w:tcBorders>
            <w:shd w:val="clear" w:color="auto" w:fill="auto"/>
            <w:vAlign w:val="top"/>
          </w:tcPr>
          <w:p w14:paraId="1DCE7628">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w:t>
            </w:r>
          </w:p>
        </w:tc>
      </w:tr>
      <w:tr w14:paraId="5EAE1B9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shd w:val="clear" w:color="auto" w:fill="auto"/>
            <w:vAlign w:val="top"/>
          </w:tcPr>
          <w:p w14:paraId="31F6114B">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5.2</w:t>
            </w:r>
          </w:p>
        </w:tc>
        <w:tc>
          <w:tcPr>
            <w:tcW w:w="1296" w:type="dxa"/>
            <w:shd w:val="clear" w:color="auto" w:fill="auto"/>
            <w:vAlign w:val="top"/>
          </w:tcPr>
          <w:p w14:paraId="1CAD4C3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74</w:t>
            </w:r>
          </w:p>
        </w:tc>
        <w:tc>
          <w:tcPr>
            <w:tcW w:w="954" w:type="dxa"/>
            <w:shd w:val="clear" w:color="auto" w:fill="auto"/>
            <w:vAlign w:val="top"/>
          </w:tcPr>
          <w:p w14:paraId="62F0026D">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0.09556</w:t>
            </w:r>
          </w:p>
        </w:tc>
        <w:tc>
          <w:tcPr>
            <w:tcW w:w="1489" w:type="dxa"/>
            <w:shd w:val="clear" w:color="auto" w:fill="auto"/>
            <w:vAlign w:val="top"/>
          </w:tcPr>
          <w:p w14:paraId="0B385712">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-10.23</w:t>
            </w:r>
          </w:p>
        </w:tc>
        <w:tc>
          <w:tcPr>
            <w:tcW w:w="1520" w:type="dxa"/>
            <w:shd w:val="clear" w:color="auto" w:fill="auto"/>
            <w:vAlign w:val="top"/>
          </w:tcPr>
          <w:p w14:paraId="3C73BB4A">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97</w:t>
            </w:r>
          </w:p>
        </w:tc>
        <w:tc>
          <w:tcPr>
            <w:tcW w:w="1291" w:type="dxa"/>
            <w:shd w:val="clear" w:color="auto" w:fill="auto"/>
            <w:vAlign w:val="top"/>
          </w:tcPr>
          <w:p w14:paraId="222B896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w:t>
            </w:r>
          </w:p>
        </w:tc>
      </w:tr>
      <w:tr w14:paraId="6237341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shd w:val="clear" w:color="auto" w:fill="auto"/>
            <w:vAlign w:val="top"/>
          </w:tcPr>
          <w:p w14:paraId="02ADB33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5.7</w:t>
            </w:r>
          </w:p>
        </w:tc>
        <w:tc>
          <w:tcPr>
            <w:tcW w:w="1296" w:type="dxa"/>
            <w:shd w:val="clear" w:color="auto" w:fill="auto"/>
            <w:vAlign w:val="top"/>
          </w:tcPr>
          <w:p w14:paraId="44A8C18E">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67</w:t>
            </w:r>
          </w:p>
        </w:tc>
        <w:tc>
          <w:tcPr>
            <w:tcW w:w="954" w:type="dxa"/>
            <w:shd w:val="clear" w:color="auto" w:fill="auto"/>
            <w:vAlign w:val="top"/>
          </w:tcPr>
          <w:p w14:paraId="6B9ACBA2">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0.0227</w:t>
            </w:r>
          </w:p>
        </w:tc>
        <w:tc>
          <w:tcPr>
            <w:tcW w:w="1489" w:type="dxa"/>
            <w:shd w:val="clear" w:color="auto" w:fill="auto"/>
            <w:vAlign w:val="top"/>
          </w:tcPr>
          <w:p w14:paraId="12043E6E">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-6.858</w:t>
            </w:r>
          </w:p>
        </w:tc>
        <w:tc>
          <w:tcPr>
            <w:tcW w:w="1520" w:type="dxa"/>
            <w:shd w:val="clear" w:color="auto" w:fill="auto"/>
            <w:vAlign w:val="top"/>
          </w:tcPr>
          <w:p w14:paraId="4DD3C752">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97</w:t>
            </w:r>
          </w:p>
        </w:tc>
        <w:tc>
          <w:tcPr>
            <w:tcW w:w="1291" w:type="dxa"/>
            <w:shd w:val="clear" w:color="auto" w:fill="auto"/>
            <w:vAlign w:val="top"/>
          </w:tcPr>
          <w:p w14:paraId="479687EB">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w:t>
            </w:r>
          </w:p>
        </w:tc>
      </w:tr>
      <w:tr w14:paraId="660929B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shd w:val="clear" w:color="auto" w:fill="auto"/>
            <w:vAlign w:val="top"/>
          </w:tcPr>
          <w:p w14:paraId="13D60866">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5.10</w:t>
            </w:r>
          </w:p>
        </w:tc>
        <w:tc>
          <w:tcPr>
            <w:tcW w:w="1296" w:type="dxa"/>
            <w:shd w:val="clear" w:color="auto" w:fill="auto"/>
            <w:vAlign w:val="top"/>
          </w:tcPr>
          <w:p w14:paraId="223693E8">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71</w:t>
            </w:r>
          </w:p>
        </w:tc>
        <w:tc>
          <w:tcPr>
            <w:tcW w:w="954" w:type="dxa"/>
            <w:shd w:val="clear" w:color="auto" w:fill="auto"/>
            <w:vAlign w:val="top"/>
          </w:tcPr>
          <w:p w14:paraId="2AA8E87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0.01501</w:t>
            </w:r>
          </w:p>
        </w:tc>
        <w:tc>
          <w:tcPr>
            <w:tcW w:w="1489" w:type="dxa"/>
            <w:shd w:val="clear" w:color="auto" w:fill="auto"/>
            <w:vAlign w:val="top"/>
          </w:tcPr>
          <w:p w14:paraId="13340BD1">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-6.159</w:t>
            </w:r>
          </w:p>
        </w:tc>
        <w:tc>
          <w:tcPr>
            <w:tcW w:w="1520" w:type="dxa"/>
            <w:shd w:val="clear" w:color="auto" w:fill="auto"/>
            <w:vAlign w:val="top"/>
          </w:tcPr>
          <w:p w14:paraId="7FA1B4A2">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97</w:t>
            </w:r>
          </w:p>
        </w:tc>
        <w:tc>
          <w:tcPr>
            <w:tcW w:w="1291" w:type="dxa"/>
            <w:shd w:val="clear" w:color="auto" w:fill="auto"/>
            <w:vAlign w:val="top"/>
          </w:tcPr>
          <w:p w14:paraId="17A6116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w:t>
            </w:r>
          </w:p>
        </w:tc>
      </w:tr>
      <w:tr w14:paraId="1FA7A5A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shd w:val="clear" w:color="auto" w:fill="auto"/>
            <w:vAlign w:val="top"/>
          </w:tcPr>
          <w:p w14:paraId="3DCAB9DE">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7.0</w:t>
            </w:r>
          </w:p>
        </w:tc>
        <w:tc>
          <w:tcPr>
            <w:tcW w:w="1296" w:type="dxa"/>
            <w:shd w:val="clear" w:color="auto" w:fill="auto"/>
            <w:vAlign w:val="top"/>
          </w:tcPr>
          <w:p w14:paraId="18DAACC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68</w:t>
            </w:r>
          </w:p>
        </w:tc>
        <w:tc>
          <w:tcPr>
            <w:tcW w:w="954" w:type="dxa"/>
            <w:shd w:val="clear" w:color="auto" w:fill="auto"/>
            <w:vAlign w:val="top"/>
          </w:tcPr>
          <w:p w14:paraId="76BDED9B">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0.1006</w:t>
            </w:r>
          </w:p>
        </w:tc>
        <w:tc>
          <w:tcPr>
            <w:tcW w:w="1489" w:type="dxa"/>
            <w:shd w:val="clear" w:color="auto" w:fill="auto"/>
            <w:vAlign w:val="top"/>
          </w:tcPr>
          <w:p w14:paraId="75AEE747">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-11.3</w:t>
            </w:r>
          </w:p>
        </w:tc>
        <w:tc>
          <w:tcPr>
            <w:tcW w:w="1520" w:type="dxa"/>
            <w:shd w:val="clear" w:color="auto" w:fill="auto"/>
            <w:vAlign w:val="top"/>
          </w:tcPr>
          <w:p w14:paraId="19EC06CD">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96</w:t>
            </w:r>
          </w:p>
        </w:tc>
        <w:tc>
          <w:tcPr>
            <w:tcW w:w="1291" w:type="dxa"/>
            <w:shd w:val="clear" w:color="auto" w:fill="auto"/>
            <w:vAlign w:val="top"/>
          </w:tcPr>
          <w:p w14:paraId="43E38333">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w:t>
            </w:r>
          </w:p>
        </w:tc>
      </w:tr>
      <w:tr w14:paraId="79AF047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shd w:val="clear" w:color="auto" w:fill="auto"/>
            <w:vAlign w:val="top"/>
          </w:tcPr>
          <w:p w14:paraId="308479E2">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7.2</w:t>
            </w:r>
          </w:p>
        </w:tc>
        <w:tc>
          <w:tcPr>
            <w:tcW w:w="1296" w:type="dxa"/>
            <w:shd w:val="clear" w:color="auto" w:fill="auto"/>
            <w:vAlign w:val="top"/>
          </w:tcPr>
          <w:p w14:paraId="080D67F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64</w:t>
            </w:r>
          </w:p>
        </w:tc>
        <w:tc>
          <w:tcPr>
            <w:tcW w:w="954" w:type="dxa"/>
            <w:shd w:val="clear" w:color="auto" w:fill="auto"/>
            <w:vAlign w:val="top"/>
          </w:tcPr>
          <w:p w14:paraId="451A5AED">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0.02869</w:t>
            </w:r>
          </w:p>
        </w:tc>
        <w:tc>
          <w:tcPr>
            <w:tcW w:w="1489" w:type="dxa"/>
            <w:shd w:val="clear" w:color="auto" w:fill="auto"/>
            <w:vAlign w:val="top"/>
          </w:tcPr>
          <w:p w14:paraId="0FA9B4C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-10.94</w:t>
            </w:r>
          </w:p>
        </w:tc>
        <w:tc>
          <w:tcPr>
            <w:tcW w:w="1520" w:type="dxa"/>
            <w:shd w:val="clear" w:color="auto" w:fill="auto"/>
            <w:vAlign w:val="top"/>
          </w:tcPr>
          <w:p w14:paraId="7317D598">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96</w:t>
            </w:r>
          </w:p>
        </w:tc>
        <w:tc>
          <w:tcPr>
            <w:tcW w:w="1291" w:type="dxa"/>
            <w:shd w:val="clear" w:color="auto" w:fill="auto"/>
            <w:vAlign w:val="top"/>
          </w:tcPr>
          <w:p w14:paraId="6AB837A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w:t>
            </w:r>
          </w:p>
        </w:tc>
      </w:tr>
      <w:tr w14:paraId="37C3730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shd w:val="clear" w:color="auto" w:fill="auto"/>
            <w:vAlign w:val="top"/>
          </w:tcPr>
          <w:p w14:paraId="615D277D">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7.7</w:t>
            </w:r>
          </w:p>
        </w:tc>
        <w:tc>
          <w:tcPr>
            <w:tcW w:w="1296" w:type="dxa"/>
            <w:shd w:val="clear" w:color="auto" w:fill="auto"/>
            <w:vAlign w:val="top"/>
          </w:tcPr>
          <w:p w14:paraId="6D29C13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68</w:t>
            </w:r>
          </w:p>
        </w:tc>
        <w:tc>
          <w:tcPr>
            <w:tcW w:w="954" w:type="dxa"/>
            <w:shd w:val="clear" w:color="auto" w:fill="auto"/>
            <w:vAlign w:val="top"/>
          </w:tcPr>
          <w:p w14:paraId="38D9FB3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0.04182</w:t>
            </w:r>
          </w:p>
        </w:tc>
        <w:tc>
          <w:tcPr>
            <w:tcW w:w="1489" w:type="dxa"/>
            <w:shd w:val="clear" w:color="auto" w:fill="auto"/>
            <w:vAlign w:val="top"/>
          </w:tcPr>
          <w:p w14:paraId="1D357EF3">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-2.778</w:t>
            </w:r>
          </w:p>
        </w:tc>
        <w:tc>
          <w:tcPr>
            <w:tcW w:w="1520" w:type="dxa"/>
            <w:shd w:val="clear" w:color="auto" w:fill="auto"/>
            <w:vAlign w:val="top"/>
          </w:tcPr>
          <w:p w14:paraId="7EFCCD4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96</w:t>
            </w:r>
          </w:p>
        </w:tc>
        <w:tc>
          <w:tcPr>
            <w:tcW w:w="1291" w:type="dxa"/>
            <w:shd w:val="clear" w:color="auto" w:fill="auto"/>
            <w:vAlign w:val="top"/>
          </w:tcPr>
          <w:p w14:paraId="0468EB1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w:t>
            </w:r>
          </w:p>
        </w:tc>
      </w:tr>
      <w:tr w14:paraId="3BC66BE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9" w:type="dxa"/>
            <w:shd w:val="clear" w:color="auto" w:fill="auto"/>
            <w:vAlign w:val="top"/>
          </w:tcPr>
          <w:p w14:paraId="738956F7">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7.10</w:t>
            </w:r>
          </w:p>
        </w:tc>
        <w:tc>
          <w:tcPr>
            <w:tcW w:w="1296" w:type="dxa"/>
            <w:shd w:val="clear" w:color="auto" w:fill="auto"/>
            <w:vAlign w:val="top"/>
          </w:tcPr>
          <w:p w14:paraId="7A5FB80A">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69</w:t>
            </w:r>
          </w:p>
        </w:tc>
        <w:tc>
          <w:tcPr>
            <w:tcW w:w="954" w:type="dxa"/>
            <w:shd w:val="clear" w:color="auto" w:fill="auto"/>
            <w:vAlign w:val="top"/>
          </w:tcPr>
          <w:p w14:paraId="618424D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0.01256</w:t>
            </w:r>
          </w:p>
        </w:tc>
        <w:tc>
          <w:tcPr>
            <w:tcW w:w="1489" w:type="dxa"/>
            <w:shd w:val="clear" w:color="auto" w:fill="auto"/>
            <w:vAlign w:val="top"/>
          </w:tcPr>
          <w:p w14:paraId="691C3792">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-5.786</w:t>
            </w:r>
          </w:p>
        </w:tc>
        <w:tc>
          <w:tcPr>
            <w:tcW w:w="1520" w:type="dxa"/>
            <w:shd w:val="clear" w:color="auto" w:fill="auto"/>
            <w:vAlign w:val="top"/>
          </w:tcPr>
          <w:p w14:paraId="5B43D702">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97</w:t>
            </w:r>
          </w:p>
        </w:tc>
        <w:tc>
          <w:tcPr>
            <w:tcW w:w="1291" w:type="dxa"/>
            <w:shd w:val="clear" w:color="auto" w:fill="auto"/>
            <w:vAlign w:val="top"/>
          </w:tcPr>
          <w:p w14:paraId="3618E85B">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w:t>
            </w:r>
          </w:p>
        </w:tc>
      </w:tr>
    </w:tbl>
    <w:p w14:paraId="3828F10F">
      <w:pPr>
        <w:jc w:val="both"/>
        <w:rPr>
          <w:rFonts w:hint="eastAsia" w:ascii="Times New Roman" w:hAnsi="Times New Roman" w:cs="Times New Roman"/>
          <w:b/>
          <w:bCs/>
          <w:i w:val="0"/>
          <w:iCs w:val="0"/>
          <w:color w:val="auto"/>
          <w:sz w:val="21"/>
          <w:szCs w:val="21"/>
          <w:highlight w:val="none"/>
          <w:lang w:val="en-US" w:eastAsia="zh-CN"/>
        </w:rPr>
      </w:pPr>
    </w:p>
    <w:p w14:paraId="64FAE670">
      <w:pPr>
        <w:jc w:val="both"/>
        <w:rPr>
          <w:rFonts w:hint="default"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 xml:space="preserve">Supplemental Figure S2. LC-MS Assays to Quantify the Capping Efficiency of mRNA. </w:t>
      </w:r>
      <w:r>
        <w:rPr>
          <w:rFonts w:hint="eastAsia" w:ascii="Times New Roman" w:hAnsi="Times New Roman" w:cs="Times New Roman"/>
          <w:b w:val="0"/>
          <w:bCs w:val="0"/>
          <w:i w:val="0"/>
          <w:iCs w:val="0"/>
          <w:color w:val="auto"/>
          <w:sz w:val="21"/>
          <w:szCs w:val="21"/>
          <w:highlight w:val="none"/>
          <w:lang w:val="en-US" w:eastAsia="zh-CN"/>
        </w:rPr>
        <w:t>We employed an LC-MS-based method to quantify the capping efficiency of various mRNA samples. The results showed differences in capping rates: sample 5.0 showed 0% capping efficiency; 5.2 showed 91.5%; 5.7 showed 84.82%; 5.10 showed 98.55%. Samples from the 7-series showed superior capping efficiency: 7.0 at 99.86%, 7.2 at 99.63%, 7.7 at 99.90%, and 7.10 at 99.27%.</w:t>
      </w:r>
    </w:p>
    <w:p w14:paraId="39263139">
      <w:pPr>
        <w:jc w:val="center"/>
        <w:rPr>
          <w:rFonts w:hint="eastAsia"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drawing>
          <wp:inline distT="0" distB="0" distL="114300" distR="114300">
            <wp:extent cx="3784600" cy="2937510"/>
            <wp:effectExtent l="0" t="0" r="6350" b="15240"/>
            <wp:docPr id="5" name="图片 5" descr="加帽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加帽率_01"/>
                    <pic:cNvPicPr>
                      <a:picLocks noChangeAspect="1"/>
                    </pic:cNvPicPr>
                  </pic:nvPicPr>
                  <pic:blipFill>
                    <a:blip r:embed="rId5"/>
                    <a:srcRect l="3530" t="1301" r="31007" b="8379"/>
                    <a:stretch>
                      <a:fillRect/>
                    </a:stretch>
                  </pic:blipFill>
                  <pic:spPr>
                    <a:xfrm>
                      <a:off x="0" y="0"/>
                      <a:ext cx="3784600" cy="2937510"/>
                    </a:xfrm>
                    <a:prstGeom prst="rect">
                      <a:avLst/>
                    </a:prstGeom>
                  </pic:spPr>
                </pic:pic>
              </a:graphicData>
            </a:graphic>
          </wp:inline>
        </w:drawing>
      </w:r>
      <w:r>
        <w:rPr>
          <w:rFonts w:hint="eastAsia" w:ascii="Times New Roman" w:hAnsi="Times New Roman" w:cs="Times New Roman"/>
          <w:b/>
          <w:bCs/>
          <w:i w:val="0"/>
          <w:iCs w:val="0"/>
          <w:color w:val="auto"/>
          <w:sz w:val="21"/>
          <w:szCs w:val="21"/>
          <w:highlight w:val="none"/>
          <w:lang w:val="en-US" w:eastAsia="zh-CN"/>
        </w:rPr>
        <w:drawing>
          <wp:inline distT="0" distB="0" distL="114300" distR="114300">
            <wp:extent cx="3741420" cy="2937510"/>
            <wp:effectExtent l="0" t="0" r="11430" b="15240"/>
            <wp:docPr id="4" name="图片 4" descr="加帽率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加帽率_02"/>
                    <pic:cNvPicPr>
                      <a:picLocks noChangeAspect="1"/>
                    </pic:cNvPicPr>
                  </pic:nvPicPr>
                  <pic:blipFill>
                    <a:blip r:embed="rId6"/>
                    <a:srcRect l="2367" t="8825" r="32312"/>
                    <a:stretch>
                      <a:fillRect/>
                    </a:stretch>
                  </pic:blipFill>
                  <pic:spPr>
                    <a:xfrm>
                      <a:off x="0" y="0"/>
                      <a:ext cx="3741420" cy="2937510"/>
                    </a:xfrm>
                    <a:prstGeom prst="rect">
                      <a:avLst/>
                    </a:prstGeom>
                  </pic:spPr>
                </pic:pic>
              </a:graphicData>
            </a:graphic>
          </wp:inline>
        </w:drawing>
      </w:r>
      <w:r>
        <w:rPr>
          <w:rFonts w:hint="eastAsia" w:ascii="Times New Roman" w:hAnsi="Times New Roman" w:cs="Times New Roman"/>
          <w:b/>
          <w:bCs/>
          <w:i w:val="0"/>
          <w:iCs w:val="0"/>
          <w:color w:val="auto"/>
          <w:sz w:val="21"/>
          <w:szCs w:val="21"/>
          <w:highlight w:val="none"/>
          <w:lang w:val="en-US" w:eastAsia="zh-CN"/>
        </w:rPr>
        <w:drawing>
          <wp:inline distT="0" distB="0" distL="114300" distR="114300">
            <wp:extent cx="3793490" cy="2937510"/>
            <wp:effectExtent l="0" t="0" r="16510" b="15240"/>
            <wp:docPr id="3" name="图片 3" descr="加帽率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加帽率_03"/>
                    <pic:cNvPicPr>
                      <a:picLocks noChangeAspect="1"/>
                    </pic:cNvPicPr>
                  </pic:nvPicPr>
                  <pic:blipFill>
                    <a:blip r:embed="rId7"/>
                    <a:srcRect l="2095" t="5242" r="32083" b="4151"/>
                    <a:stretch>
                      <a:fillRect/>
                    </a:stretch>
                  </pic:blipFill>
                  <pic:spPr>
                    <a:xfrm>
                      <a:off x="0" y="0"/>
                      <a:ext cx="3793490" cy="2937510"/>
                    </a:xfrm>
                    <a:prstGeom prst="rect">
                      <a:avLst/>
                    </a:prstGeom>
                  </pic:spPr>
                </pic:pic>
              </a:graphicData>
            </a:graphic>
          </wp:inline>
        </w:drawing>
      </w:r>
      <w:r>
        <w:rPr>
          <w:rFonts w:hint="eastAsia" w:ascii="Times New Roman" w:hAnsi="Times New Roman" w:cs="Times New Roman"/>
          <w:b/>
          <w:bCs/>
          <w:i w:val="0"/>
          <w:iCs w:val="0"/>
          <w:color w:val="auto"/>
          <w:sz w:val="21"/>
          <w:szCs w:val="21"/>
          <w:highlight w:val="none"/>
          <w:lang w:val="en-US" w:eastAsia="zh-CN"/>
        </w:rPr>
        <w:drawing>
          <wp:inline distT="0" distB="0" distL="114300" distR="114300">
            <wp:extent cx="3794125" cy="2936875"/>
            <wp:effectExtent l="0" t="0" r="15875" b="15875"/>
            <wp:docPr id="2" name="图片 2" descr="加帽率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加帽率_04"/>
                    <pic:cNvPicPr>
                      <a:picLocks noChangeAspect="1"/>
                    </pic:cNvPicPr>
                  </pic:nvPicPr>
                  <pic:blipFill>
                    <a:blip r:embed="rId8"/>
                    <a:srcRect l="2009" t="5395" r="32441" b="4400"/>
                    <a:stretch>
                      <a:fillRect/>
                    </a:stretch>
                  </pic:blipFill>
                  <pic:spPr>
                    <a:xfrm>
                      <a:off x="0" y="0"/>
                      <a:ext cx="3794125" cy="2936875"/>
                    </a:xfrm>
                    <a:prstGeom prst="rect">
                      <a:avLst/>
                    </a:prstGeom>
                  </pic:spPr>
                </pic:pic>
              </a:graphicData>
            </a:graphic>
          </wp:inline>
        </w:drawing>
      </w:r>
    </w:p>
    <w:p w14:paraId="3E04E25F">
      <w:pPr>
        <w:jc w:val="center"/>
        <w:rPr>
          <w:rFonts w:hint="eastAsia"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Figure S2. LC-MS Assays to Quantify the Capping Efficiency of mRNA.</w:t>
      </w:r>
    </w:p>
    <w:p w14:paraId="730E4836">
      <w:pPr>
        <w:rPr>
          <w:rFonts w:hint="eastAsia"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br w:type="page"/>
      </w:r>
    </w:p>
    <w:p w14:paraId="7EDB3A9B">
      <w:pPr>
        <w:jc w:val="both"/>
        <w:rPr>
          <w:rFonts w:hint="eastAsia"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 xml:space="preserve">Supplemental Figure S3. Denaturing gel electrophoresis for assessing mRNA integrity. </w:t>
      </w:r>
      <w:r>
        <w:rPr>
          <w:rFonts w:hint="eastAsia" w:ascii="Times New Roman" w:hAnsi="Times New Roman" w:cs="Times New Roman"/>
          <w:b w:val="0"/>
          <w:bCs w:val="0"/>
          <w:i w:val="0"/>
          <w:iCs w:val="0"/>
          <w:color w:val="auto"/>
          <w:sz w:val="21"/>
          <w:szCs w:val="21"/>
          <w:highlight w:val="none"/>
          <w:lang w:val="en-US" w:eastAsia="zh-CN"/>
        </w:rPr>
        <w:t>All IVT RNA samples were analyzed using denaturing gel electrophoresis to assess their integrity.Specifically, the samples were loaded onto a 1% denaturing agarose gel pre-stained with GelRed. Electrophoresis was performed at a constant voltage. After electrophoresis, allgels were imaged using a Tanon MINI Space 2000 imager.</w:t>
      </w:r>
    </w:p>
    <w:p w14:paraId="7661D820">
      <w:pPr>
        <w:jc w:val="center"/>
        <w:rPr>
          <w:rFonts w:hint="eastAsia" w:ascii="Times New Roman" w:hAnsi="Times New Roman" w:cs="Times New Roman"/>
          <w:b/>
          <w:bCs/>
          <w:i w:val="0"/>
          <w:iCs w:val="0"/>
          <w:color w:val="auto"/>
          <w:sz w:val="21"/>
          <w:szCs w:val="21"/>
          <w:highlight w:val="none"/>
          <w:lang w:val="en-US" w:eastAsia="zh-CN"/>
        </w:rPr>
      </w:pPr>
    </w:p>
    <w:p w14:paraId="323701F3">
      <w:pPr>
        <w:jc w:val="center"/>
        <w:rPr>
          <w:rFonts w:hint="eastAsia"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drawing>
          <wp:inline distT="0" distB="0" distL="114300" distR="114300">
            <wp:extent cx="9192895" cy="1874520"/>
            <wp:effectExtent l="0" t="0" r="0" b="0"/>
            <wp:docPr id="7" name="图片 7" descr="变性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变性胶"/>
                    <pic:cNvPicPr>
                      <a:picLocks noChangeAspect="1"/>
                    </pic:cNvPicPr>
                  </pic:nvPicPr>
                  <pic:blipFill>
                    <a:blip r:embed="rId9"/>
                    <a:srcRect t="17500" b="46248"/>
                    <a:stretch>
                      <a:fillRect/>
                    </a:stretch>
                  </pic:blipFill>
                  <pic:spPr>
                    <a:xfrm>
                      <a:off x="0" y="0"/>
                      <a:ext cx="9192895" cy="1874520"/>
                    </a:xfrm>
                    <a:prstGeom prst="rect">
                      <a:avLst/>
                    </a:prstGeom>
                  </pic:spPr>
                </pic:pic>
              </a:graphicData>
            </a:graphic>
          </wp:inline>
        </w:drawing>
      </w:r>
    </w:p>
    <w:p w14:paraId="114DE1F2">
      <w:pPr>
        <w:jc w:val="center"/>
        <w:rPr>
          <w:rFonts w:hint="eastAsia"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Figure S3. Denaturing gel electrophoresis for assessing mRNA integrity.</w:t>
      </w:r>
    </w:p>
    <w:p w14:paraId="1038B9EF">
      <w:pPr>
        <w:rPr>
          <w:rFonts w:hint="default" w:ascii="Times New Roman" w:hAnsi="Times New Roman" w:cs="Times New Roman"/>
          <w:b/>
          <w:bCs/>
          <w:i w:val="0"/>
          <w:iCs w:val="0"/>
          <w:color w:val="auto"/>
          <w:sz w:val="21"/>
          <w:szCs w:val="21"/>
          <w:highlight w:val="none"/>
          <w:lang w:val="en-US" w:eastAsia="zh-CN"/>
        </w:rPr>
      </w:pPr>
    </w:p>
    <w:p w14:paraId="22641A89">
      <w:pPr>
        <w:jc w:val="both"/>
        <w:rPr>
          <w:rFonts w:hint="default"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Supplemental Figure S4. Uncropped raw images of Western Blot for HA-tagged protein.</w:t>
      </w:r>
    </w:p>
    <w:p w14:paraId="221FBF13">
      <w:pPr>
        <w:jc w:val="center"/>
        <w:rPr>
          <w:rFonts w:hint="eastAsia"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drawing>
          <wp:inline distT="0" distB="0" distL="114300" distR="114300">
            <wp:extent cx="5989320" cy="1943735"/>
            <wp:effectExtent l="0" t="0" r="11430" b="18415"/>
            <wp:docPr id="6" name="图片 6" descr="Optimization of the 5’ untranslated region of the mRNA vaccines. 2025.05.15-Jeffery Guo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ptimization of the 5’ untranslated region of the mRNA vaccines. 2025.05.15-Jeffery Guo_01(1)"/>
                    <pic:cNvPicPr>
                      <a:picLocks noChangeAspect="1"/>
                    </pic:cNvPicPr>
                  </pic:nvPicPr>
                  <pic:blipFill>
                    <a:blip r:embed="rId10"/>
                    <a:srcRect l="18889" t="40505" r="21809" b="25290"/>
                    <a:stretch>
                      <a:fillRect/>
                    </a:stretch>
                  </pic:blipFill>
                  <pic:spPr>
                    <a:xfrm>
                      <a:off x="0" y="0"/>
                      <a:ext cx="5989320" cy="1943735"/>
                    </a:xfrm>
                    <a:prstGeom prst="rect">
                      <a:avLst/>
                    </a:prstGeom>
                  </pic:spPr>
                </pic:pic>
              </a:graphicData>
            </a:graphic>
          </wp:inline>
        </w:drawing>
      </w:r>
    </w:p>
    <w:p w14:paraId="25A271F5">
      <w:pPr>
        <w:jc w:val="center"/>
        <w:rPr>
          <w:rFonts w:hint="default" w:ascii="Times New Roman" w:hAnsi="Times New Roman" w:cs="Times New Roman"/>
          <w:b/>
          <w:bCs/>
          <w:i w:val="0"/>
          <w:iCs w:val="0"/>
          <w:color w:val="auto"/>
          <w:sz w:val="21"/>
          <w:szCs w:val="21"/>
          <w:highlight w:val="none"/>
          <w:lang w:val="en-US" w:eastAsia="zh-CN"/>
        </w:rPr>
      </w:pPr>
      <w:r>
        <w:rPr>
          <w:rFonts w:hint="eastAsia" w:ascii="Times New Roman" w:hAnsi="Times New Roman" w:cs="Times New Roman"/>
          <w:b/>
          <w:bCs/>
          <w:i w:val="0"/>
          <w:iCs w:val="0"/>
          <w:color w:val="auto"/>
          <w:sz w:val="21"/>
          <w:szCs w:val="21"/>
          <w:highlight w:val="none"/>
          <w:lang w:val="en-US" w:eastAsia="zh-CN"/>
        </w:rPr>
        <w:t>Figure S4. Uncropped raw images of Western Blot for HA-tagged protein.</w:t>
      </w:r>
    </w:p>
    <w:sectPr>
      <w:pgSz w:w="16838" w:h="11906" w:orient="landscape"/>
      <w:pgMar w:top="1117" w:right="1174" w:bottom="1117" w:left="117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MGQ0Y2E5MWUwZWE0ZGI2YzU2OTcwOTRjN2RmM2IifQ=="/>
  </w:docVars>
  <w:rsids>
    <w:rsidRoot w:val="6DE90B67"/>
    <w:rsid w:val="08166976"/>
    <w:rsid w:val="0BDF591D"/>
    <w:rsid w:val="0E535D59"/>
    <w:rsid w:val="0F242EBB"/>
    <w:rsid w:val="2B0C352D"/>
    <w:rsid w:val="338D048B"/>
    <w:rsid w:val="3FD42AD7"/>
    <w:rsid w:val="45DE784E"/>
    <w:rsid w:val="49B96386"/>
    <w:rsid w:val="4F9D740A"/>
    <w:rsid w:val="538E6122"/>
    <w:rsid w:val="54352A41"/>
    <w:rsid w:val="5AC97A40"/>
    <w:rsid w:val="5B3D788B"/>
    <w:rsid w:val="63DE52C5"/>
    <w:rsid w:val="640E1B00"/>
    <w:rsid w:val="6A1A7196"/>
    <w:rsid w:val="6CF647D8"/>
    <w:rsid w:val="6DE90B67"/>
    <w:rsid w:val="6F097AA4"/>
    <w:rsid w:val="7D424FD8"/>
    <w:rsid w:val="7FB47F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475</Words>
  <Characters>2711</Characters>
  <Lines>0</Lines>
  <Paragraphs>0</Paragraphs>
  <TotalTime>126</TotalTime>
  <ScaleCrop>false</ScaleCrop>
  <LinksUpToDate>false</LinksUpToDate>
  <CharactersWithSpaces>3088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2025-06-09T01:17:00Z</dcterms:created>
  <dc:creator>Jeffery Guo</dc:creator>
  <cp:lastModifiedBy>Jeffery Guo</cp:lastModifiedBy>
  <dcterms:modified xsi:type="dcterms:W3CDTF">2026-02-26T08:30:27Z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A82A80156B2C4179ABDF5E0EA7F70BCD_13</vt:lpwstr>
  </property>
  <property fmtid="{D5CDD505-2E9C-101B-9397-08002B2CF9AE}" pid="4" name="KSOTemplateDocerSaveRecord">
    <vt:lpwstr>eyJoZGlkIjoiMDkyMGQ0Y2E5MWUwZWE0ZGI2YzU2OTcwOTRjN2RmM2IiLCJ1c2VySWQiOiIxNjg5Mzc4ODE4In0=</vt:lpwstr>
  </property>
</Properties>
</file>