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3DB01" w14:textId="77777777" w:rsidR="000622E7" w:rsidRDefault="000622E7" w:rsidP="000622E7">
      <w:pPr>
        <w:pStyle w:val="Heading1"/>
      </w:pPr>
      <w:r>
        <w:t>Appendix A. Data Files</w:t>
      </w:r>
    </w:p>
    <w:p w14:paraId="1AF5A9CE" w14:textId="77777777" w:rsidR="000622E7" w:rsidRDefault="000622E7" w:rsidP="000622E7">
      <w:pPr>
        <w:spacing w:before="120" w:after="120"/>
        <w:jc w:val="both"/>
      </w:pPr>
      <w:r>
        <w:rPr>
          <w:rFonts w:eastAsia="Times New Roman"/>
        </w:rPr>
        <w:t>S&amp;P 500 (CBOE SPX via TradingView): CBOE_DLY_SPX, 1D (1962–1985); CBOE_DLY_SPX, 1D (1986–2026). Bitcoin (Coinbase BTCUSD via TradingView): COINBASE_BTCUSD, 30.csv; COINBASE_BTCUSD, 60.csv; COINBASE_BTCUSD, 240.csv; COINBASE_BTCUSD, 1D.csv.</w:t>
      </w:r>
    </w:p>
    <w:p w14:paraId="5D8001A6" w14:textId="77777777" w:rsidR="000622E7" w:rsidRDefault="000622E7" w:rsidP="000622E7">
      <w:pPr>
        <w:pStyle w:val="Heading1"/>
      </w:pPr>
      <w:r>
        <w:t xml:space="preserve">Appendix </w:t>
      </w:r>
      <w:r>
        <w:rPr>
          <w:rFonts w:hint="eastAsia"/>
        </w:rPr>
        <w:t>B</w:t>
      </w:r>
      <w:r>
        <w:t xml:space="preserve">. </w:t>
      </w:r>
      <w:r w:rsidRPr="006C04EE">
        <w:t>A Note on the 1-Hour Frequency as a Salient Observation Scale</w:t>
      </w:r>
    </w:p>
    <w:p w14:paraId="12CC37E4" w14:textId="77777777" w:rsidR="000622E7" w:rsidRPr="006C04EE" w:rsidRDefault="000622E7" w:rsidP="000622E7">
      <w:pPr>
        <w:spacing w:before="120" w:after="120"/>
        <w:jc w:val="both"/>
        <w:rPr>
          <w:rFonts w:eastAsia="Times New Roman"/>
        </w:rPr>
      </w:pPr>
      <w:r w:rsidRPr="006C04EE">
        <w:rPr>
          <w:rFonts w:eastAsia="Times New Roman"/>
        </w:rPr>
        <w:t xml:space="preserve">Among the four Bitcoin frequencies examined, the 1-hour series </w:t>
      </w:r>
      <w:r w:rsidRPr="00465655">
        <w:rPr>
          <w:rFonts w:eastAsia="Times New Roman"/>
        </w:rPr>
        <w:t>exhibits the highest number of exceedances at k = 6</w:t>
      </w:r>
      <w:r w:rsidRPr="006C04EE">
        <w:rPr>
          <w:rFonts w:eastAsia="Times New Roman"/>
        </w:rPr>
        <w:t xml:space="preserve"> under the null test: 46 exceedances at k = 6, compared with 27 (30-minute), 29 (4-hour), and 5 (daily). The observed-to-expected ratio at k = 6 reaches approximately 23,400×, the largest across all frequencies and thresholds considered.</w:t>
      </w:r>
    </w:p>
    <w:p w14:paraId="3F88DF99" w14:textId="77777777" w:rsidR="000622E7" w:rsidRPr="006C04EE" w:rsidRDefault="000622E7" w:rsidP="000622E7">
      <w:pPr>
        <w:spacing w:before="120" w:after="120"/>
        <w:jc w:val="both"/>
        <w:rPr>
          <w:rFonts w:eastAsia="Times New Roman"/>
        </w:rPr>
      </w:pPr>
      <w:r w:rsidRPr="006C04EE">
        <w:rPr>
          <w:rFonts w:eastAsia="Times New Roman"/>
        </w:rPr>
        <w:t>One possible interpretation is that the 1-hour sampling interval may align more closely with the temporal dynamics of leveraged liquidation episodes in cryptocurrency markets. At finer resolutions (e.g., 30-minute), such events may be distributed across multiple adjacent intervals, while at coarser resolutions (4-hour or daily), intra-period extremes may be partially aggregated within closing prices. The 1-hour scale may therefore provide a comparatively transparent representation of tail-event concentration in close-to-close returns.</w:t>
      </w:r>
    </w:p>
    <w:p w14:paraId="00F6CC26" w14:textId="77777777" w:rsidR="000622E7" w:rsidRPr="006C04EE" w:rsidRDefault="000622E7" w:rsidP="000622E7">
      <w:pPr>
        <w:spacing w:before="120" w:after="120"/>
        <w:jc w:val="both"/>
        <w:rPr>
          <w:rFonts w:eastAsia="Times New Roman"/>
        </w:rPr>
      </w:pPr>
      <w:r w:rsidRPr="006C04EE">
        <w:rPr>
          <w:rFonts w:eastAsia="Times New Roman"/>
        </w:rPr>
        <w:t>This observation does not imply that the 1-hour frequency is universally optimal for modeling purposes; rather, it highlights how sampling frequency can influence the visibility and statistical expression of event-driven volatility</w:t>
      </w:r>
      <w:r>
        <w:rPr>
          <w:rFonts w:eastAsia="Times New Roman"/>
        </w:rPr>
        <w:t>.</w:t>
      </w:r>
    </w:p>
    <w:p w14:paraId="3B20B902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2E7"/>
    <w:rsid w:val="000622E7"/>
    <w:rsid w:val="002978F5"/>
    <w:rsid w:val="003852CF"/>
    <w:rsid w:val="004E780C"/>
    <w:rsid w:val="00F50F1E"/>
    <w:rsid w:val="00F5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40F6C"/>
  <w15:chartTrackingRefBased/>
  <w15:docId w15:val="{EFE6DF06-40F0-4C55-828C-792759DAD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2E7"/>
    <w:pPr>
      <w:widowControl w:val="0"/>
      <w:spacing w:after="0" w:line="240" w:lineRule="auto"/>
    </w:pPr>
    <w:rPr>
      <w:rFonts w:ascii="Times New Roman" w:eastAsiaTheme="minorEastAsia" w:hAnsi="Times New Roman" w:cs="Times New Roman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22E7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22E7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22E7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2E7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2E7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22E7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22E7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22E7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22E7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2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2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2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2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2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2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22E7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2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2E7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2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22E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2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22E7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2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22E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22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1260</Characters>
  <Application>Microsoft Office Word</Application>
  <DocSecurity>0</DocSecurity>
  <Lines>35</Lines>
  <Paragraphs>23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2026-03-03T11:28:00Z</dcterms:created>
  <dcterms:modified xsi:type="dcterms:W3CDTF">2026-03-03T11:28:00Z</dcterms:modified>
</cp:coreProperties>
</file>