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EE8FC8E" w14:textId="77777777" w:rsidR="001B7A54" w:rsidRPr="001B7A54" w:rsidRDefault="001B7A54" w:rsidP="001B7A54">
      <w:pPr>
        <w:widowControl w:val="0"/>
        <w:spacing w:line="360" w:lineRule="auto"/>
        <w:jc w:val="center"/>
        <w:rPr>
          <w:rFonts w:ascii="Times New Roman" w:eastAsia="DengXian" w:hAnsi="Times New Roman" w:cs="Times New Roman"/>
          <w:b/>
          <w:bCs/>
          <w:kern w:val="2"/>
          <w:sz w:val="36"/>
          <w:szCs w:val="40"/>
          <w:lang w:val="en-US"/>
        </w:rPr>
      </w:pPr>
      <w:r w:rsidRPr="001B7A54">
        <w:rPr>
          <w:rFonts w:ascii="Times New Roman" w:eastAsia="DengXian" w:hAnsi="Times New Roman" w:cs="Times New Roman"/>
          <w:b/>
          <w:bCs/>
          <w:kern w:val="2"/>
          <w:sz w:val="36"/>
          <w:szCs w:val="40"/>
          <w:lang w:val="en-US"/>
        </w:rPr>
        <w:t>Supplementary i</w:t>
      </w:r>
      <w:r w:rsidRPr="001B7A54">
        <w:rPr>
          <w:rFonts w:ascii="Times New Roman" w:eastAsia="DengXian" w:hAnsi="Times New Roman" w:cs="Times New Roman" w:hint="eastAsia"/>
          <w:b/>
          <w:bCs/>
          <w:kern w:val="2"/>
          <w:sz w:val="36"/>
          <w:szCs w:val="40"/>
          <w:lang w:val="en-US"/>
        </w:rPr>
        <w:t>nformation</w:t>
      </w:r>
      <w:r w:rsidRPr="001B7A54">
        <w:rPr>
          <w:rFonts w:ascii="Times New Roman" w:eastAsia="DengXian" w:hAnsi="Times New Roman" w:cs="Times New Roman"/>
          <w:b/>
          <w:bCs/>
          <w:kern w:val="2"/>
          <w:sz w:val="36"/>
          <w:szCs w:val="40"/>
          <w:lang w:val="en-US"/>
        </w:rPr>
        <w:t xml:space="preserve"> for:</w:t>
      </w:r>
    </w:p>
    <w:p w14:paraId="25097119" w14:textId="77777777" w:rsidR="001B7A54" w:rsidRDefault="001B7A54" w:rsidP="001B7A54">
      <w:pPr>
        <w:spacing w:before="160" w:line="360" w:lineRule="auto"/>
        <w:jc w:val="center"/>
        <w:rPr>
          <w:rFonts w:ascii="Times New Roman" w:eastAsia="DengXian" w:hAnsi="Times New Roman" w:cs="Times New Roman"/>
          <w:kern w:val="2"/>
          <w:sz w:val="32"/>
          <w:szCs w:val="36"/>
          <w:lang w:val="en-US"/>
        </w:rPr>
      </w:pPr>
      <w:bookmarkStart w:id="0" w:name="_Hlk106368360"/>
      <w:bookmarkEnd w:id="0"/>
      <w:r w:rsidRPr="001B7A54">
        <w:rPr>
          <w:rFonts w:ascii="Times New Roman" w:eastAsia="DengXian" w:hAnsi="Times New Roman" w:cs="Times New Roman"/>
          <w:kern w:val="2"/>
          <w:sz w:val="32"/>
          <w:szCs w:val="36"/>
          <w:lang w:val="en-US"/>
        </w:rPr>
        <w:t xml:space="preserve">The potential of rooftop PV for prosumer </w:t>
      </w:r>
    </w:p>
    <w:p w14:paraId="3135BD85" w14:textId="6DA3192B" w:rsidR="00455B7F" w:rsidRDefault="001B7A54" w:rsidP="001B7A54">
      <w:pPr>
        <w:spacing w:before="160" w:line="360" w:lineRule="auto"/>
        <w:jc w:val="center"/>
        <w:rPr>
          <w:rFonts w:ascii="Times New Roman" w:eastAsia="DengXian" w:hAnsi="Times New Roman" w:cs="Times New Roman"/>
          <w:kern w:val="2"/>
          <w:sz w:val="32"/>
          <w:szCs w:val="36"/>
          <w:lang w:val="en-US"/>
        </w:rPr>
      </w:pPr>
      <w:r w:rsidRPr="001B7A54">
        <w:rPr>
          <w:rFonts w:ascii="Times New Roman" w:eastAsia="DengXian" w:hAnsi="Times New Roman" w:cs="Times New Roman"/>
          <w:kern w:val="2"/>
          <w:sz w:val="32"/>
          <w:szCs w:val="36"/>
          <w:lang w:val="en-US"/>
        </w:rPr>
        <w:t>energy provision globally</w:t>
      </w:r>
    </w:p>
    <w:sdt>
      <w:sdtPr>
        <w:rPr>
          <w:rFonts w:ascii="宋体" w:eastAsia="宋体" w:hAnsi="宋体" w:cs="宋体"/>
          <w:b w:val="0"/>
          <w:bCs w:val="0"/>
          <w:color w:val="auto"/>
          <w:sz w:val="24"/>
          <w:szCs w:val="24"/>
          <w:lang w:val="zh-CN"/>
        </w:rPr>
        <w:id w:val="1155272873"/>
        <w:docPartObj>
          <w:docPartGallery w:val="Table of Contents"/>
          <w:docPartUnique/>
        </w:docPartObj>
      </w:sdtPr>
      <w:sdtEndPr>
        <w:rPr>
          <w:noProof/>
          <w:lang w:val="en"/>
        </w:rPr>
      </w:sdtEndPr>
      <w:sdtContent>
        <w:p w14:paraId="1984C18D" w14:textId="56D3ADAD" w:rsidR="00AA419F" w:rsidRPr="00AA419F" w:rsidRDefault="00AA419F" w:rsidP="00AA419F">
          <w:pPr>
            <w:pStyle w:val="TOC"/>
            <w:spacing w:line="360" w:lineRule="auto"/>
            <w:rPr>
              <w:rFonts w:ascii="Times New Roman" w:hAnsi="Times New Roman" w:cs="Times New Roman"/>
              <w:sz w:val="24"/>
              <w:szCs w:val="24"/>
            </w:rPr>
          </w:pPr>
        </w:p>
        <w:p w14:paraId="08492FE9" w14:textId="2F142B73" w:rsidR="00AA419F" w:rsidRPr="00AA419F" w:rsidRDefault="00AA419F" w:rsidP="00AA419F">
          <w:pPr>
            <w:pStyle w:val="TOC1"/>
            <w:tabs>
              <w:tab w:val="right" w:leader="dot" w:pos="8296"/>
            </w:tabs>
            <w:spacing w:line="360" w:lineRule="auto"/>
            <w:rPr>
              <w:rFonts w:ascii="Times New Roman" w:eastAsiaTheme="minorEastAsia" w:hAnsi="Times New Roman" w:cs="Times New Roman"/>
              <w:b w:val="0"/>
              <w:bCs w:val="0"/>
              <w:caps/>
              <w:noProof/>
              <w:kern w:val="2"/>
              <w:lang w:val="en-US"/>
              <w14:ligatures w14:val="standardContextual"/>
            </w:rPr>
          </w:pPr>
          <w:r w:rsidRPr="00AA419F">
            <w:rPr>
              <w:rFonts w:ascii="Times New Roman" w:hAnsi="Times New Roman" w:cs="Times New Roman"/>
              <w:b w:val="0"/>
              <w:bCs w:val="0"/>
            </w:rPr>
            <w:fldChar w:fldCharType="begin"/>
          </w:r>
          <w:r w:rsidRPr="00AA419F">
            <w:rPr>
              <w:rFonts w:ascii="Times New Roman" w:hAnsi="Times New Roman" w:cs="Times New Roman"/>
            </w:rPr>
            <w:instrText>TOC \o "1-3" \h \z \u</w:instrText>
          </w:r>
          <w:r w:rsidRPr="00AA419F">
            <w:rPr>
              <w:rFonts w:ascii="Times New Roman" w:hAnsi="Times New Roman" w:cs="Times New Roman"/>
              <w:b w:val="0"/>
              <w:bCs w:val="0"/>
            </w:rPr>
            <w:fldChar w:fldCharType="separate"/>
          </w:r>
          <w:hyperlink w:anchor="_Toc222537046" w:history="1">
            <w:r w:rsidRPr="00AA419F">
              <w:rPr>
                <w:rStyle w:val="af0"/>
                <w:rFonts w:ascii="Times New Roman" w:hAnsi="Times New Roman" w:cs="Times New Roman"/>
                <w:i w:val="0"/>
                <w:iCs w:val="0"/>
                <w:noProof/>
                <w:sz w:val="28"/>
                <w:szCs w:val="28"/>
                <w:u w:val="none"/>
              </w:rPr>
              <w:t>Supplementary Tables</w:t>
            </w:r>
            <w:r w:rsidRPr="00AA419F">
              <w:rPr>
                <w:rFonts w:ascii="Times New Roman" w:hAnsi="Times New Roman" w:cs="Times New Roman"/>
                <w:noProof/>
                <w:webHidden/>
              </w:rPr>
              <w:tab/>
            </w:r>
            <w:r w:rsidRPr="00AA419F">
              <w:rPr>
                <w:rFonts w:ascii="Times New Roman" w:hAnsi="Times New Roman" w:cs="Times New Roman"/>
                <w:noProof/>
                <w:webHidden/>
              </w:rPr>
              <w:fldChar w:fldCharType="begin"/>
            </w:r>
            <w:r w:rsidRPr="00AA419F">
              <w:rPr>
                <w:rFonts w:ascii="Times New Roman" w:hAnsi="Times New Roman" w:cs="Times New Roman"/>
                <w:noProof/>
                <w:webHidden/>
              </w:rPr>
              <w:instrText xml:space="preserve"> PAGEREF _Toc222537046 \h </w:instrText>
            </w:r>
            <w:r w:rsidRPr="00AA419F">
              <w:rPr>
                <w:rFonts w:ascii="Times New Roman" w:hAnsi="Times New Roman" w:cs="Times New Roman"/>
                <w:noProof/>
                <w:webHidden/>
              </w:rPr>
            </w:r>
            <w:r w:rsidRPr="00AA419F">
              <w:rPr>
                <w:rFonts w:ascii="Times New Roman" w:hAnsi="Times New Roman" w:cs="Times New Roman"/>
                <w:noProof/>
                <w:webHidden/>
              </w:rPr>
              <w:fldChar w:fldCharType="separate"/>
            </w:r>
            <w:r>
              <w:rPr>
                <w:rFonts w:ascii="Times New Roman" w:hAnsi="Times New Roman" w:cs="Times New Roman"/>
                <w:noProof/>
                <w:webHidden/>
              </w:rPr>
              <w:t>2</w:t>
            </w:r>
            <w:r w:rsidRPr="00AA419F">
              <w:rPr>
                <w:rFonts w:ascii="Times New Roman" w:hAnsi="Times New Roman" w:cs="Times New Roman"/>
                <w:noProof/>
                <w:webHidden/>
              </w:rPr>
              <w:fldChar w:fldCharType="end"/>
            </w:r>
          </w:hyperlink>
        </w:p>
        <w:p w14:paraId="7ABFBFCE" w14:textId="5A04773E" w:rsidR="00AA419F" w:rsidRPr="00AA419F" w:rsidRDefault="00AA419F" w:rsidP="00AA419F">
          <w:pPr>
            <w:pStyle w:val="TOC2"/>
            <w:tabs>
              <w:tab w:val="right" w:leader="dot" w:pos="8296"/>
            </w:tabs>
            <w:spacing w:line="360" w:lineRule="auto"/>
            <w:rPr>
              <w:rFonts w:ascii="Times New Roman" w:eastAsiaTheme="minorEastAsia" w:hAnsi="Times New Roman" w:cs="Times New Roman"/>
              <w:b w:val="0"/>
              <w:bCs w:val="0"/>
              <w:smallCaps/>
              <w:noProof/>
              <w:kern w:val="2"/>
              <w:sz w:val="24"/>
              <w:szCs w:val="24"/>
              <w:lang w:val="en-US"/>
              <w14:ligatures w14:val="standardContextual"/>
            </w:rPr>
          </w:pPr>
          <w:hyperlink w:anchor="_Toc222537047" w:history="1">
            <w:r w:rsidRPr="00AA419F">
              <w:rPr>
                <w:rStyle w:val="af0"/>
                <w:rFonts w:ascii="Times New Roman" w:hAnsi="Times New Roman" w:cs="Times New Roman"/>
                <w:noProof/>
                <w:sz w:val="24"/>
                <w:szCs w:val="24"/>
              </w:rPr>
              <w:t xml:space="preserve">Supplementary Table 1: </w:t>
            </w:r>
            <w:r w:rsidRPr="005D7B2D">
              <w:rPr>
                <w:rStyle w:val="af0"/>
                <w:rFonts w:ascii="Times New Roman" w:hAnsi="Times New Roman" w:cs="Times New Roman"/>
                <w:b w:val="0"/>
                <w:bCs w:val="0"/>
                <w:noProof/>
                <w:sz w:val="24"/>
                <w:szCs w:val="24"/>
              </w:rPr>
              <w:t>Average rooftop PV self-sufficiency rates across different regions and topologies in 2020</w:t>
            </w:r>
            <w:r w:rsidRPr="00AA419F">
              <w:rPr>
                <w:rFonts w:ascii="Times New Roman" w:hAnsi="Times New Roman" w:cs="Times New Roman"/>
                <w:noProof/>
                <w:webHidden/>
                <w:sz w:val="24"/>
                <w:szCs w:val="24"/>
              </w:rPr>
              <w:tab/>
            </w:r>
            <w:r w:rsidRPr="00AA419F">
              <w:rPr>
                <w:rFonts w:ascii="Times New Roman" w:hAnsi="Times New Roman" w:cs="Times New Roman"/>
                <w:noProof/>
                <w:webHidden/>
                <w:sz w:val="24"/>
                <w:szCs w:val="24"/>
              </w:rPr>
              <w:fldChar w:fldCharType="begin"/>
            </w:r>
            <w:r w:rsidRPr="00AA419F">
              <w:rPr>
                <w:rFonts w:ascii="Times New Roman" w:hAnsi="Times New Roman" w:cs="Times New Roman"/>
                <w:noProof/>
                <w:webHidden/>
                <w:sz w:val="24"/>
                <w:szCs w:val="24"/>
              </w:rPr>
              <w:instrText xml:space="preserve"> PAGEREF _Toc222537047 \h </w:instrText>
            </w:r>
            <w:r w:rsidRPr="00AA419F">
              <w:rPr>
                <w:rFonts w:ascii="Times New Roman" w:hAnsi="Times New Roman" w:cs="Times New Roman"/>
                <w:noProof/>
                <w:webHidden/>
                <w:sz w:val="24"/>
                <w:szCs w:val="24"/>
              </w:rPr>
            </w:r>
            <w:r w:rsidRPr="00AA419F">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w:t>
            </w:r>
            <w:r w:rsidRPr="00AA419F">
              <w:rPr>
                <w:rFonts w:ascii="Times New Roman" w:hAnsi="Times New Roman" w:cs="Times New Roman"/>
                <w:noProof/>
                <w:webHidden/>
                <w:sz w:val="24"/>
                <w:szCs w:val="24"/>
              </w:rPr>
              <w:fldChar w:fldCharType="end"/>
            </w:r>
          </w:hyperlink>
        </w:p>
        <w:p w14:paraId="292E2A96" w14:textId="0224530F" w:rsidR="00AA419F" w:rsidRPr="00AA419F" w:rsidRDefault="00AA419F" w:rsidP="00AA419F">
          <w:pPr>
            <w:pStyle w:val="TOC2"/>
            <w:tabs>
              <w:tab w:val="right" w:leader="dot" w:pos="8296"/>
            </w:tabs>
            <w:spacing w:line="360" w:lineRule="auto"/>
            <w:rPr>
              <w:rFonts w:ascii="Times New Roman" w:eastAsiaTheme="minorEastAsia" w:hAnsi="Times New Roman" w:cs="Times New Roman"/>
              <w:b w:val="0"/>
              <w:bCs w:val="0"/>
              <w:smallCaps/>
              <w:noProof/>
              <w:kern w:val="2"/>
              <w:sz w:val="24"/>
              <w:szCs w:val="24"/>
              <w:lang w:val="en-US"/>
              <w14:ligatures w14:val="standardContextual"/>
            </w:rPr>
          </w:pPr>
          <w:hyperlink w:anchor="_Toc222537048" w:history="1">
            <w:r w:rsidRPr="00AA419F">
              <w:rPr>
                <w:rStyle w:val="af0"/>
                <w:rFonts w:ascii="Times New Roman" w:hAnsi="Times New Roman" w:cs="Times New Roman"/>
                <w:noProof/>
                <w:sz w:val="24"/>
                <w:szCs w:val="24"/>
              </w:rPr>
              <w:t xml:space="preserve">Supplementary Table 2: </w:t>
            </w:r>
            <w:r w:rsidRPr="005D7B2D">
              <w:rPr>
                <w:rStyle w:val="af0"/>
                <w:rFonts w:ascii="Times New Roman" w:hAnsi="Times New Roman" w:cs="Times New Roman"/>
                <w:b w:val="0"/>
                <w:bCs w:val="0"/>
                <w:noProof/>
                <w:sz w:val="24"/>
                <w:szCs w:val="24"/>
              </w:rPr>
              <w:t>Average rooftop PV self-sufficiency rates across different regions and topologies in Net Zero 2050</w:t>
            </w:r>
            <w:r w:rsidRPr="00AA419F">
              <w:rPr>
                <w:rFonts w:ascii="Times New Roman" w:hAnsi="Times New Roman" w:cs="Times New Roman"/>
                <w:noProof/>
                <w:webHidden/>
                <w:sz w:val="24"/>
                <w:szCs w:val="24"/>
              </w:rPr>
              <w:tab/>
            </w:r>
            <w:r w:rsidRPr="00AA419F">
              <w:rPr>
                <w:rFonts w:ascii="Times New Roman" w:hAnsi="Times New Roman" w:cs="Times New Roman"/>
                <w:noProof/>
                <w:webHidden/>
                <w:sz w:val="24"/>
                <w:szCs w:val="24"/>
              </w:rPr>
              <w:fldChar w:fldCharType="begin"/>
            </w:r>
            <w:r w:rsidRPr="00AA419F">
              <w:rPr>
                <w:rFonts w:ascii="Times New Roman" w:hAnsi="Times New Roman" w:cs="Times New Roman"/>
                <w:noProof/>
                <w:webHidden/>
                <w:sz w:val="24"/>
                <w:szCs w:val="24"/>
              </w:rPr>
              <w:instrText xml:space="preserve"> PAGEREF _Toc222537048 \h </w:instrText>
            </w:r>
            <w:r w:rsidRPr="00AA419F">
              <w:rPr>
                <w:rFonts w:ascii="Times New Roman" w:hAnsi="Times New Roman" w:cs="Times New Roman"/>
                <w:noProof/>
                <w:webHidden/>
                <w:sz w:val="24"/>
                <w:szCs w:val="24"/>
              </w:rPr>
            </w:r>
            <w:r w:rsidRPr="00AA419F">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w:t>
            </w:r>
            <w:r w:rsidRPr="00AA419F">
              <w:rPr>
                <w:rFonts w:ascii="Times New Roman" w:hAnsi="Times New Roman" w:cs="Times New Roman"/>
                <w:noProof/>
                <w:webHidden/>
                <w:sz w:val="24"/>
                <w:szCs w:val="24"/>
              </w:rPr>
              <w:fldChar w:fldCharType="end"/>
            </w:r>
          </w:hyperlink>
        </w:p>
        <w:p w14:paraId="6B2493C8" w14:textId="14116DE1" w:rsidR="00AA419F" w:rsidRPr="00AA419F" w:rsidRDefault="00AA419F" w:rsidP="00AA419F">
          <w:pPr>
            <w:pStyle w:val="TOC1"/>
            <w:tabs>
              <w:tab w:val="right" w:leader="dot" w:pos="8296"/>
            </w:tabs>
            <w:spacing w:line="360" w:lineRule="auto"/>
            <w:rPr>
              <w:rFonts w:ascii="Times New Roman" w:eastAsiaTheme="minorEastAsia" w:hAnsi="Times New Roman" w:cs="Times New Roman"/>
              <w:b w:val="0"/>
              <w:bCs w:val="0"/>
              <w:i w:val="0"/>
              <w:iCs w:val="0"/>
              <w:caps/>
              <w:noProof/>
              <w:kern w:val="2"/>
              <w:sz w:val="28"/>
              <w:szCs w:val="28"/>
              <w:lang w:val="en-US"/>
              <w14:ligatures w14:val="standardContextual"/>
            </w:rPr>
          </w:pPr>
          <w:hyperlink w:anchor="_Toc222537049" w:history="1">
            <w:r w:rsidRPr="00AA419F">
              <w:rPr>
                <w:rStyle w:val="af0"/>
                <w:rFonts w:ascii="Times New Roman" w:hAnsi="Times New Roman" w:cs="Times New Roman"/>
                <w:i w:val="0"/>
                <w:iCs w:val="0"/>
                <w:noProof/>
                <w:sz w:val="28"/>
                <w:szCs w:val="28"/>
              </w:rPr>
              <w:t>Supplementary Figures</w:t>
            </w:r>
            <w:r w:rsidRPr="00AA419F">
              <w:rPr>
                <w:rFonts w:ascii="Times New Roman" w:hAnsi="Times New Roman" w:cs="Times New Roman"/>
                <w:i w:val="0"/>
                <w:iCs w:val="0"/>
                <w:noProof/>
                <w:webHidden/>
                <w:sz w:val="28"/>
                <w:szCs w:val="28"/>
              </w:rPr>
              <w:tab/>
            </w:r>
            <w:r w:rsidRPr="00AA419F">
              <w:rPr>
                <w:rFonts w:ascii="Times New Roman" w:hAnsi="Times New Roman" w:cs="Times New Roman"/>
                <w:i w:val="0"/>
                <w:iCs w:val="0"/>
                <w:noProof/>
                <w:webHidden/>
                <w:sz w:val="28"/>
                <w:szCs w:val="28"/>
              </w:rPr>
              <w:fldChar w:fldCharType="begin"/>
            </w:r>
            <w:r w:rsidRPr="00AA419F">
              <w:rPr>
                <w:rFonts w:ascii="Times New Roman" w:hAnsi="Times New Roman" w:cs="Times New Roman"/>
                <w:i w:val="0"/>
                <w:iCs w:val="0"/>
                <w:noProof/>
                <w:webHidden/>
                <w:sz w:val="28"/>
                <w:szCs w:val="28"/>
              </w:rPr>
              <w:instrText xml:space="preserve"> PAGEREF _Toc222537049 \h </w:instrText>
            </w:r>
            <w:r w:rsidRPr="00AA419F">
              <w:rPr>
                <w:rFonts w:ascii="Times New Roman" w:hAnsi="Times New Roman" w:cs="Times New Roman"/>
                <w:i w:val="0"/>
                <w:iCs w:val="0"/>
                <w:noProof/>
                <w:webHidden/>
                <w:sz w:val="28"/>
                <w:szCs w:val="28"/>
              </w:rPr>
            </w:r>
            <w:r w:rsidRPr="00AA419F">
              <w:rPr>
                <w:rFonts w:ascii="Times New Roman" w:hAnsi="Times New Roman" w:cs="Times New Roman"/>
                <w:i w:val="0"/>
                <w:iCs w:val="0"/>
                <w:noProof/>
                <w:webHidden/>
                <w:sz w:val="28"/>
                <w:szCs w:val="28"/>
              </w:rPr>
              <w:fldChar w:fldCharType="separate"/>
            </w:r>
            <w:r>
              <w:rPr>
                <w:rFonts w:ascii="Times New Roman" w:hAnsi="Times New Roman" w:cs="Times New Roman"/>
                <w:i w:val="0"/>
                <w:iCs w:val="0"/>
                <w:noProof/>
                <w:webHidden/>
                <w:sz w:val="28"/>
                <w:szCs w:val="28"/>
              </w:rPr>
              <w:t>4</w:t>
            </w:r>
            <w:r w:rsidRPr="00AA419F">
              <w:rPr>
                <w:rFonts w:ascii="Times New Roman" w:hAnsi="Times New Roman" w:cs="Times New Roman"/>
                <w:i w:val="0"/>
                <w:iCs w:val="0"/>
                <w:noProof/>
                <w:webHidden/>
                <w:sz w:val="28"/>
                <w:szCs w:val="28"/>
              </w:rPr>
              <w:fldChar w:fldCharType="end"/>
            </w:r>
          </w:hyperlink>
        </w:p>
        <w:p w14:paraId="754650F2" w14:textId="51EFD8A9" w:rsidR="00AA419F" w:rsidRPr="00AA419F" w:rsidRDefault="00AA419F" w:rsidP="00AA419F">
          <w:pPr>
            <w:pStyle w:val="TOC2"/>
            <w:tabs>
              <w:tab w:val="right" w:leader="dot" w:pos="8296"/>
            </w:tabs>
            <w:spacing w:line="360" w:lineRule="auto"/>
            <w:rPr>
              <w:rFonts w:ascii="Times New Roman" w:eastAsiaTheme="minorEastAsia" w:hAnsi="Times New Roman" w:cs="Times New Roman"/>
              <w:b w:val="0"/>
              <w:bCs w:val="0"/>
              <w:smallCaps/>
              <w:noProof/>
              <w:kern w:val="2"/>
              <w:sz w:val="24"/>
              <w:szCs w:val="24"/>
              <w:lang w:val="en-US"/>
              <w14:ligatures w14:val="standardContextual"/>
            </w:rPr>
          </w:pPr>
          <w:hyperlink w:anchor="_Toc222537050" w:history="1">
            <w:r w:rsidRPr="00AA419F">
              <w:rPr>
                <w:rStyle w:val="af0"/>
                <w:rFonts w:ascii="Times New Roman" w:hAnsi="Times New Roman" w:cs="Times New Roman"/>
                <w:noProof/>
                <w:sz w:val="24"/>
                <w:szCs w:val="24"/>
              </w:rPr>
              <w:t xml:space="preserve">Supplementary Figure 1: </w:t>
            </w:r>
            <w:r w:rsidRPr="005D7B2D">
              <w:rPr>
                <w:rStyle w:val="af0"/>
                <w:rFonts w:ascii="Times New Roman" w:hAnsi="Times New Roman" w:cs="Times New Roman"/>
                <w:b w:val="0"/>
                <w:bCs w:val="0"/>
                <w:noProof/>
                <w:sz w:val="24"/>
                <w:szCs w:val="24"/>
              </w:rPr>
              <w:t>Average rooftop PV self-sufficiency rates across different seasons in 2020</w:t>
            </w:r>
            <w:r w:rsidRPr="00AA419F">
              <w:rPr>
                <w:rFonts w:ascii="Times New Roman" w:hAnsi="Times New Roman" w:cs="Times New Roman"/>
                <w:noProof/>
                <w:webHidden/>
                <w:sz w:val="24"/>
                <w:szCs w:val="24"/>
              </w:rPr>
              <w:tab/>
            </w:r>
            <w:r w:rsidRPr="00AA419F">
              <w:rPr>
                <w:rFonts w:ascii="Times New Roman" w:hAnsi="Times New Roman" w:cs="Times New Roman"/>
                <w:noProof/>
                <w:webHidden/>
                <w:sz w:val="24"/>
                <w:szCs w:val="24"/>
              </w:rPr>
              <w:fldChar w:fldCharType="begin"/>
            </w:r>
            <w:r w:rsidRPr="00AA419F">
              <w:rPr>
                <w:rFonts w:ascii="Times New Roman" w:hAnsi="Times New Roman" w:cs="Times New Roman"/>
                <w:noProof/>
                <w:webHidden/>
                <w:sz w:val="24"/>
                <w:szCs w:val="24"/>
              </w:rPr>
              <w:instrText xml:space="preserve"> PAGEREF _Toc222537050 \h </w:instrText>
            </w:r>
            <w:r w:rsidRPr="00AA419F">
              <w:rPr>
                <w:rFonts w:ascii="Times New Roman" w:hAnsi="Times New Roman" w:cs="Times New Roman"/>
                <w:noProof/>
                <w:webHidden/>
                <w:sz w:val="24"/>
                <w:szCs w:val="24"/>
              </w:rPr>
            </w:r>
            <w:r w:rsidRPr="00AA419F">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w:t>
            </w:r>
            <w:r w:rsidRPr="00AA419F">
              <w:rPr>
                <w:rFonts w:ascii="Times New Roman" w:hAnsi="Times New Roman" w:cs="Times New Roman"/>
                <w:noProof/>
                <w:webHidden/>
                <w:sz w:val="24"/>
                <w:szCs w:val="24"/>
              </w:rPr>
              <w:fldChar w:fldCharType="end"/>
            </w:r>
          </w:hyperlink>
        </w:p>
        <w:p w14:paraId="259C4655" w14:textId="319BC9C8" w:rsidR="00AA419F" w:rsidRPr="00AA419F" w:rsidRDefault="00AA419F" w:rsidP="00AA419F">
          <w:pPr>
            <w:pStyle w:val="TOC2"/>
            <w:tabs>
              <w:tab w:val="right" w:leader="dot" w:pos="8296"/>
            </w:tabs>
            <w:spacing w:line="360" w:lineRule="auto"/>
            <w:rPr>
              <w:rFonts w:ascii="Times New Roman" w:eastAsiaTheme="minorEastAsia" w:hAnsi="Times New Roman" w:cs="Times New Roman"/>
              <w:b w:val="0"/>
              <w:bCs w:val="0"/>
              <w:smallCaps/>
              <w:noProof/>
              <w:kern w:val="2"/>
              <w:sz w:val="24"/>
              <w:szCs w:val="24"/>
              <w:lang w:val="en-US"/>
              <w14:ligatures w14:val="standardContextual"/>
            </w:rPr>
          </w:pPr>
          <w:hyperlink w:anchor="_Toc222537051" w:history="1">
            <w:r w:rsidRPr="00AA419F">
              <w:rPr>
                <w:rStyle w:val="af0"/>
                <w:rFonts w:ascii="Times New Roman" w:hAnsi="Times New Roman" w:cs="Times New Roman"/>
                <w:noProof/>
                <w:sz w:val="24"/>
                <w:szCs w:val="24"/>
              </w:rPr>
              <w:t xml:space="preserve">Supplementary Figure 2: </w:t>
            </w:r>
            <w:r w:rsidRPr="005D7B2D">
              <w:rPr>
                <w:rStyle w:val="af0"/>
                <w:rFonts w:ascii="Times New Roman" w:hAnsi="Times New Roman" w:cs="Times New Roman"/>
                <w:b w:val="0"/>
                <w:bCs w:val="0"/>
                <w:noProof/>
                <w:sz w:val="24"/>
                <w:szCs w:val="24"/>
              </w:rPr>
              <w:t>Average rooftop PV self-sufficiency rates across different seasons in Net Zero 2050</w:t>
            </w:r>
            <w:r w:rsidRPr="00AA419F">
              <w:rPr>
                <w:rFonts w:ascii="Times New Roman" w:hAnsi="Times New Roman" w:cs="Times New Roman"/>
                <w:noProof/>
                <w:webHidden/>
                <w:sz w:val="24"/>
                <w:szCs w:val="24"/>
              </w:rPr>
              <w:tab/>
            </w:r>
            <w:r w:rsidRPr="00AA419F">
              <w:rPr>
                <w:rFonts w:ascii="Times New Roman" w:hAnsi="Times New Roman" w:cs="Times New Roman"/>
                <w:noProof/>
                <w:webHidden/>
                <w:sz w:val="24"/>
                <w:szCs w:val="24"/>
              </w:rPr>
              <w:fldChar w:fldCharType="begin"/>
            </w:r>
            <w:r w:rsidRPr="00AA419F">
              <w:rPr>
                <w:rFonts w:ascii="Times New Roman" w:hAnsi="Times New Roman" w:cs="Times New Roman"/>
                <w:noProof/>
                <w:webHidden/>
                <w:sz w:val="24"/>
                <w:szCs w:val="24"/>
              </w:rPr>
              <w:instrText xml:space="preserve"> PAGEREF _Toc222537051 \h </w:instrText>
            </w:r>
            <w:r w:rsidRPr="00AA419F">
              <w:rPr>
                <w:rFonts w:ascii="Times New Roman" w:hAnsi="Times New Roman" w:cs="Times New Roman"/>
                <w:noProof/>
                <w:webHidden/>
                <w:sz w:val="24"/>
                <w:szCs w:val="24"/>
              </w:rPr>
            </w:r>
            <w:r w:rsidRPr="00AA419F">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w:t>
            </w:r>
            <w:r w:rsidRPr="00AA419F">
              <w:rPr>
                <w:rFonts w:ascii="Times New Roman" w:hAnsi="Times New Roman" w:cs="Times New Roman"/>
                <w:noProof/>
                <w:webHidden/>
                <w:sz w:val="24"/>
                <w:szCs w:val="24"/>
              </w:rPr>
              <w:fldChar w:fldCharType="end"/>
            </w:r>
          </w:hyperlink>
        </w:p>
        <w:p w14:paraId="7742EC70" w14:textId="40F7C72C" w:rsidR="00AA419F" w:rsidRPr="00AA419F" w:rsidRDefault="00AA419F" w:rsidP="00AA419F">
          <w:pPr>
            <w:pStyle w:val="TOC2"/>
            <w:tabs>
              <w:tab w:val="right" w:leader="dot" w:pos="8296"/>
            </w:tabs>
            <w:spacing w:line="360" w:lineRule="auto"/>
            <w:rPr>
              <w:rFonts w:ascii="Times New Roman" w:eastAsiaTheme="minorEastAsia" w:hAnsi="Times New Roman" w:cs="Times New Roman"/>
              <w:b w:val="0"/>
              <w:bCs w:val="0"/>
              <w:smallCaps/>
              <w:noProof/>
              <w:kern w:val="2"/>
              <w:sz w:val="24"/>
              <w:szCs w:val="24"/>
              <w:lang w:val="en-US"/>
              <w14:ligatures w14:val="standardContextual"/>
            </w:rPr>
          </w:pPr>
          <w:hyperlink w:anchor="_Toc222537052" w:history="1">
            <w:r w:rsidRPr="00AA419F">
              <w:rPr>
                <w:rStyle w:val="af0"/>
                <w:rFonts w:ascii="Times New Roman" w:hAnsi="Times New Roman" w:cs="Times New Roman"/>
                <w:noProof/>
                <w:sz w:val="24"/>
                <w:szCs w:val="24"/>
              </w:rPr>
              <w:t>Supplementary Figure 3:</w:t>
            </w:r>
            <w:r w:rsidRPr="005D7B2D">
              <w:rPr>
                <w:rStyle w:val="af0"/>
                <w:rFonts w:ascii="Times New Roman" w:hAnsi="Times New Roman" w:cs="Times New Roman"/>
                <w:b w:val="0"/>
                <w:bCs w:val="0"/>
                <w:noProof/>
                <w:sz w:val="24"/>
                <w:szCs w:val="24"/>
              </w:rPr>
              <w:t xml:space="preserve"> Global rooftop photovoltaic sufficiency patterns in 2020</w:t>
            </w:r>
            <w:r w:rsidRPr="00AA419F">
              <w:rPr>
                <w:rFonts w:ascii="Times New Roman" w:hAnsi="Times New Roman" w:cs="Times New Roman"/>
                <w:noProof/>
                <w:webHidden/>
                <w:sz w:val="24"/>
                <w:szCs w:val="24"/>
              </w:rPr>
              <w:tab/>
            </w:r>
            <w:r w:rsidRPr="00AA419F">
              <w:rPr>
                <w:rFonts w:ascii="Times New Roman" w:hAnsi="Times New Roman" w:cs="Times New Roman"/>
                <w:noProof/>
                <w:webHidden/>
                <w:sz w:val="24"/>
                <w:szCs w:val="24"/>
              </w:rPr>
              <w:fldChar w:fldCharType="begin"/>
            </w:r>
            <w:r w:rsidRPr="00AA419F">
              <w:rPr>
                <w:rFonts w:ascii="Times New Roman" w:hAnsi="Times New Roman" w:cs="Times New Roman"/>
                <w:noProof/>
                <w:webHidden/>
                <w:sz w:val="24"/>
                <w:szCs w:val="24"/>
              </w:rPr>
              <w:instrText xml:space="preserve"> PAGEREF _Toc222537052 \h </w:instrText>
            </w:r>
            <w:r w:rsidRPr="00AA419F">
              <w:rPr>
                <w:rFonts w:ascii="Times New Roman" w:hAnsi="Times New Roman" w:cs="Times New Roman"/>
                <w:noProof/>
                <w:webHidden/>
                <w:sz w:val="24"/>
                <w:szCs w:val="24"/>
              </w:rPr>
            </w:r>
            <w:r w:rsidRPr="00AA419F">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w:t>
            </w:r>
            <w:r w:rsidRPr="00AA419F">
              <w:rPr>
                <w:rFonts w:ascii="Times New Roman" w:hAnsi="Times New Roman" w:cs="Times New Roman"/>
                <w:noProof/>
                <w:webHidden/>
                <w:sz w:val="24"/>
                <w:szCs w:val="24"/>
              </w:rPr>
              <w:fldChar w:fldCharType="end"/>
            </w:r>
          </w:hyperlink>
        </w:p>
        <w:p w14:paraId="5D75826A" w14:textId="3EDD2C4A" w:rsidR="00AA419F" w:rsidRPr="00AA419F" w:rsidRDefault="00AA419F" w:rsidP="00AA419F">
          <w:pPr>
            <w:pStyle w:val="TOC2"/>
            <w:tabs>
              <w:tab w:val="right" w:leader="dot" w:pos="8296"/>
            </w:tabs>
            <w:spacing w:line="360" w:lineRule="auto"/>
            <w:rPr>
              <w:rFonts w:ascii="Times New Roman" w:eastAsiaTheme="minorEastAsia" w:hAnsi="Times New Roman" w:cs="Times New Roman"/>
              <w:b w:val="0"/>
              <w:bCs w:val="0"/>
              <w:smallCaps/>
              <w:noProof/>
              <w:kern w:val="2"/>
              <w:sz w:val="24"/>
              <w:szCs w:val="24"/>
              <w:lang w:val="en-US"/>
              <w14:ligatures w14:val="standardContextual"/>
            </w:rPr>
          </w:pPr>
          <w:hyperlink w:anchor="_Toc222537053" w:history="1">
            <w:r w:rsidRPr="00AA419F">
              <w:rPr>
                <w:rStyle w:val="af0"/>
                <w:rFonts w:ascii="Times New Roman" w:hAnsi="Times New Roman" w:cs="Times New Roman"/>
                <w:noProof/>
                <w:sz w:val="24"/>
                <w:szCs w:val="24"/>
              </w:rPr>
              <w:t xml:space="preserve">Supplementary Figure 4: </w:t>
            </w:r>
            <w:r w:rsidRPr="005D7B2D">
              <w:rPr>
                <w:rStyle w:val="af0"/>
                <w:rFonts w:ascii="Times New Roman" w:hAnsi="Times New Roman" w:cs="Times New Roman"/>
                <w:b w:val="0"/>
                <w:bCs w:val="0"/>
                <w:noProof/>
                <w:sz w:val="24"/>
                <w:szCs w:val="24"/>
              </w:rPr>
              <w:t>Global distribution of city-level rooftop PV self sufficiency in net zero 2050</w:t>
            </w:r>
            <w:r w:rsidRPr="00AA419F">
              <w:rPr>
                <w:rFonts w:ascii="Times New Roman" w:hAnsi="Times New Roman" w:cs="Times New Roman"/>
                <w:noProof/>
                <w:webHidden/>
                <w:sz w:val="24"/>
                <w:szCs w:val="24"/>
              </w:rPr>
              <w:tab/>
            </w:r>
            <w:r w:rsidRPr="00AA419F">
              <w:rPr>
                <w:rFonts w:ascii="Times New Roman" w:hAnsi="Times New Roman" w:cs="Times New Roman"/>
                <w:noProof/>
                <w:webHidden/>
                <w:sz w:val="24"/>
                <w:szCs w:val="24"/>
              </w:rPr>
              <w:fldChar w:fldCharType="begin"/>
            </w:r>
            <w:r w:rsidRPr="00AA419F">
              <w:rPr>
                <w:rFonts w:ascii="Times New Roman" w:hAnsi="Times New Roman" w:cs="Times New Roman"/>
                <w:noProof/>
                <w:webHidden/>
                <w:sz w:val="24"/>
                <w:szCs w:val="24"/>
              </w:rPr>
              <w:instrText xml:space="preserve"> PAGEREF _Toc222537053 \h </w:instrText>
            </w:r>
            <w:r w:rsidRPr="00AA419F">
              <w:rPr>
                <w:rFonts w:ascii="Times New Roman" w:hAnsi="Times New Roman" w:cs="Times New Roman"/>
                <w:noProof/>
                <w:webHidden/>
                <w:sz w:val="24"/>
                <w:szCs w:val="24"/>
              </w:rPr>
            </w:r>
            <w:r w:rsidRPr="00AA419F">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w:t>
            </w:r>
            <w:r w:rsidRPr="00AA419F">
              <w:rPr>
                <w:rFonts w:ascii="Times New Roman" w:hAnsi="Times New Roman" w:cs="Times New Roman"/>
                <w:noProof/>
                <w:webHidden/>
                <w:sz w:val="24"/>
                <w:szCs w:val="24"/>
              </w:rPr>
              <w:fldChar w:fldCharType="end"/>
            </w:r>
          </w:hyperlink>
        </w:p>
        <w:p w14:paraId="001914C6" w14:textId="77B59CDC" w:rsidR="00AA419F" w:rsidRPr="00AA419F" w:rsidRDefault="00AA419F" w:rsidP="00AA419F">
          <w:pPr>
            <w:pStyle w:val="TOC2"/>
            <w:tabs>
              <w:tab w:val="right" w:leader="dot" w:pos="8296"/>
            </w:tabs>
            <w:spacing w:line="360" w:lineRule="auto"/>
            <w:rPr>
              <w:rFonts w:ascii="Times New Roman" w:eastAsiaTheme="minorEastAsia" w:hAnsi="Times New Roman" w:cs="Times New Roman"/>
              <w:b w:val="0"/>
              <w:bCs w:val="0"/>
              <w:smallCaps/>
              <w:noProof/>
              <w:kern w:val="2"/>
              <w:sz w:val="24"/>
              <w:szCs w:val="24"/>
              <w:lang w:val="en-US"/>
              <w14:ligatures w14:val="standardContextual"/>
            </w:rPr>
          </w:pPr>
          <w:hyperlink w:anchor="_Toc222537054" w:history="1">
            <w:r w:rsidRPr="00AA419F">
              <w:rPr>
                <w:rStyle w:val="af0"/>
                <w:rFonts w:ascii="Times New Roman" w:hAnsi="Times New Roman" w:cs="Times New Roman"/>
                <w:noProof/>
                <w:sz w:val="24"/>
                <w:szCs w:val="24"/>
              </w:rPr>
              <w:t>Supplementary Figure 5:</w:t>
            </w:r>
            <w:r w:rsidRPr="005D7B2D">
              <w:rPr>
                <w:rStyle w:val="af0"/>
                <w:rFonts w:ascii="Times New Roman" w:hAnsi="Times New Roman" w:cs="Times New Roman"/>
                <w:b w:val="0"/>
                <w:bCs w:val="0"/>
                <w:noProof/>
                <w:sz w:val="24"/>
                <w:szCs w:val="24"/>
              </w:rPr>
              <w:t xml:space="preserve"> Definition and boundary of the study area</w:t>
            </w:r>
            <w:r w:rsidRPr="00AA419F">
              <w:rPr>
                <w:rFonts w:ascii="Times New Roman" w:hAnsi="Times New Roman" w:cs="Times New Roman"/>
                <w:noProof/>
                <w:webHidden/>
                <w:sz w:val="24"/>
                <w:szCs w:val="24"/>
              </w:rPr>
              <w:tab/>
            </w:r>
            <w:r w:rsidRPr="00AA419F">
              <w:rPr>
                <w:rFonts w:ascii="Times New Roman" w:hAnsi="Times New Roman" w:cs="Times New Roman"/>
                <w:noProof/>
                <w:webHidden/>
                <w:sz w:val="24"/>
                <w:szCs w:val="24"/>
              </w:rPr>
              <w:fldChar w:fldCharType="begin"/>
            </w:r>
            <w:r w:rsidRPr="00AA419F">
              <w:rPr>
                <w:rFonts w:ascii="Times New Roman" w:hAnsi="Times New Roman" w:cs="Times New Roman"/>
                <w:noProof/>
                <w:webHidden/>
                <w:sz w:val="24"/>
                <w:szCs w:val="24"/>
              </w:rPr>
              <w:instrText xml:space="preserve"> PAGEREF _Toc222537054 \h </w:instrText>
            </w:r>
            <w:r w:rsidRPr="00AA419F">
              <w:rPr>
                <w:rFonts w:ascii="Times New Roman" w:hAnsi="Times New Roman" w:cs="Times New Roman"/>
                <w:noProof/>
                <w:webHidden/>
                <w:sz w:val="24"/>
                <w:szCs w:val="24"/>
              </w:rPr>
            </w:r>
            <w:r w:rsidRPr="00AA419F">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w:t>
            </w:r>
            <w:r w:rsidRPr="00AA419F">
              <w:rPr>
                <w:rFonts w:ascii="Times New Roman" w:hAnsi="Times New Roman" w:cs="Times New Roman"/>
                <w:noProof/>
                <w:webHidden/>
                <w:sz w:val="24"/>
                <w:szCs w:val="24"/>
              </w:rPr>
              <w:fldChar w:fldCharType="end"/>
            </w:r>
          </w:hyperlink>
        </w:p>
        <w:p w14:paraId="5D3E917F" w14:textId="44C820D1" w:rsidR="00AA419F" w:rsidRPr="00AA419F" w:rsidRDefault="00AA419F" w:rsidP="00AA419F">
          <w:pPr>
            <w:pStyle w:val="TOC2"/>
            <w:tabs>
              <w:tab w:val="right" w:leader="dot" w:pos="8296"/>
            </w:tabs>
            <w:spacing w:line="360" w:lineRule="auto"/>
            <w:rPr>
              <w:rFonts w:ascii="Times New Roman" w:eastAsiaTheme="minorEastAsia" w:hAnsi="Times New Roman" w:cs="Times New Roman"/>
              <w:b w:val="0"/>
              <w:bCs w:val="0"/>
              <w:smallCaps/>
              <w:noProof/>
              <w:kern w:val="2"/>
              <w:sz w:val="24"/>
              <w:szCs w:val="24"/>
              <w:lang w:val="en-US"/>
              <w14:ligatures w14:val="standardContextual"/>
            </w:rPr>
          </w:pPr>
          <w:hyperlink w:anchor="_Toc222537055" w:history="1">
            <w:r w:rsidRPr="00AA419F">
              <w:rPr>
                <w:rStyle w:val="af0"/>
                <w:rFonts w:ascii="Times New Roman" w:hAnsi="Times New Roman" w:cs="Times New Roman"/>
                <w:noProof/>
                <w:sz w:val="24"/>
                <w:szCs w:val="24"/>
              </w:rPr>
              <w:t>Supplementary Figure 6:</w:t>
            </w:r>
            <w:r w:rsidRPr="005D7B2D">
              <w:rPr>
                <w:rStyle w:val="af0"/>
                <w:rFonts w:ascii="Times New Roman" w:hAnsi="Times New Roman" w:cs="Times New Roman"/>
                <w:b w:val="0"/>
                <w:bCs w:val="0"/>
                <w:noProof/>
                <w:sz w:val="24"/>
                <w:szCs w:val="24"/>
              </w:rPr>
              <w:t xml:space="preserve"> Regional urban energy resilience regimes in 2020</w:t>
            </w:r>
            <w:r w:rsidRPr="00AA419F">
              <w:rPr>
                <w:rFonts w:ascii="Times New Roman" w:hAnsi="Times New Roman" w:cs="Times New Roman"/>
                <w:noProof/>
                <w:webHidden/>
                <w:sz w:val="24"/>
                <w:szCs w:val="24"/>
              </w:rPr>
              <w:tab/>
            </w:r>
            <w:r w:rsidRPr="00AA419F">
              <w:rPr>
                <w:rFonts w:ascii="Times New Roman" w:hAnsi="Times New Roman" w:cs="Times New Roman"/>
                <w:noProof/>
                <w:webHidden/>
                <w:sz w:val="24"/>
                <w:szCs w:val="24"/>
              </w:rPr>
              <w:fldChar w:fldCharType="begin"/>
            </w:r>
            <w:r w:rsidRPr="00AA419F">
              <w:rPr>
                <w:rFonts w:ascii="Times New Roman" w:hAnsi="Times New Roman" w:cs="Times New Roman"/>
                <w:noProof/>
                <w:webHidden/>
                <w:sz w:val="24"/>
                <w:szCs w:val="24"/>
              </w:rPr>
              <w:instrText xml:space="preserve"> PAGEREF _Toc222537055 \h </w:instrText>
            </w:r>
            <w:r w:rsidRPr="00AA419F">
              <w:rPr>
                <w:rFonts w:ascii="Times New Roman" w:hAnsi="Times New Roman" w:cs="Times New Roman"/>
                <w:noProof/>
                <w:webHidden/>
                <w:sz w:val="24"/>
                <w:szCs w:val="24"/>
              </w:rPr>
            </w:r>
            <w:r w:rsidRPr="00AA419F">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9</w:t>
            </w:r>
            <w:r w:rsidRPr="00AA419F">
              <w:rPr>
                <w:rFonts w:ascii="Times New Roman" w:hAnsi="Times New Roman" w:cs="Times New Roman"/>
                <w:noProof/>
                <w:webHidden/>
                <w:sz w:val="24"/>
                <w:szCs w:val="24"/>
              </w:rPr>
              <w:fldChar w:fldCharType="end"/>
            </w:r>
          </w:hyperlink>
        </w:p>
        <w:p w14:paraId="44609D5D" w14:textId="2BC2F412" w:rsidR="00AA419F" w:rsidRPr="00AA419F" w:rsidRDefault="00AA419F" w:rsidP="00AA419F">
          <w:pPr>
            <w:pStyle w:val="TOC2"/>
            <w:tabs>
              <w:tab w:val="right" w:leader="dot" w:pos="8296"/>
            </w:tabs>
            <w:spacing w:line="360" w:lineRule="auto"/>
            <w:rPr>
              <w:rFonts w:ascii="Times New Roman" w:eastAsiaTheme="minorEastAsia" w:hAnsi="Times New Roman" w:cs="Times New Roman"/>
              <w:b w:val="0"/>
              <w:bCs w:val="0"/>
              <w:smallCaps/>
              <w:noProof/>
              <w:kern w:val="2"/>
              <w:sz w:val="24"/>
              <w:szCs w:val="24"/>
              <w:lang w:val="en-US"/>
              <w14:ligatures w14:val="standardContextual"/>
            </w:rPr>
          </w:pPr>
          <w:hyperlink w:anchor="_Toc222537056" w:history="1">
            <w:r w:rsidRPr="00AA419F">
              <w:rPr>
                <w:rStyle w:val="af0"/>
                <w:rFonts w:ascii="Times New Roman" w:hAnsi="Times New Roman" w:cs="Times New Roman"/>
                <w:noProof/>
                <w:sz w:val="24"/>
                <w:szCs w:val="24"/>
              </w:rPr>
              <w:t>Supplementary Figure 7:</w:t>
            </w:r>
            <w:r w:rsidRPr="005D7B2D">
              <w:rPr>
                <w:rStyle w:val="af0"/>
                <w:rFonts w:ascii="Times New Roman" w:hAnsi="Times New Roman" w:cs="Times New Roman"/>
                <w:b w:val="0"/>
                <w:bCs w:val="0"/>
                <w:noProof/>
                <w:sz w:val="24"/>
                <w:szCs w:val="24"/>
              </w:rPr>
              <w:t xml:space="preserve"> Regional urban energy resilience regimes in Net Zero 2050</w:t>
            </w:r>
            <w:r w:rsidRPr="00AA419F">
              <w:rPr>
                <w:rFonts w:ascii="Times New Roman" w:hAnsi="Times New Roman" w:cs="Times New Roman"/>
                <w:noProof/>
                <w:webHidden/>
                <w:sz w:val="24"/>
                <w:szCs w:val="24"/>
              </w:rPr>
              <w:tab/>
            </w:r>
            <w:r w:rsidRPr="00AA419F">
              <w:rPr>
                <w:rFonts w:ascii="Times New Roman" w:hAnsi="Times New Roman" w:cs="Times New Roman"/>
                <w:noProof/>
                <w:webHidden/>
                <w:sz w:val="24"/>
                <w:szCs w:val="24"/>
              </w:rPr>
              <w:fldChar w:fldCharType="begin"/>
            </w:r>
            <w:r w:rsidRPr="00AA419F">
              <w:rPr>
                <w:rFonts w:ascii="Times New Roman" w:hAnsi="Times New Roman" w:cs="Times New Roman"/>
                <w:noProof/>
                <w:webHidden/>
                <w:sz w:val="24"/>
                <w:szCs w:val="24"/>
              </w:rPr>
              <w:instrText xml:space="preserve"> PAGEREF _Toc222537056 \h </w:instrText>
            </w:r>
            <w:r w:rsidRPr="00AA419F">
              <w:rPr>
                <w:rFonts w:ascii="Times New Roman" w:hAnsi="Times New Roman" w:cs="Times New Roman"/>
                <w:noProof/>
                <w:webHidden/>
                <w:sz w:val="24"/>
                <w:szCs w:val="24"/>
              </w:rPr>
            </w:r>
            <w:r w:rsidRPr="00AA419F">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10</w:t>
            </w:r>
            <w:r w:rsidRPr="00AA419F">
              <w:rPr>
                <w:rFonts w:ascii="Times New Roman" w:hAnsi="Times New Roman" w:cs="Times New Roman"/>
                <w:noProof/>
                <w:webHidden/>
                <w:sz w:val="24"/>
                <w:szCs w:val="24"/>
              </w:rPr>
              <w:fldChar w:fldCharType="end"/>
            </w:r>
          </w:hyperlink>
        </w:p>
        <w:p w14:paraId="4981D34C" w14:textId="1420B207" w:rsidR="00AA419F" w:rsidRPr="00AA419F" w:rsidRDefault="00AA419F" w:rsidP="00AA419F">
          <w:pPr>
            <w:pStyle w:val="TOC2"/>
            <w:tabs>
              <w:tab w:val="right" w:leader="dot" w:pos="8296"/>
            </w:tabs>
            <w:spacing w:line="360" w:lineRule="auto"/>
            <w:rPr>
              <w:rFonts w:ascii="Times New Roman" w:eastAsiaTheme="minorEastAsia" w:hAnsi="Times New Roman" w:cs="Times New Roman"/>
              <w:b w:val="0"/>
              <w:bCs w:val="0"/>
              <w:smallCaps/>
              <w:noProof/>
              <w:kern w:val="2"/>
              <w:sz w:val="24"/>
              <w:szCs w:val="24"/>
              <w:lang w:val="en-US"/>
              <w14:ligatures w14:val="standardContextual"/>
            </w:rPr>
          </w:pPr>
          <w:hyperlink w:anchor="_Toc222537057" w:history="1">
            <w:r w:rsidRPr="00AA419F">
              <w:rPr>
                <w:rStyle w:val="af0"/>
                <w:rFonts w:ascii="Times New Roman" w:hAnsi="Times New Roman" w:cs="Times New Roman"/>
                <w:noProof/>
                <w:sz w:val="24"/>
                <w:szCs w:val="24"/>
              </w:rPr>
              <w:t xml:space="preserve">Supplementary Figure 8: </w:t>
            </w:r>
            <w:r w:rsidRPr="005D7B2D">
              <w:rPr>
                <w:rStyle w:val="af0"/>
                <w:rFonts w:ascii="Times New Roman" w:hAnsi="Times New Roman" w:cs="Times New Roman"/>
                <w:b w:val="0"/>
                <w:bCs w:val="0"/>
                <w:noProof/>
                <w:sz w:val="24"/>
                <w:szCs w:val="24"/>
              </w:rPr>
              <w:t>Model performance evaluation against historical benchmarks</w:t>
            </w:r>
            <w:r w:rsidRPr="00AA419F">
              <w:rPr>
                <w:rFonts w:ascii="Times New Roman" w:hAnsi="Times New Roman" w:cs="Times New Roman"/>
                <w:noProof/>
                <w:webHidden/>
                <w:sz w:val="24"/>
                <w:szCs w:val="24"/>
              </w:rPr>
              <w:tab/>
            </w:r>
            <w:r w:rsidRPr="00AA419F">
              <w:rPr>
                <w:rFonts w:ascii="Times New Roman" w:hAnsi="Times New Roman" w:cs="Times New Roman"/>
                <w:noProof/>
                <w:webHidden/>
                <w:sz w:val="24"/>
                <w:szCs w:val="24"/>
              </w:rPr>
              <w:fldChar w:fldCharType="begin"/>
            </w:r>
            <w:r w:rsidRPr="00AA419F">
              <w:rPr>
                <w:rFonts w:ascii="Times New Roman" w:hAnsi="Times New Roman" w:cs="Times New Roman"/>
                <w:noProof/>
                <w:webHidden/>
                <w:sz w:val="24"/>
                <w:szCs w:val="24"/>
              </w:rPr>
              <w:instrText xml:space="preserve"> PAGEREF _Toc222537057 \h </w:instrText>
            </w:r>
            <w:r w:rsidRPr="00AA419F">
              <w:rPr>
                <w:rFonts w:ascii="Times New Roman" w:hAnsi="Times New Roman" w:cs="Times New Roman"/>
                <w:noProof/>
                <w:webHidden/>
                <w:sz w:val="24"/>
                <w:szCs w:val="24"/>
              </w:rPr>
            </w:r>
            <w:r w:rsidRPr="00AA419F">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11</w:t>
            </w:r>
            <w:r w:rsidRPr="00AA419F">
              <w:rPr>
                <w:rFonts w:ascii="Times New Roman" w:hAnsi="Times New Roman" w:cs="Times New Roman"/>
                <w:noProof/>
                <w:webHidden/>
                <w:sz w:val="24"/>
                <w:szCs w:val="24"/>
              </w:rPr>
              <w:fldChar w:fldCharType="end"/>
            </w:r>
          </w:hyperlink>
        </w:p>
        <w:p w14:paraId="1501F5BF" w14:textId="47DE83C2" w:rsidR="00AA419F" w:rsidRDefault="00AA419F" w:rsidP="00AA419F">
          <w:pPr>
            <w:spacing w:line="360" w:lineRule="auto"/>
          </w:pPr>
          <w:r w:rsidRPr="00AA419F">
            <w:rPr>
              <w:rFonts w:ascii="Times New Roman" w:hAnsi="Times New Roman" w:cs="Times New Roman"/>
              <w:b/>
              <w:bCs/>
              <w:noProof/>
            </w:rPr>
            <w:fldChar w:fldCharType="end"/>
          </w:r>
        </w:p>
      </w:sdtContent>
    </w:sdt>
    <w:p w14:paraId="48397695" w14:textId="65B6F567" w:rsidR="001B7A54" w:rsidRDefault="001B7A54">
      <w:pPr>
        <w:rPr>
          <w:rFonts w:ascii="Times New Roman" w:eastAsia="DengXian" w:hAnsi="Times New Roman" w:cs="Times New Roman"/>
          <w:kern w:val="2"/>
          <w:sz w:val="32"/>
          <w:szCs w:val="36"/>
          <w:lang w:val="en-US"/>
        </w:rPr>
      </w:pPr>
      <w:r>
        <w:rPr>
          <w:rFonts w:ascii="Times New Roman" w:eastAsia="DengXian" w:hAnsi="Times New Roman" w:cs="Times New Roman"/>
          <w:kern w:val="2"/>
          <w:sz w:val="32"/>
          <w:szCs w:val="36"/>
          <w:lang w:val="en-US"/>
        </w:rPr>
        <w:br w:type="page"/>
      </w:r>
    </w:p>
    <w:p w14:paraId="082BBA8A" w14:textId="1CC8A31E" w:rsidR="001B7A54" w:rsidRDefault="001B7A54" w:rsidP="001B7A54">
      <w:pPr>
        <w:pStyle w:val="1"/>
        <w:spacing w:beforeLines="50" w:before="120" w:afterLines="50" w:after="120" w:line="360" w:lineRule="auto"/>
        <w:rPr>
          <w:sz w:val="28"/>
          <w:szCs w:val="28"/>
        </w:rPr>
      </w:pPr>
      <w:bookmarkStart w:id="1" w:name="_Hlk107488730"/>
      <w:bookmarkStart w:id="2" w:name="_Toc160454998"/>
      <w:bookmarkStart w:id="3" w:name="_Toc222537046"/>
      <w:r w:rsidRPr="00EF3451">
        <w:rPr>
          <w:sz w:val="28"/>
          <w:szCs w:val="28"/>
        </w:rPr>
        <w:lastRenderedPageBreak/>
        <w:t>Supplementary Table</w:t>
      </w:r>
      <w:bookmarkEnd w:id="1"/>
      <w:r w:rsidRPr="00EF3451">
        <w:rPr>
          <w:sz w:val="28"/>
          <w:szCs w:val="28"/>
        </w:rPr>
        <w:t>s</w:t>
      </w:r>
      <w:bookmarkEnd w:id="2"/>
      <w:bookmarkEnd w:id="3"/>
    </w:p>
    <w:p w14:paraId="16B16740" w14:textId="7FD3EE91" w:rsidR="001B7A54" w:rsidRPr="001B7A54" w:rsidRDefault="001B7A54" w:rsidP="001B7A54">
      <w:pPr>
        <w:pStyle w:val="2"/>
        <w:spacing w:before="120" w:after="120" w:line="360" w:lineRule="auto"/>
        <w:jc w:val="both"/>
        <w:rPr>
          <w:rFonts w:ascii="Times New Roman" w:hAnsi="Times New Roman" w:cs="Times New Roman"/>
          <w:color w:val="000000" w:themeColor="text1"/>
          <w:sz w:val="24"/>
          <w:szCs w:val="24"/>
        </w:rPr>
      </w:pPr>
      <w:bookmarkStart w:id="4" w:name="_Toc222537047"/>
      <w:r w:rsidRPr="001B7A54">
        <w:rPr>
          <w:rFonts w:ascii="Times New Roman" w:hAnsi="Times New Roman" w:cs="Times New Roman"/>
          <w:b/>
          <w:bCs/>
          <w:color w:val="000000" w:themeColor="text1"/>
          <w:sz w:val="24"/>
          <w:szCs w:val="24"/>
        </w:rPr>
        <w:t>Supplementary Table 1: Average rooftop PV self-sufficiency rates across different regions and topologies in 2020.</w:t>
      </w:r>
      <w:r w:rsidRPr="001B7A54">
        <w:rPr>
          <w:rFonts w:ascii="Times New Roman" w:hAnsi="Times New Roman" w:cs="Times New Roman"/>
          <w:color w:val="000000" w:themeColor="text1"/>
          <w:sz w:val="24"/>
          <w:szCs w:val="24"/>
        </w:rPr>
        <w:t xml:space="preserve"> All statistics represent weighted averages based on cities’ annual electricity demand. Following the Northern Hemisphere calendar, seasons are defined as: Spring (March–April–May), Summer (June–July–August), Autumn (September–October–November), and Winter (December–January–February). The city topologies (Development first, Urban planning first, Mitigation first, and Mega all-in) refer to a data-driven global classification based on structural characteristics such as demographic scale, socioeconomic capacity, and biophysical energy demand.</w:t>
      </w:r>
      <w:bookmarkEnd w:id="4"/>
    </w:p>
    <w:tbl>
      <w:tblPr>
        <w:tblStyle w:val="a5"/>
        <w:tblW w:w="830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760"/>
        <w:gridCol w:w="1305"/>
        <w:gridCol w:w="1316"/>
        <w:gridCol w:w="1316"/>
        <w:gridCol w:w="1304"/>
        <w:gridCol w:w="1304"/>
      </w:tblGrid>
      <w:tr w:rsidR="00455B7F" w14:paraId="2304A422" w14:textId="77777777" w:rsidTr="001B7A54">
        <w:trPr>
          <w:trHeight w:val="552"/>
        </w:trPr>
        <w:tc>
          <w:tcPr>
            <w:tcW w:w="8305" w:type="dxa"/>
            <w:gridSpan w:val="6"/>
            <w:tcBorders>
              <w:top w:val="single" w:sz="6" w:space="0" w:color="000000"/>
              <w:left w:val="nil"/>
              <w:bottom w:val="nil"/>
              <w:right w:val="nil"/>
            </w:tcBorders>
            <w:tcMar>
              <w:top w:w="20" w:type="dxa"/>
              <w:left w:w="20" w:type="dxa"/>
              <w:bottom w:w="100" w:type="dxa"/>
              <w:right w:w="20" w:type="dxa"/>
            </w:tcMar>
            <w:vAlign w:val="center"/>
          </w:tcPr>
          <w:p w14:paraId="75B45A99"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Self sufficiency rate in 2020</w:t>
            </w:r>
          </w:p>
        </w:tc>
      </w:tr>
      <w:tr w:rsidR="00455B7F" w14:paraId="38C23D97" w14:textId="77777777" w:rsidTr="001B7A54">
        <w:trPr>
          <w:trHeight w:val="552"/>
        </w:trPr>
        <w:tc>
          <w:tcPr>
            <w:tcW w:w="1760" w:type="dxa"/>
            <w:tcBorders>
              <w:top w:val="nil"/>
              <w:left w:val="nil"/>
              <w:bottom w:val="single" w:sz="3" w:space="0" w:color="000000"/>
              <w:right w:val="nil"/>
            </w:tcBorders>
            <w:shd w:val="clear" w:color="auto" w:fill="auto"/>
            <w:tcMar>
              <w:top w:w="20" w:type="dxa"/>
              <w:left w:w="20" w:type="dxa"/>
              <w:bottom w:w="100" w:type="dxa"/>
              <w:right w:w="20" w:type="dxa"/>
            </w:tcMar>
            <w:vAlign w:val="center"/>
          </w:tcPr>
          <w:p w14:paraId="04196C45"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Group</w:t>
            </w:r>
          </w:p>
        </w:tc>
        <w:tc>
          <w:tcPr>
            <w:tcW w:w="1305" w:type="dxa"/>
            <w:tcBorders>
              <w:top w:val="nil"/>
              <w:left w:val="nil"/>
              <w:bottom w:val="single" w:sz="3" w:space="0" w:color="000000"/>
              <w:right w:val="nil"/>
            </w:tcBorders>
            <w:shd w:val="clear" w:color="auto" w:fill="auto"/>
            <w:tcMar>
              <w:top w:w="20" w:type="dxa"/>
              <w:left w:w="20" w:type="dxa"/>
              <w:bottom w:w="100" w:type="dxa"/>
              <w:right w:w="20" w:type="dxa"/>
            </w:tcMar>
            <w:vAlign w:val="center"/>
          </w:tcPr>
          <w:p w14:paraId="5E5B4438"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Spring</w:t>
            </w:r>
          </w:p>
        </w:tc>
        <w:tc>
          <w:tcPr>
            <w:tcW w:w="1316" w:type="dxa"/>
            <w:tcBorders>
              <w:top w:val="nil"/>
              <w:left w:val="nil"/>
              <w:bottom w:val="single" w:sz="3" w:space="0" w:color="000000"/>
              <w:right w:val="nil"/>
            </w:tcBorders>
            <w:shd w:val="clear" w:color="auto" w:fill="auto"/>
            <w:tcMar>
              <w:top w:w="20" w:type="dxa"/>
              <w:left w:w="20" w:type="dxa"/>
              <w:bottom w:w="100" w:type="dxa"/>
              <w:right w:w="20" w:type="dxa"/>
            </w:tcMar>
            <w:vAlign w:val="center"/>
          </w:tcPr>
          <w:p w14:paraId="6E54F82D"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Summer</w:t>
            </w:r>
          </w:p>
        </w:tc>
        <w:tc>
          <w:tcPr>
            <w:tcW w:w="1316" w:type="dxa"/>
            <w:tcBorders>
              <w:top w:val="nil"/>
              <w:left w:val="nil"/>
              <w:bottom w:val="single" w:sz="3" w:space="0" w:color="000000"/>
              <w:right w:val="nil"/>
            </w:tcBorders>
            <w:shd w:val="clear" w:color="auto" w:fill="auto"/>
            <w:tcMar>
              <w:top w:w="20" w:type="dxa"/>
              <w:left w:w="20" w:type="dxa"/>
              <w:bottom w:w="100" w:type="dxa"/>
              <w:right w:w="20" w:type="dxa"/>
            </w:tcMar>
            <w:vAlign w:val="center"/>
          </w:tcPr>
          <w:p w14:paraId="4CC1BC66"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Autumn</w:t>
            </w:r>
          </w:p>
        </w:tc>
        <w:tc>
          <w:tcPr>
            <w:tcW w:w="1304" w:type="dxa"/>
            <w:tcBorders>
              <w:top w:val="nil"/>
              <w:left w:val="nil"/>
              <w:bottom w:val="single" w:sz="3" w:space="0" w:color="000000"/>
              <w:right w:val="nil"/>
            </w:tcBorders>
            <w:shd w:val="clear" w:color="auto" w:fill="auto"/>
            <w:tcMar>
              <w:top w:w="20" w:type="dxa"/>
              <w:left w:w="20" w:type="dxa"/>
              <w:bottom w:w="100" w:type="dxa"/>
              <w:right w:w="20" w:type="dxa"/>
            </w:tcMar>
            <w:vAlign w:val="center"/>
          </w:tcPr>
          <w:p w14:paraId="3F657E08"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Winter</w:t>
            </w:r>
          </w:p>
        </w:tc>
        <w:tc>
          <w:tcPr>
            <w:tcW w:w="1304" w:type="dxa"/>
            <w:tcBorders>
              <w:top w:val="nil"/>
              <w:left w:val="nil"/>
              <w:bottom w:val="single" w:sz="3" w:space="0" w:color="000000"/>
              <w:right w:val="nil"/>
            </w:tcBorders>
            <w:shd w:val="clear" w:color="auto" w:fill="auto"/>
            <w:tcMar>
              <w:top w:w="20" w:type="dxa"/>
              <w:left w:w="20" w:type="dxa"/>
              <w:bottom w:w="100" w:type="dxa"/>
              <w:right w:w="20" w:type="dxa"/>
            </w:tcMar>
            <w:vAlign w:val="center"/>
          </w:tcPr>
          <w:p w14:paraId="33A0BEBE"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Annual</w:t>
            </w:r>
          </w:p>
        </w:tc>
      </w:tr>
      <w:tr w:rsidR="00455B7F" w14:paraId="1483CA87" w14:textId="77777777" w:rsidTr="001B7A54">
        <w:trPr>
          <w:trHeight w:val="552"/>
        </w:trPr>
        <w:tc>
          <w:tcPr>
            <w:tcW w:w="1760" w:type="dxa"/>
            <w:tcBorders>
              <w:top w:val="single" w:sz="3" w:space="0" w:color="000000"/>
              <w:left w:val="nil"/>
              <w:bottom w:val="nil"/>
              <w:right w:val="nil"/>
            </w:tcBorders>
            <w:shd w:val="clear" w:color="auto" w:fill="auto"/>
            <w:tcMar>
              <w:top w:w="20" w:type="dxa"/>
              <w:left w:w="20" w:type="dxa"/>
              <w:bottom w:w="100" w:type="dxa"/>
              <w:right w:w="20" w:type="dxa"/>
            </w:tcMar>
            <w:vAlign w:val="center"/>
          </w:tcPr>
          <w:p w14:paraId="0EC19709"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Global</w:t>
            </w:r>
          </w:p>
        </w:tc>
        <w:tc>
          <w:tcPr>
            <w:tcW w:w="1305" w:type="dxa"/>
            <w:tcBorders>
              <w:top w:val="single" w:sz="3" w:space="0" w:color="000000"/>
              <w:left w:val="nil"/>
              <w:bottom w:val="nil"/>
              <w:right w:val="nil"/>
            </w:tcBorders>
            <w:shd w:val="clear" w:color="auto" w:fill="auto"/>
            <w:tcMar>
              <w:top w:w="20" w:type="dxa"/>
              <w:left w:w="20" w:type="dxa"/>
              <w:bottom w:w="100" w:type="dxa"/>
              <w:right w:w="20" w:type="dxa"/>
            </w:tcMar>
            <w:vAlign w:val="center"/>
          </w:tcPr>
          <w:p w14:paraId="33CBEB31"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71%</w:t>
            </w:r>
          </w:p>
        </w:tc>
        <w:tc>
          <w:tcPr>
            <w:tcW w:w="1316" w:type="dxa"/>
            <w:tcBorders>
              <w:top w:val="single" w:sz="3" w:space="0" w:color="000000"/>
              <w:left w:val="nil"/>
              <w:bottom w:val="nil"/>
              <w:right w:val="nil"/>
            </w:tcBorders>
            <w:shd w:val="clear" w:color="auto" w:fill="auto"/>
            <w:tcMar>
              <w:top w:w="20" w:type="dxa"/>
              <w:left w:w="20" w:type="dxa"/>
              <w:bottom w:w="100" w:type="dxa"/>
              <w:right w:w="20" w:type="dxa"/>
            </w:tcMar>
            <w:vAlign w:val="center"/>
          </w:tcPr>
          <w:p w14:paraId="310A961C"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72%</w:t>
            </w:r>
          </w:p>
        </w:tc>
        <w:tc>
          <w:tcPr>
            <w:tcW w:w="1316" w:type="dxa"/>
            <w:tcBorders>
              <w:top w:val="single" w:sz="3" w:space="0" w:color="000000"/>
              <w:left w:val="nil"/>
              <w:bottom w:val="nil"/>
              <w:right w:val="nil"/>
            </w:tcBorders>
            <w:shd w:val="clear" w:color="auto" w:fill="auto"/>
            <w:tcMar>
              <w:top w:w="20" w:type="dxa"/>
              <w:left w:w="20" w:type="dxa"/>
              <w:bottom w:w="100" w:type="dxa"/>
              <w:right w:w="20" w:type="dxa"/>
            </w:tcMar>
            <w:vAlign w:val="center"/>
          </w:tcPr>
          <w:p w14:paraId="7E2D8BCE"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57%</w:t>
            </w:r>
          </w:p>
        </w:tc>
        <w:tc>
          <w:tcPr>
            <w:tcW w:w="1304" w:type="dxa"/>
            <w:tcBorders>
              <w:top w:val="single" w:sz="3" w:space="0" w:color="000000"/>
              <w:left w:val="nil"/>
              <w:bottom w:val="nil"/>
              <w:right w:val="nil"/>
            </w:tcBorders>
            <w:shd w:val="clear" w:color="auto" w:fill="auto"/>
            <w:tcMar>
              <w:top w:w="20" w:type="dxa"/>
              <w:left w:w="20" w:type="dxa"/>
              <w:bottom w:w="100" w:type="dxa"/>
              <w:right w:w="20" w:type="dxa"/>
            </w:tcMar>
            <w:vAlign w:val="center"/>
          </w:tcPr>
          <w:p w14:paraId="345963A9"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44%</w:t>
            </w:r>
          </w:p>
        </w:tc>
        <w:tc>
          <w:tcPr>
            <w:tcW w:w="1304" w:type="dxa"/>
            <w:tcBorders>
              <w:top w:val="single" w:sz="3" w:space="0" w:color="000000"/>
              <w:left w:val="nil"/>
              <w:bottom w:val="nil"/>
              <w:right w:val="nil"/>
            </w:tcBorders>
            <w:shd w:val="clear" w:color="auto" w:fill="auto"/>
            <w:tcMar>
              <w:top w:w="20" w:type="dxa"/>
              <w:left w:w="20" w:type="dxa"/>
              <w:bottom w:w="100" w:type="dxa"/>
              <w:right w:w="20" w:type="dxa"/>
            </w:tcMar>
            <w:vAlign w:val="center"/>
          </w:tcPr>
          <w:p w14:paraId="64510D9A"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61%</w:t>
            </w:r>
          </w:p>
        </w:tc>
      </w:tr>
      <w:tr w:rsidR="00455B7F" w14:paraId="1E36676B" w14:textId="77777777" w:rsidTr="001B7A54">
        <w:trPr>
          <w:trHeight w:val="552"/>
        </w:trPr>
        <w:tc>
          <w:tcPr>
            <w:tcW w:w="1760" w:type="dxa"/>
            <w:tcBorders>
              <w:top w:val="nil"/>
              <w:left w:val="nil"/>
              <w:bottom w:val="nil"/>
              <w:right w:val="nil"/>
            </w:tcBorders>
            <w:shd w:val="clear" w:color="auto" w:fill="auto"/>
            <w:tcMar>
              <w:top w:w="20" w:type="dxa"/>
              <w:left w:w="20" w:type="dxa"/>
              <w:bottom w:w="100" w:type="dxa"/>
              <w:right w:w="20" w:type="dxa"/>
            </w:tcMar>
            <w:vAlign w:val="center"/>
          </w:tcPr>
          <w:p w14:paraId="1EFD6101"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Africa</w:t>
            </w:r>
          </w:p>
        </w:tc>
        <w:tc>
          <w:tcPr>
            <w:tcW w:w="1305" w:type="dxa"/>
            <w:tcBorders>
              <w:top w:val="nil"/>
              <w:left w:val="nil"/>
              <w:bottom w:val="nil"/>
              <w:right w:val="nil"/>
            </w:tcBorders>
            <w:shd w:val="clear" w:color="auto" w:fill="auto"/>
            <w:tcMar>
              <w:top w:w="20" w:type="dxa"/>
              <w:left w:w="20" w:type="dxa"/>
              <w:bottom w:w="100" w:type="dxa"/>
              <w:right w:w="20" w:type="dxa"/>
            </w:tcMar>
            <w:vAlign w:val="center"/>
          </w:tcPr>
          <w:p w14:paraId="797F3389"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72%</w:t>
            </w:r>
          </w:p>
        </w:tc>
        <w:tc>
          <w:tcPr>
            <w:tcW w:w="1316" w:type="dxa"/>
            <w:tcBorders>
              <w:top w:val="nil"/>
              <w:left w:val="nil"/>
              <w:bottom w:val="nil"/>
              <w:right w:val="nil"/>
            </w:tcBorders>
            <w:shd w:val="clear" w:color="auto" w:fill="auto"/>
            <w:tcMar>
              <w:top w:w="20" w:type="dxa"/>
              <w:left w:w="20" w:type="dxa"/>
              <w:bottom w:w="100" w:type="dxa"/>
              <w:right w:w="20" w:type="dxa"/>
            </w:tcMar>
            <w:vAlign w:val="center"/>
          </w:tcPr>
          <w:p w14:paraId="1FE8F63F"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70%</w:t>
            </w:r>
          </w:p>
        </w:tc>
        <w:tc>
          <w:tcPr>
            <w:tcW w:w="1316" w:type="dxa"/>
            <w:tcBorders>
              <w:top w:val="nil"/>
              <w:left w:val="nil"/>
              <w:bottom w:val="nil"/>
              <w:right w:val="nil"/>
            </w:tcBorders>
            <w:shd w:val="clear" w:color="auto" w:fill="auto"/>
            <w:tcMar>
              <w:top w:w="20" w:type="dxa"/>
              <w:left w:w="20" w:type="dxa"/>
              <w:bottom w:w="100" w:type="dxa"/>
              <w:right w:w="20" w:type="dxa"/>
            </w:tcMar>
            <w:vAlign w:val="center"/>
          </w:tcPr>
          <w:p w14:paraId="473BA2E2"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67%</w:t>
            </w:r>
          </w:p>
        </w:tc>
        <w:tc>
          <w:tcPr>
            <w:tcW w:w="1304" w:type="dxa"/>
            <w:tcBorders>
              <w:top w:val="nil"/>
              <w:left w:val="nil"/>
              <w:bottom w:val="nil"/>
              <w:right w:val="nil"/>
            </w:tcBorders>
            <w:shd w:val="clear" w:color="auto" w:fill="auto"/>
            <w:tcMar>
              <w:top w:w="20" w:type="dxa"/>
              <w:left w:w="20" w:type="dxa"/>
              <w:bottom w:w="100" w:type="dxa"/>
              <w:right w:w="20" w:type="dxa"/>
            </w:tcMar>
            <w:vAlign w:val="center"/>
          </w:tcPr>
          <w:p w14:paraId="55E48354"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64%</w:t>
            </w:r>
          </w:p>
        </w:tc>
        <w:tc>
          <w:tcPr>
            <w:tcW w:w="1304" w:type="dxa"/>
            <w:tcBorders>
              <w:top w:val="nil"/>
              <w:left w:val="nil"/>
              <w:bottom w:val="nil"/>
              <w:right w:val="nil"/>
            </w:tcBorders>
            <w:shd w:val="clear" w:color="auto" w:fill="auto"/>
            <w:tcMar>
              <w:top w:w="20" w:type="dxa"/>
              <w:left w:w="20" w:type="dxa"/>
              <w:bottom w:w="100" w:type="dxa"/>
              <w:right w:w="20" w:type="dxa"/>
            </w:tcMar>
            <w:vAlign w:val="center"/>
          </w:tcPr>
          <w:p w14:paraId="3A8F1571"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68%</w:t>
            </w:r>
          </w:p>
        </w:tc>
      </w:tr>
      <w:tr w:rsidR="00455B7F" w14:paraId="59A1A8BD" w14:textId="77777777" w:rsidTr="001B7A54">
        <w:trPr>
          <w:trHeight w:val="552"/>
        </w:trPr>
        <w:tc>
          <w:tcPr>
            <w:tcW w:w="1760" w:type="dxa"/>
            <w:tcBorders>
              <w:top w:val="nil"/>
              <w:left w:val="nil"/>
              <w:bottom w:val="nil"/>
              <w:right w:val="nil"/>
            </w:tcBorders>
            <w:shd w:val="clear" w:color="auto" w:fill="auto"/>
            <w:tcMar>
              <w:top w:w="20" w:type="dxa"/>
              <w:left w:w="20" w:type="dxa"/>
              <w:bottom w:w="100" w:type="dxa"/>
              <w:right w:w="20" w:type="dxa"/>
            </w:tcMar>
            <w:vAlign w:val="center"/>
          </w:tcPr>
          <w:p w14:paraId="282A45C5"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Asia</w:t>
            </w:r>
          </w:p>
        </w:tc>
        <w:tc>
          <w:tcPr>
            <w:tcW w:w="1305" w:type="dxa"/>
            <w:tcBorders>
              <w:top w:val="nil"/>
              <w:left w:val="nil"/>
              <w:bottom w:val="nil"/>
              <w:right w:val="nil"/>
            </w:tcBorders>
            <w:shd w:val="clear" w:color="auto" w:fill="auto"/>
            <w:tcMar>
              <w:top w:w="20" w:type="dxa"/>
              <w:left w:w="20" w:type="dxa"/>
              <w:bottom w:w="100" w:type="dxa"/>
              <w:right w:w="20" w:type="dxa"/>
            </w:tcMar>
            <w:vAlign w:val="center"/>
          </w:tcPr>
          <w:p w14:paraId="78C35E7F"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73%</w:t>
            </w:r>
          </w:p>
        </w:tc>
        <w:tc>
          <w:tcPr>
            <w:tcW w:w="1316" w:type="dxa"/>
            <w:tcBorders>
              <w:top w:val="nil"/>
              <w:left w:val="nil"/>
              <w:bottom w:val="nil"/>
              <w:right w:val="nil"/>
            </w:tcBorders>
            <w:shd w:val="clear" w:color="auto" w:fill="auto"/>
            <w:tcMar>
              <w:top w:w="20" w:type="dxa"/>
              <w:left w:w="20" w:type="dxa"/>
              <w:bottom w:w="100" w:type="dxa"/>
              <w:right w:w="20" w:type="dxa"/>
            </w:tcMar>
            <w:vAlign w:val="center"/>
          </w:tcPr>
          <w:p w14:paraId="7A0D165C"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71%</w:t>
            </w:r>
          </w:p>
        </w:tc>
        <w:tc>
          <w:tcPr>
            <w:tcW w:w="1316" w:type="dxa"/>
            <w:tcBorders>
              <w:top w:val="nil"/>
              <w:left w:val="nil"/>
              <w:bottom w:val="nil"/>
              <w:right w:val="nil"/>
            </w:tcBorders>
            <w:shd w:val="clear" w:color="auto" w:fill="auto"/>
            <w:tcMar>
              <w:top w:w="20" w:type="dxa"/>
              <w:left w:w="20" w:type="dxa"/>
              <w:bottom w:w="100" w:type="dxa"/>
              <w:right w:w="20" w:type="dxa"/>
            </w:tcMar>
            <w:vAlign w:val="center"/>
          </w:tcPr>
          <w:p w14:paraId="631FBABC"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60%</w:t>
            </w:r>
          </w:p>
        </w:tc>
        <w:tc>
          <w:tcPr>
            <w:tcW w:w="1304" w:type="dxa"/>
            <w:tcBorders>
              <w:top w:val="nil"/>
              <w:left w:val="nil"/>
              <w:bottom w:val="nil"/>
              <w:right w:val="nil"/>
            </w:tcBorders>
            <w:shd w:val="clear" w:color="auto" w:fill="auto"/>
            <w:tcMar>
              <w:top w:w="20" w:type="dxa"/>
              <w:left w:w="20" w:type="dxa"/>
              <w:bottom w:w="100" w:type="dxa"/>
              <w:right w:w="20" w:type="dxa"/>
            </w:tcMar>
            <w:vAlign w:val="center"/>
          </w:tcPr>
          <w:p w14:paraId="534BAD1D"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50%</w:t>
            </w:r>
          </w:p>
        </w:tc>
        <w:tc>
          <w:tcPr>
            <w:tcW w:w="1304" w:type="dxa"/>
            <w:tcBorders>
              <w:top w:val="nil"/>
              <w:left w:val="nil"/>
              <w:bottom w:val="nil"/>
              <w:right w:val="nil"/>
            </w:tcBorders>
            <w:shd w:val="clear" w:color="auto" w:fill="auto"/>
            <w:tcMar>
              <w:top w:w="20" w:type="dxa"/>
              <w:left w:w="20" w:type="dxa"/>
              <w:bottom w:w="100" w:type="dxa"/>
              <w:right w:w="20" w:type="dxa"/>
            </w:tcMar>
            <w:vAlign w:val="center"/>
          </w:tcPr>
          <w:p w14:paraId="193D242E"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64%</w:t>
            </w:r>
          </w:p>
        </w:tc>
      </w:tr>
      <w:tr w:rsidR="00455B7F" w14:paraId="51CB74C5" w14:textId="77777777" w:rsidTr="001B7A54">
        <w:trPr>
          <w:trHeight w:val="552"/>
        </w:trPr>
        <w:tc>
          <w:tcPr>
            <w:tcW w:w="1760" w:type="dxa"/>
            <w:tcBorders>
              <w:top w:val="nil"/>
              <w:left w:val="nil"/>
              <w:bottom w:val="nil"/>
              <w:right w:val="nil"/>
            </w:tcBorders>
            <w:shd w:val="clear" w:color="auto" w:fill="auto"/>
            <w:tcMar>
              <w:top w:w="20" w:type="dxa"/>
              <w:left w:w="20" w:type="dxa"/>
              <w:bottom w:w="100" w:type="dxa"/>
              <w:right w:w="20" w:type="dxa"/>
            </w:tcMar>
            <w:vAlign w:val="center"/>
          </w:tcPr>
          <w:p w14:paraId="29D3450F"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Europe</w:t>
            </w:r>
          </w:p>
        </w:tc>
        <w:tc>
          <w:tcPr>
            <w:tcW w:w="1305" w:type="dxa"/>
            <w:tcBorders>
              <w:top w:val="nil"/>
              <w:left w:val="nil"/>
              <w:bottom w:val="nil"/>
              <w:right w:val="nil"/>
            </w:tcBorders>
            <w:shd w:val="clear" w:color="auto" w:fill="auto"/>
            <w:tcMar>
              <w:top w:w="20" w:type="dxa"/>
              <w:left w:w="20" w:type="dxa"/>
              <w:bottom w:w="100" w:type="dxa"/>
              <w:right w:w="20" w:type="dxa"/>
            </w:tcMar>
            <w:vAlign w:val="center"/>
          </w:tcPr>
          <w:p w14:paraId="290D2798"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71%</w:t>
            </w:r>
          </w:p>
        </w:tc>
        <w:tc>
          <w:tcPr>
            <w:tcW w:w="1316" w:type="dxa"/>
            <w:tcBorders>
              <w:top w:val="nil"/>
              <w:left w:val="nil"/>
              <w:bottom w:val="nil"/>
              <w:right w:val="nil"/>
            </w:tcBorders>
            <w:shd w:val="clear" w:color="auto" w:fill="auto"/>
            <w:tcMar>
              <w:top w:w="20" w:type="dxa"/>
              <w:left w:w="20" w:type="dxa"/>
              <w:bottom w:w="100" w:type="dxa"/>
              <w:right w:w="20" w:type="dxa"/>
            </w:tcMar>
            <w:vAlign w:val="center"/>
          </w:tcPr>
          <w:p w14:paraId="78B4AF35"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86%</w:t>
            </w:r>
          </w:p>
        </w:tc>
        <w:tc>
          <w:tcPr>
            <w:tcW w:w="1316" w:type="dxa"/>
            <w:tcBorders>
              <w:top w:val="nil"/>
              <w:left w:val="nil"/>
              <w:bottom w:val="nil"/>
              <w:right w:val="nil"/>
            </w:tcBorders>
            <w:shd w:val="clear" w:color="auto" w:fill="auto"/>
            <w:tcMar>
              <w:top w:w="20" w:type="dxa"/>
              <w:left w:w="20" w:type="dxa"/>
              <w:bottom w:w="100" w:type="dxa"/>
              <w:right w:w="20" w:type="dxa"/>
            </w:tcMar>
            <w:vAlign w:val="center"/>
          </w:tcPr>
          <w:p w14:paraId="46B27EE9"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44%</w:t>
            </w:r>
          </w:p>
        </w:tc>
        <w:tc>
          <w:tcPr>
            <w:tcW w:w="1304" w:type="dxa"/>
            <w:tcBorders>
              <w:top w:val="nil"/>
              <w:left w:val="nil"/>
              <w:bottom w:val="nil"/>
              <w:right w:val="nil"/>
            </w:tcBorders>
            <w:shd w:val="clear" w:color="auto" w:fill="auto"/>
            <w:tcMar>
              <w:top w:w="20" w:type="dxa"/>
              <w:left w:w="20" w:type="dxa"/>
              <w:bottom w:w="100" w:type="dxa"/>
              <w:right w:w="20" w:type="dxa"/>
            </w:tcMar>
            <w:vAlign w:val="center"/>
          </w:tcPr>
          <w:p w14:paraId="48BB97D2"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21%</w:t>
            </w:r>
          </w:p>
        </w:tc>
        <w:tc>
          <w:tcPr>
            <w:tcW w:w="1304" w:type="dxa"/>
            <w:tcBorders>
              <w:top w:val="nil"/>
              <w:left w:val="nil"/>
              <w:bottom w:val="nil"/>
              <w:right w:val="nil"/>
            </w:tcBorders>
            <w:shd w:val="clear" w:color="auto" w:fill="auto"/>
            <w:tcMar>
              <w:top w:w="20" w:type="dxa"/>
              <w:left w:w="20" w:type="dxa"/>
              <w:bottom w:w="100" w:type="dxa"/>
              <w:right w:w="20" w:type="dxa"/>
            </w:tcMar>
            <w:vAlign w:val="center"/>
          </w:tcPr>
          <w:p w14:paraId="5FBC31B2"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56%</w:t>
            </w:r>
          </w:p>
        </w:tc>
      </w:tr>
      <w:tr w:rsidR="00455B7F" w14:paraId="6712BFEB" w14:textId="77777777" w:rsidTr="001B7A54">
        <w:trPr>
          <w:trHeight w:val="552"/>
        </w:trPr>
        <w:tc>
          <w:tcPr>
            <w:tcW w:w="1760" w:type="dxa"/>
            <w:tcBorders>
              <w:top w:val="nil"/>
              <w:left w:val="nil"/>
              <w:bottom w:val="nil"/>
              <w:right w:val="nil"/>
            </w:tcBorders>
            <w:shd w:val="clear" w:color="auto" w:fill="auto"/>
            <w:tcMar>
              <w:top w:w="20" w:type="dxa"/>
              <w:left w:w="20" w:type="dxa"/>
              <w:bottom w:w="100" w:type="dxa"/>
              <w:right w:w="20" w:type="dxa"/>
            </w:tcMar>
            <w:vAlign w:val="center"/>
          </w:tcPr>
          <w:p w14:paraId="054B941E"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North America</w:t>
            </w:r>
          </w:p>
        </w:tc>
        <w:tc>
          <w:tcPr>
            <w:tcW w:w="1305" w:type="dxa"/>
            <w:tcBorders>
              <w:top w:val="nil"/>
              <w:left w:val="nil"/>
              <w:bottom w:val="nil"/>
              <w:right w:val="nil"/>
            </w:tcBorders>
            <w:shd w:val="clear" w:color="auto" w:fill="auto"/>
            <w:tcMar>
              <w:top w:w="20" w:type="dxa"/>
              <w:left w:w="20" w:type="dxa"/>
              <w:bottom w:w="100" w:type="dxa"/>
              <w:right w:w="20" w:type="dxa"/>
            </w:tcMar>
            <w:vAlign w:val="center"/>
          </w:tcPr>
          <w:p w14:paraId="3F7E019D"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68%</w:t>
            </w:r>
          </w:p>
        </w:tc>
        <w:tc>
          <w:tcPr>
            <w:tcW w:w="1316" w:type="dxa"/>
            <w:tcBorders>
              <w:top w:val="nil"/>
              <w:left w:val="nil"/>
              <w:bottom w:val="nil"/>
              <w:right w:val="nil"/>
            </w:tcBorders>
            <w:shd w:val="clear" w:color="auto" w:fill="auto"/>
            <w:tcMar>
              <w:top w:w="20" w:type="dxa"/>
              <w:left w:w="20" w:type="dxa"/>
              <w:bottom w:w="100" w:type="dxa"/>
              <w:right w:w="20" w:type="dxa"/>
            </w:tcMar>
            <w:vAlign w:val="center"/>
          </w:tcPr>
          <w:p w14:paraId="6010BF25"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70%</w:t>
            </w:r>
          </w:p>
        </w:tc>
        <w:tc>
          <w:tcPr>
            <w:tcW w:w="1316" w:type="dxa"/>
            <w:tcBorders>
              <w:top w:val="nil"/>
              <w:left w:val="nil"/>
              <w:bottom w:val="nil"/>
              <w:right w:val="nil"/>
            </w:tcBorders>
            <w:shd w:val="clear" w:color="auto" w:fill="auto"/>
            <w:tcMar>
              <w:top w:w="20" w:type="dxa"/>
              <w:left w:w="20" w:type="dxa"/>
              <w:bottom w:w="100" w:type="dxa"/>
              <w:right w:w="20" w:type="dxa"/>
            </w:tcMar>
            <w:vAlign w:val="center"/>
          </w:tcPr>
          <w:p w14:paraId="7D81E9D8"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52%</w:t>
            </w:r>
          </w:p>
        </w:tc>
        <w:tc>
          <w:tcPr>
            <w:tcW w:w="1304" w:type="dxa"/>
            <w:tcBorders>
              <w:top w:val="nil"/>
              <w:left w:val="nil"/>
              <w:bottom w:val="nil"/>
              <w:right w:val="nil"/>
            </w:tcBorders>
            <w:shd w:val="clear" w:color="auto" w:fill="auto"/>
            <w:tcMar>
              <w:top w:w="20" w:type="dxa"/>
              <w:left w:w="20" w:type="dxa"/>
              <w:bottom w:w="100" w:type="dxa"/>
              <w:right w:w="20" w:type="dxa"/>
            </w:tcMar>
            <w:vAlign w:val="center"/>
          </w:tcPr>
          <w:p w14:paraId="7BF509E3"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34%</w:t>
            </w:r>
          </w:p>
        </w:tc>
        <w:tc>
          <w:tcPr>
            <w:tcW w:w="1304" w:type="dxa"/>
            <w:tcBorders>
              <w:top w:val="nil"/>
              <w:left w:val="nil"/>
              <w:bottom w:val="nil"/>
              <w:right w:val="nil"/>
            </w:tcBorders>
            <w:shd w:val="clear" w:color="auto" w:fill="auto"/>
            <w:tcMar>
              <w:top w:w="20" w:type="dxa"/>
              <w:left w:w="20" w:type="dxa"/>
              <w:bottom w:w="100" w:type="dxa"/>
              <w:right w:w="20" w:type="dxa"/>
            </w:tcMar>
            <w:vAlign w:val="center"/>
          </w:tcPr>
          <w:p w14:paraId="0289446D"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56%</w:t>
            </w:r>
          </w:p>
        </w:tc>
      </w:tr>
      <w:tr w:rsidR="00455B7F" w14:paraId="224B5431" w14:textId="77777777" w:rsidTr="001B7A54">
        <w:trPr>
          <w:trHeight w:val="552"/>
        </w:trPr>
        <w:tc>
          <w:tcPr>
            <w:tcW w:w="1760" w:type="dxa"/>
            <w:tcBorders>
              <w:top w:val="nil"/>
              <w:left w:val="nil"/>
              <w:bottom w:val="nil"/>
              <w:right w:val="nil"/>
            </w:tcBorders>
            <w:shd w:val="clear" w:color="auto" w:fill="auto"/>
            <w:tcMar>
              <w:top w:w="20" w:type="dxa"/>
              <w:left w:w="20" w:type="dxa"/>
              <w:bottom w:w="100" w:type="dxa"/>
              <w:right w:w="20" w:type="dxa"/>
            </w:tcMar>
            <w:vAlign w:val="center"/>
          </w:tcPr>
          <w:p w14:paraId="55598EA9"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South America</w:t>
            </w:r>
          </w:p>
        </w:tc>
        <w:tc>
          <w:tcPr>
            <w:tcW w:w="1305" w:type="dxa"/>
            <w:tcBorders>
              <w:top w:val="nil"/>
              <w:left w:val="nil"/>
              <w:bottom w:val="nil"/>
              <w:right w:val="nil"/>
            </w:tcBorders>
            <w:shd w:val="clear" w:color="auto" w:fill="auto"/>
            <w:tcMar>
              <w:top w:w="20" w:type="dxa"/>
              <w:left w:w="20" w:type="dxa"/>
              <w:bottom w:w="100" w:type="dxa"/>
              <w:right w:w="20" w:type="dxa"/>
            </w:tcMar>
            <w:vAlign w:val="center"/>
          </w:tcPr>
          <w:p w14:paraId="67C2D6A3"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76%</w:t>
            </w:r>
          </w:p>
        </w:tc>
        <w:tc>
          <w:tcPr>
            <w:tcW w:w="1316" w:type="dxa"/>
            <w:tcBorders>
              <w:top w:val="nil"/>
              <w:left w:val="nil"/>
              <w:bottom w:val="nil"/>
              <w:right w:val="nil"/>
            </w:tcBorders>
            <w:shd w:val="clear" w:color="auto" w:fill="auto"/>
            <w:tcMar>
              <w:top w:w="20" w:type="dxa"/>
              <w:left w:w="20" w:type="dxa"/>
              <w:bottom w:w="100" w:type="dxa"/>
              <w:right w:w="20" w:type="dxa"/>
            </w:tcMar>
            <w:vAlign w:val="center"/>
          </w:tcPr>
          <w:p w14:paraId="38B124F9"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75%</w:t>
            </w:r>
          </w:p>
        </w:tc>
        <w:tc>
          <w:tcPr>
            <w:tcW w:w="1316" w:type="dxa"/>
            <w:tcBorders>
              <w:top w:val="nil"/>
              <w:left w:val="nil"/>
              <w:bottom w:val="nil"/>
              <w:right w:val="nil"/>
            </w:tcBorders>
            <w:shd w:val="clear" w:color="auto" w:fill="auto"/>
            <w:tcMar>
              <w:top w:w="20" w:type="dxa"/>
              <w:left w:w="20" w:type="dxa"/>
              <w:bottom w:w="100" w:type="dxa"/>
              <w:right w:w="20" w:type="dxa"/>
            </w:tcMar>
            <w:vAlign w:val="center"/>
          </w:tcPr>
          <w:p w14:paraId="7EE444A9"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79%</w:t>
            </w:r>
          </w:p>
        </w:tc>
        <w:tc>
          <w:tcPr>
            <w:tcW w:w="1304" w:type="dxa"/>
            <w:tcBorders>
              <w:top w:val="nil"/>
              <w:left w:val="nil"/>
              <w:bottom w:val="nil"/>
              <w:right w:val="nil"/>
            </w:tcBorders>
            <w:shd w:val="clear" w:color="auto" w:fill="auto"/>
            <w:tcMar>
              <w:top w:w="20" w:type="dxa"/>
              <w:left w:w="20" w:type="dxa"/>
              <w:bottom w:w="100" w:type="dxa"/>
              <w:right w:w="20" w:type="dxa"/>
            </w:tcMar>
            <w:vAlign w:val="center"/>
          </w:tcPr>
          <w:p w14:paraId="162B104B"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78%</w:t>
            </w:r>
          </w:p>
        </w:tc>
        <w:tc>
          <w:tcPr>
            <w:tcW w:w="1304" w:type="dxa"/>
            <w:tcBorders>
              <w:top w:val="nil"/>
              <w:left w:val="nil"/>
              <w:bottom w:val="nil"/>
              <w:right w:val="nil"/>
            </w:tcBorders>
            <w:shd w:val="clear" w:color="auto" w:fill="auto"/>
            <w:tcMar>
              <w:top w:w="20" w:type="dxa"/>
              <w:left w:w="20" w:type="dxa"/>
              <w:bottom w:w="100" w:type="dxa"/>
              <w:right w:w="20" w:type="dxa"/>
            </w:tcMar>
            <w:vAlign w:val="center"/>
          </w:tcPr>
          <w:p w14:paraId="0D1CBB55"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77%</w:t>
            </w:r>
          </w:p>
        </w:tc>
      </w:tr>
      <w:tr w:rsidR="00455B7F" w14:paraId="7CEC6F53" w14:textId="77777777" w:rsidTr="001B7A54">
        <w:trPr>
          <w:trHeight w:val="552"/>
        </w:trPr>
        <w:tc>
          <w:tcPr>
            <w:tcW w:w="1760" w:type="dxa"/>
            <w:tcBorders>
              <w:top w:val="nil"/>
              <w:left w:val="nil"/>
              <w:bottom w:val="single" w:sz="6" w:space="0" w:color="000000"/>
              <w:right w:val="nil"/>
            </w:tcBorders>
            <w:shd w:val="clear" w:color="auto" w:fill="auto"/>
            <w:tcMar>
              <w:top w:w="20" w:type="dxa"/>
              <w:left w:w="20" w:type="dxa"/>
              <w:bottom w:w="100" w:type="dxa"/>
              <w:right w:w="20" w:type="dxa"/>
            </w:tcMar>
            <w:vAlign w:val="center"/>
          </w:tcPr>
          <w:p w14:paraId="3EE9AB00"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Oceania</w:t>
            </w:r>
          </w:p>
        </w:tc>
        <w:tc>
          <w:tcPr>
            <w:tcW w:w="1305" w:type="dxa"/>
            <w:tcBorders>
              <w:top w:val="nil"/>
              <w:left w:val="nil"/>
              <w:bottom w:val="single" w:sz="6" w:space="0" w:color="000000"/>
              <w:right w:val="nil"/>
            </w:tcBorders>
            <w:shd w:val="clear" w:color="auto" w:fill="auto"/>
            <w:tcMar>
              <w:top w:w="20" w:type="dxa"/>
              <w:left w:w="20" w:type="dxa"/>
              <w:bottom w:w="100" w:type="dxa"/>
              <w:right w:w="20" w:type="dxa"/>
            </w:tcMar>
            <w:vAlign w:val="center"/>
          </w:tcPr>
          <w:p w14:paraId="2551F89E"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33%</w:t>
            </w:r>
          </w:p>
        </w:tc>
        <w:tc>
          <w:tcPr>
            <w:tcW w:w="1316" w:type="dxa"/>
            <w:tcBorders>
              <w:top w:val="nil"/>
              <w:left w:val="nil"/>
              <w:bottom w:val="single" w:sz="6" w:space="0" w:color="000000"/>
              <w:right w:val="nil"/>
            </w:tcBorders>
            <w:shd w:val="clear" w:color="auto" w:fill="auto"/>
            <w:tcMar>
              <w:top w:w="20" w:type="dxa"/>
              <w:left w:w="20" w:type="dxa"/>
              <w:bottom w:w="100" w:type="dxa"/>
              <w:right w:w="20" w:type="dxa"/>
            </w:tcMar>
            <w:vAlign w:val="center"/>
          </w:tcPr>
          <w:p w14:paraId="54BB822A"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28%</w:t>
            </w:r>
          </w:p>
        </w:tc>
        <w:tc>
          <w:tcPr>
            <w:tcW w:w="1316" w:type="dxa"/>
            <w:tcBorders>
              <w:top w:val="nil"/>
              <w:left w:val="nil"/>
              <w:bottom w:val="single" w:sz="6" w:space="0" w:color="000000"/>
              <w:right w:val="nil"/>
            </w:tcBorders>
            <w:shd w:val="clear" w:color="auto" w:fill="auto"/>
            <w:tcMar>
              <w:top w:w="20" w:type="dxa"/>
              <w:left w:w="20" w:type="dxa"/>
              <w:bottom w:w="100" w:type="dxa"/>
              <w:right w:w="20" w:type="dxa"/>
            </w:tcMar>
            <w:vAlign w:val="center"/>
          </w:tcPr>
          <w:p w14:paraId="387D6B03"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37%</w:t>
            </w:r>
          </w:p>
        </w:tc>
        <w:tc>
          <w:tcPr>
            <w:tcW w:w="1304" w:type="dxa"/>
            <w:tcBorders>
              <w:top w:val="nil"/>
              <w:left w:val="nil"/>
              <w:bottom w:val="single" w:sz="6" w:space="0" w:color="000000"/>
              <w:right w:val="nil"/>
            </w:tcBorders>
            <w:shd w:val="clear" w:color="auto" w:fill="auto"/>
            <w:tcMar>
              <w:top w:w="20" w:type="dxa"/>
              <w:left w:w="20" w:type="dxa"/>
              <w:bottom w:w="100" w:type="dxa"/>
              <w:right w:w="20" w:type="dxa"/>
            </w:tcMar>
            <w:vAlign w:val="center"/>
          </w:tcPr>
          <w:p w14:paraId="3E7F1F31"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38%</w:t>
            </w:r>
          </w:p>
        </w:tc>
        <w:tc>
          <w:tcPr>
            <w:tcW w:w="1304" w:type="dxa"/>
            <w:tcBorders>
              <w:top w:val="nil"/>
              <w:left w:val="nil"/>
              <w:bottom w:val="single" w:sz="6" w:space="0" w:color="000000"/>
              <w:right w:val="nil"/>
            </w:tcBorders>
            <w:shd w:val="clear" w:color="auto" w:fill="auto"/>
            <w:tcMar>
              <w:top w:w="20" w:type="dxa"/>
              <w:left w:w="20" w:type="dxa"/>
              <w:bottom w:w="100" w:type="dxa"/>
              <w:right w:w="20" w:type="dxa"/>
            </w:tcMar>
            <w:vAlign w:val="center"/>
          </w:tcPr>
          <w:p w14:paraId="2DDC711F"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34%</w:t>
            </w:r>
          </w:p>
        </w:tc>
      </w:tr>
      <w:tr w:rsidR="00455B7F" w14:paraId="38104F25" w14:textId="77777777" w:rsidTr="001B7A54">
        <w:trPr>
          <w:trHeight w:val="552"/>
        </w:trPr>
        <w:tc>
          <w:tcPr>
            <w:tcW w:w="1760" w:type="dxa"/>
            <w:tcBorders>
              <w:top w:val="single" w:sz="6" w:space="0" w:color="000000"/>
              <w:left w:val="nil"/>
              <w:bottom w:val="nil"/>
              <w:right w:val="nil"/>
            </w:tcBorders>
            <w:shd w:val="clear" w:color="auto" w:fill="auto"/>
            <w:tcMar>
              <w:top w:w="20" w:type="dxa"/>
              <w:left w:w="20" w:type="dxa"/>
              <w:bottom w:w="100" w:type="dxa"/>
              <w:right w:w="20" w:type="dxa"/>
            </w:tcMar>
            <w:vAlign w:val="center"/>
          </w:tcPr>
          <w:p w14:paraId="1577C4C8"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Emerging</w:t>
            </w:r>
          </w:p>
        </w:tc>
        <w:tc>
          <w:tcPr>
            <w:tcW w:w="1305" w:type="dxa"/>
            <w:tcBorders>
              <w:top w:val="single" w:sz="6" w:space="0" w:color="000000"/>
              <w:left w:val="nil"/>
              <w:bottom w:val="nil"/>
              <w:right w:val="nil"/>
            </w:tcBorders>
            <w:shd w:val="clear" w:color="auto" w:fill="auto"/>
            <w:tcMar>
              <w:top w:w="20" w:type="dxa"/>
              <w:left w:w="20" w:type="dxa"/>
              <w:bottom w:w="100" w:type="dxa"/>
              <w:right w:w="20" w:type="dxa"/>
            </w:tcMar>
            <w:vAlign w:val="center"/>
          </w:tcPr>
          <w:p w14:paraId="2EC4E946"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87%</w:t>
            </w:r>
          </w:p>
        </w:tc>
        <w:tc>
          <w:tcPr>
            <w:tcW w:w="1316" w:type="dxa"/>
            <w:tcBorders>
              <w:top w:val="single" w:sz="6" w:space="0" w:color="000000"/>
              <w:left w:val="nil"/>
              <w:bottom w:val="nil"/>
              <w:right w:val="nil"/>
            </w:tcBorders>
            <w:shd w:val="clear" w:color="auto" w:fill="auto"/>
            <w:tcMar>
              <w:top w:w="20" w:type="dxa"/>
              <w:left w:w="20" w:type="dxa"/>
              <w:bottom w:w="100" w:type="dxa"/>
              <w:right w:w="20" w:type="dxa"/>
            </w:tcMar>
            <w:vAlign w:val="center"/>
          </w:tcPr>
          <w:p w14:paraId="5335FA3F"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83%</w:t>
            </w:r>
          </w:p>
        </w:tc>
        <w:tc>
          <w:tcPr>
            <w:tcW w:w="1316" w:type="dxa"/>
            <w:tcBorders>
              <w:top w:val="single" w:sz="6" w:space="0" w:color="000000"/>
              <w:left w:val="nil"/>
              <w:bottom w:val="nil"/>
              <w:right w:val="nil"/>
            </w:tcBorders>
            <w:shd w:val="clear" w:color="auto" w:fill="auto"/>
            <w:tcMar>
              <w:top w:w="20" w:type="dxa"/>
              <w:left w:w="20" w:type="dxa"/>
              <w:bottom w:w="100" w:type="dxa"/>
              <w:right w:w="20" w:type="dxa"/>
            </w:tcMar>
            <w:vAlign w:val="center"/>
          </w:tcPr>
          <w:p w14:paraId="58CE183B"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82%</w:t>
            </w:r>
          </w:p>
        </w:tc>
        <w:tc>
          <w:tcPr>
            <w:tcW w:w="1304" w:type="dxa"/>
            <w:tcBorders>
              <w:top w:val="single" w:sz="6" w:space="0" w:color="000000"/>
              <w:left w:val="nil"/>
              <w:bottom w:val="nil"/>
              <w:right w:val="nil"/>
            </w:tcBorders>
            <w:shd w:val="clear" w:color="auto" w:fill="auto"/>
            <w:tcMar>
              <w:top w:w="20" w:type="dxa"/>
              <w:left w:w="20" w:type="dxa"/>
              <w:bottom w:w="100" w:type="dxa"/>
              <w:right w:w="20" w:type="dxa"/>
            </w:tcMar>
            <w:vAlign w:val="center"/>
          </w:tcPr>
          <w:p w14:paraId="75846500"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80%</w:t>
            </w:r>
          </w:p>
        </w:tc>
        <w:tc>
          <w:tcPr>
            <w:tcW w:w="1304" w:type="dxa"/>
            <w:tcBorders>
              <w:top w:val="single" w:sz="6" w:space="0" w:color="000000"/>
              <w:left w:val="nil"/>
              <w:bottom w:val="nil"/>
              <w:right w:val="nil"/>
            </w:tcBorders>
            <w:shd w:val="clear" w:color="auto" w:fill="auto"/>
            <w:tcMar>
              <w:top w:w="20" w:type="dxa"/>
              <w:left w:w="20" w:type="dxa"/>
              <w:bottom w:w="100" w:type="dxa"/>
              <w:right w:w="20" w:type="dxa"/>
            </w:tcMar>
            <w:vAlign w:val="center"/>
          </w:tcPr>
          <w:p w14:paraId="73239B78"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83%</w:t>
            </w:r>
          </w:p>
        </w:tc>
      </w:tr>
      <w:tr w:rsidR="00455B7F" w14:paraId="08FD31D7" w14:textId="77777777" w:rsidTr="001B7A54">
        <w:trPr>
          <w:trHeight w:val="552"/>
        </w:trPr>
        <w:tc>
          <w:tcPr>
            <w:tcW w:w="1760" w:type="dxa"/>
            <w:tcBorders>
              <w:top w:val="nil"/>
              <w:left w:val="nil"/>
              <w:bottom w:val="nil"/>
              <w:right w:val="nil"/>
            </w:tcBorders>
            <w:shd w:val="clear" w:color="auto" w:fill="auto"/>
            <w:tcMar>
              <w:top w:w="20" w:type="dxa"/>
              <w:left w:w="20" w:type="dxa"/>
              <w:bottom w:w="100" w:type="dxa"/>
              <w:right w:w="20" w:type="dxa"/>
            </w:tcMar>
            <w:vAlign w:val="center"/>
          </w:tcPr>
          <w:p w14:paraId="64B8FE5A"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Rapidly growing</w:t>
            </w:r>
          </w:p>
        </w:tc>
        <w:tc>
          <w:tcPr>
            <w:tcW w:w="1305" w:type="dxa"/>
            <w:tcBorders>
              <w:top w:val="nil"/>
              <w:left w:val="nil"/>
              <w:bottom w:val="nil"/>
              <w:right w:val="nil"/>
            </w:tcBorders>
            <w:shd w:val="clear" w:color="auto" w:fill="auto"/>
            <w:tcMar>
              <w:top w:w="20" w:type="dxa"/>
              <w:left w:w="20" w:type="dxa"/>
              <w:bottom w:w="100" w:type="dxa"/>
              <w:right w:w="20" w:type="dxa"/>
            </w:tcMar>
            <w:vAlign w:val="center"/>
          </w:tcPr>
          <w:p w14:paraId="2802C094"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83%</w:t>
            </w:r>
          </w:p>
        </w:tc>
        <w:tc>
          <w:tcPr>
            <w:tcW w:w="1316" w:type="dxa"/>
            <w:tcBorders>
              <w:top w:val="nil"/>
              <w:left w:val="nil"/>
              <w:bottom w:val="nil"/>
              <w:right w:val="nil"/>
            </w:tcBorders>
            <w:shd w:val="clear" w:color="auto" w:fill="auto"/>
            <w:tcMar>
              <w:top w:w="20" w:type="dxa"/>
              <w:left w:w="20" w:type="dxa"/>
              <w:bottom w:w="100" w:type="dxa"/>
              <w:right w:w="20" w:type="dxa"/>
            </w:tcMar>
            <w:vAlign w:val="center"/>
          </w:tcPr>
          <w:p w14:paraId="0CA2A73D"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82%</w:t>
            </w:r>
          </w:p>
        </w:tc>
        <w:tc>
          <w:tcPr>
            <w:tcW w:w="1316" w:type="dxa"/>
            <w:tcBorders>
              <w:top w:val="nil"/>
              <w:left w:val="nil"/>
              <w:bottom w:val="nil"/>
              <w:right w:val="nil"/>
            </w:tcBorders>
            <w:shd w:val="clear" w:color="auto" w:fill="auto"/>
            <w:tcMar>
              <w:top w:w="20" w:type="dxa"/>
              <w:left w:w="20" w:type="dxa"/>
              <w:bottom w:w="100" w:type="dxa"/>
              <w:right w:w="20" w:type="dxa"/>
            </w:tcMar>
            <w:vAlign w:val="center"/>
          </w:tcPr>
          <w:p w14:paraId="56F68ED9"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71%</w:t>
            </w:r>
          </w:p>
        </w:tc>
        <w:tc>
          <w:tcPr>
            <w:tcW w:w="1304" w:type="dxa"/>
            <w:tcBorders>
              <w:top w:val="nil"/>
              <w:left w:val="nil"/>
              <w:bottom w:val="nil"/>
              <w:right w:val="nil"/>
            </w:tcBorders>
            <w:shd w:val="clear" w:color="auto" w:fill="auto"/>
            <w:tcMar>
              <w:top w:w="20" w:type="dxa"/>
              <w:left w:w="20" w:type="dxa"/>
              <w:bottom w:w="100" w:type="dxa"/>
              <w:right w:w="20" w:type="dxa"/>
            </w:tcMar>
            <w:vAlign w:val="center"/>
          </w:tcPr>
          <w:p w14:paraId="4BD303CE"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61%</w:t>
            </w:r>
          </w:p>
        </w:tc>
        <w:tc>
          <w:tcPr>
            <w:tcW w:w="1304" w:type="dxa"/>
            <w:tcBorders>
              <w:top w:val="nil"/>
              <w:left w:val="nil"/>
              <w:bottom w:val="nil"/>
              <w:right w:val="nil"/>
            </w:tcBorders>
            <w:shd w:val="clear" w:color="auto" w:fill="auto"/>
            <w:tcMar>
              <w:top w:w="20" w:type="dxa"/>
              <w:left w:w="20" w:type="dxa"/>
              <w:bottom w:w="100" w:type="dxa"/>
              <w:right w:w="20" w:type="dxa"/>
            </w:tcMar>
            <w:vAlign w:val="center"/>
          </w:tcPr>
          <w:p w14:paraId="7945E207"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74%</w:t>
            </w:r>
          </w:p>
        </w:tc>
      </w:tr>
      <w:tr w:rsidR="00455B7F" w14:paraId="0FC07D26" w14:textId="77777777" w:rsidTr="001B7A54">
        <w:trPr>
          <w:trHeight w:val="552"/>
        </w:trPr>
        <w:tc>
          <w:tcPr>
            <w:tcW w:w="1760" w:type="dxa"/>
            <w:tcBorders>
              <w:top w:val="nil"/>
              <w:left w:val="nil"/>
              <w:bottom w:val="nil"/>
              <w:right w:val="nil"/>
            </w:tcBorders>
            <w:shd w:val="clear" w:color="auto" w:fill="auto"/>
            <w:tcMar>
              <w:top w:w="20" w:type="dxa"/>
              <w:left w:w="20" w:type="dxa"/>
              <w:bottom w:w="100" w:type="dxa"/>
              <w:right w:w="20" w:type="dxa"/>
            </w:tcMar>
            <w:vAlign w:val="center"/>
          </w:tcPr>
          <w:p w14:paraId="746DABFE"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Established</w:t>
            </w:r>
          </w:p>
        </w:tc>
        <w:tc>
          <w:tcPr>
            <w:tcW w:w="1305" w:type="dxa"/>
            <w:tcBorders>
              <w:top w:val="nil"/>
              <w:left w:val="nil"/>
              <w:bottom w:val="nil"/>
              <w:right w:val="nil"/>
            </w:tcBorders>
            <w:shd w:val="clear" w:color="auto" w:fill="auto"/>
            <w:tcMar>
              <w:top w:w="20" w:type="dxa"/>
              <w:left w:w="20" w:type="dxa"/>
              <w:bottom w:w="100" w:type="dxa"/>
              <w:right w:w="20" w:type="dxa"/>
            </w:tcMar>
            <w:vAlign w:val="center"/>
          </w:tcPr>
          <w:p w14:paraId="2E6C1387"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73%</w:t>
            </w:r>
          </w:p>
        </w:tc>
        <w:tc>
          <w:tcPr>
            <w:tcW w:w="1316" w:type="dxa"/>
            <w:tcBorders>
              <w:top w:val="nil"/>
              <w:left w:val="nil"/>
              <w:bottom w:val="nil"/>
              <w:right w:val="nil"/>
            </w:tcBorders>
            <w:shd w:val="clear" w:color="auto" w:fill="auto"/>
            <w:tcMar>
              <w:top w:w="20" w:type="dxa"/>
              <w:left w:w="20" w:type="dxa"/>
              <w:bottom w:w="100" w:type="dxa"/>
              <w:right w:w="20" w:type="dxa"/>
            </w:tcMar>
            <w:vAlign w:val="center"/>
          </w:tcPr>
          <w:p w14:paraId="0335FD3C"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76%</w:t>
            </w:r>
          </w:p>
        </w:tc>
        <w:tc>
          <w:tcPr>
            <w:tcW w:w="1316" w:type="dxa"/>
            <w:tcBorders>
              <w:top w:val="nil"/>
              <w:left w:val="nil"/>
              <w:bottom w:val="nil"/>
              <w:right w:val="nil"/>
            </w:tcBorders>
            <w:shd w:val="clear" w:color="auto" w:fill="auto"/>
            <w:tcMar>
              <w:top w:w="20" w:type="dxa"/>
              <w:left w:w="20" w:type="dxa"/>
              <w:bottom w:w="100" w:type="dxa"/>
              <w:right w:w="20" w:type="dxa"/>
            </w:tcMar>
            <w:vAlign w:val="center"/>
          </w:tcPr>
          <w:p w14:paraId="49409C72"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53%</w:t>
            </w:r>
          </w:p>
        </w:tc>
        <w:tc>
          <w:tcPr>
            <w:tcW w:w="1304" w:type="dxa"/>
            <w:tcBorders>
              <w:top w:val="nil"/>
              <w:left w:val="nil"/>
              <w:bottom w:val="nil"/>
              <w:right w:val="nil"/>
            </w:tcBorders>
            <w:shd w:val="clear" w:color="auto" w:fill="auto"/>
            <w:tcMar>
              <w:top w:w="20" w:type="dxa"/>
              <w:left w:w="20" w:type="dxa"/>
              <w:bottom w:w="100" w:type="dxa"/>
              <w:right w:w="20" w:type="dxa"/>
            </w:tcMar>
            <w:vAlign w:val="center"/>
          </w:tcPr>
          <w:p w14:paraId="4EBE9D5A"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36%</w:t>
            </w:r>
          </w:p>
        </w:tc>
        <w:tc>
          <w:tcPr>
            <w:tcW w:w="1304" w:type="dxa"/>
            <w:tcBorders>
              <w:top w:val="nil"/>
              <w:left w:val="nil"/>
              <w:bottom w:val="nil"/>
              <w:right w:val="nil"/>
            </w:tcBorders>
            <w:shd w:val="clear" w:color="auto" w:fill="auto"/>
            <w:tcMar>
              <w:top w:w="20" w:type="dxa"/>
              <w:left w:w="20" w:type="dxa"/>
              <w:bottom w:w="100" w:type="dxa"/>
              <w:right w:w="20" w:type="dxa"/>
            </w:tcMar>
            <w:vAlign w:val="center"/>
          </w:tcPr>
          <w:p w14:paraId="01A771AC"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60%</w:t>
            </w:r>
          </w:p>
        </w:tc>
      </w:tr>
      <w:tr w:rsidR="00455B7F" w14:paraId="72FD367B" w14:textId="77777777" w:rsidTr="001B7A54">
        <w:trPr>
          <w:trHeight w:val="552"/>
        </w:trPr>
        <w:tc>
          <w:tcPr>
            <w:tcW w:w="1760" w:type="dxa"/>
            <w:tcBorders>
              <w:top w:val="nil"/>
              <w:left w:val="nil"/>
              <w:bottom w:val="single" w:sz="3" w:space="0" w:color="000000"/>
              <w:right w:val="nil"/>
            </w:tcBorders>
            <w:shd w:val="clear" w:color="auto" w:fill="auto"/>
            <w:tcMar>
              <w:top w:w="20" w:type="dxa"/>
              <w:left w:w="20" w:type="dxa"/>
              <w:bottom w:w="100" w:type="dxa"/>
              <w:right w:w="20" w:type="dxa"/>
            </w:tcMar>
            <w:vAlign w:val="center"/>
          </w:tcPr>
          <w:p w14:paraId="668DCDFB"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Large and Megacities</w:t>
            </w:r>
          </w:p>
        </w:tc>
        <w:tc>
          <w:tcPr>
            <w:tcW w:w="1305" w:type="dxa"/>
            <w:tcBorders>
              <w:top w:val="nil"/>
              <w:left w:val="nil"/>
              <w:bottom w:val="single" w:sz="3" w:space="0" w:color="000000"/>
              <w:right w:val="nil"/>
            </w:tcBorders>
            <w:shd w:val="clear" w:color="auto" w:fill="auto"/>
            <w:tcMar>
              <w:top w:w="20" w:type="dxa"/>
              <w:left w:w="20" w:type="dxa"/>
              <w:bottom w:w="100" w:type="dxa"/>
              <w:right w:w="20" w:type="dxa"/>
            </w:tcMar>
            <w:vAlign w:val="center"/>
          </w:tcPr>
          <w:p w14:paraId="6923FDD8"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62%</w:t>
            </w:r>
          </w:p>
        </w:tc>
        <w:tc>
          <w:tcPr>
            <w:tcW w:w="1316" w:type="dxa"/>
            <w:tcBorders>
              <w:top w:val="nil"/>
              <w:left w:val="nil"/>
              <w:bottom w:val="single" w:sz="3" w:space="0" w:color="000000"/>
              <w:right w:val="nil"/>
            </w:tcBorders>
            <w:shd w:val="clear" w:color="auto" w:fill="auto"/>
            <w:tcMar>
              <w:top w:w="20" w:type="dxa"/>
              <w:left w:w="20" w:type="dxa"/>
              <w:bottom w:w="100" w:type="dxa"/>
              <w:right w:w="20" w:type="dxa"/>
            </w:tcMar>
            <w:vAlign w:val="center"/>
          </w:tcPr>
          <w:p w14:paraId="24CE4008"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60%</w:t>
            </w:r>
          </w:p>
        </w:tc>
        <w:tc>
          <w:tcPr>
            <w:tcW w:w="1316" w:type="dxa"/>
            <w:tcBorders>
              <w:top w:val="nil"/>
              <w:left w:val="nil"/>
              <w:bottom w:val="single" w:sz="3" w:space="0" w:color="000000"/>
              <w:right w:val="nil"/>
            </w:tcBorders>
            <w:shd w:val="clear" w:color="auto" w:fill="auto"/>
            <w:tcMar>
              <w:top w:w="20" w:type="dxa"/>
              <w:left w:w="20" w:type="dxa"/>
              <w:bottom w:w="100" w:type="dxa"/>
              <w:right w:w="20" w:type="dxa"/>
            </w:tcMar>
            <w:vAlign w:val="center"/>
          </w:tcPr>
          <w:p w14:paraId="177B305A"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49%</w:t>
            </w:r>
          </w:p>
        </w:tc>
        <w:tc>
          <w:tcPr>
            <w:tcW w:w="1304" w:type="dxa"/>
            <w:tcBorders>
              <w:top w:val="nil"/>
              <w:left w:val="nil"/>
              <w:bottom w:val="single" w:sz="3" w:space="0" w:color="000000"/>
              <w:right w:val="nil"/>
            </w:tcBorders>
            <w:shd w:val="clear" w:color="auto" w:fill="auto"/>
            <w:tcMar>
              <w:top w:w="20" w:type="dxa"/>
              <w:left w:w="20" w:type="dxa"/>
              <w:bottom w:w="100" w:type="dxa"/>
              <w:right w:w="20" w:type="dxa"/>
            </w:tcMar>
            <w:vAlign w:val="center"/>
          </w:tcPr>
          <w:p w14:paraId="6BFA9E12"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41%</w:t>
            </w:r>
          </w:p>
        </w:tc>
        <w:tc>
          <w:tcPr>
            <w:tcW w:w="1304" w:type="dxa"/>
            <w:tcBorders>
              <w:top w:val="nil"/>
              <w:left w:val="nil"/>
              <w:bottom w:val="single" w:sz="3" w:space="0" w:color="000000"/>
              <w:right w:val="nil"/>
            </w:tcBorders>
            <w:shd w:val="clear" w:color="auto" w:fill="auto"/>
            <w:tcMar>
              <w:top w:w="20" w:type="dxa"/>
              <w:left w:w="20" w:type="dxa"/>
              <w:bottom w:w="100" w:type="dxa"/>
              <w:right w:w="20" w:type="dxa"/>
            </w:tcMar>
            <w:vAlign w:val="center"/>
          </w:tcPr>
          <w:p w14:paraId="088F0D48" w14:textId="77777777" w:rsidR="00455B7F" w:rsidRPr="001B7A54" w:rsidRDefault="00000000" w:rsidP="001B7A54">
            <w:pPr>
              <w:jc w:val="center"/>
              <w:rPr>
                <w:rFonts w:ascii="Times New Roman" w:eastAsia="Times New Roman" w:hAnsi="Times New Roman" w:cs="Times New Roman"/>
              </w:rPr>
            </w:pPr>
            <w:r w:rsidRPr="001B7A54">
              <w:rPr>
                <w:rFonts w:ascii="Times New Roman" w:eastAsia="Times New Roman" w:hAnsi="Times New Roman" w:cs="Times New Roman"/>
              </w:rPr>
              <w:t>53%</w:t>
            </w:r>
          </w:p>
        </w:tc>
      </w:tr>
    </w:tbl>
    <w:p w14:paraId="2C19BEA0" w14:textId="77777777" w:rsidR="001B7A54" w:rsidRDefault="001B7A54">
      <w:r>
        <w:br w:type="page"/>
      </w:r>
    </w:p>
    <w:p w14:paraId="6C751BC8" w14:textId="40CE3089" w:rsidR="001B7A54" w:rsidRPr="001B7A54" w:rsidRDefault="001B7A54" w:rsidP="001B7A54">
      <w:pPr>
        <w:pStyle w:val="2"/>
        <w:spacing w:before="120" w:after="120" w:line="360" w:lineRule="auto"/>
        <w:jc w:val="both"/>
        <w:rPr>
          <w:rFonts w:ascii="Times New Roman" w:hAnsi="Times New Roman" w:cs="Times New Roman"/>
          <w:color w:val="000000" w:themeColor="text1"/>
          <w:sz w:val="24"/>
          <w:szCs w:val="24"/>
        </w:rPr>
      </w:pPr>
      <w:bookmarkStart w:id="5" w:name="_Toc222537048"/>
      <w:r w:rsidRPr="001B7A54">
        <w:rPr>
          <w:rFonts w:ascii="Times New Roman" w:hAnsi="Times New Roman" w:cs="Times New Roman"/>
          <w:b/>
          <w:bCs/>
          <w:color w:val="000000" w:themeColor="text1"/>
          <w:sz w:val="24"/>
          <w:szCs w:val="24"/>
        </w:rPr>
        <w:lastRenderedPageBreak/>
        <w:t xml:space="preserve">Supplementary Table 2: Average rooftop PV self-sufficiency rates across different regions and topologies in Net Zero 2050. </w:t>
      </w:r>
      <w:r w:rsidRPr="001B7A54">
        <w:rPr>
          <w:rFonts w:ascii="Times New Roman" w:hAnsi="Times New Roman" w:cs="Times New Roman"/>
          <w:color w:val="000000" w:themeColor="text1"/>
          <w:sz w:val="24"/>
          <w:szCs w:val="24"/>
        </w:rPr>
        <w:t>All statistics represent weighted averages based on cities’ annual electricity demand. Following the Northern Hemisphere calendar, seasons are defined as: Spring (March–April–May), Summer (June–July–August), Autumn (September–October–November), and Winter (December–January–February). The city topologies (Development first, Urban planning first, Mitigation first, and Mega all-in) refer to a data-driven global classification based on structural characteristics such as demographic scale, socioeconomic capacity, and biophysical energy demand.</w:t>
      </w:r>
      <w:bookmarkEnd w:id="5"/>
    </w:p>
    <w:tbl>
      <w:tblPr>
        <w:tblStyle w:val="a5"/>
        <w:tblW w:w="8305" w:type="dxa"/>
        <w:jc w:val="center"/>
        <w:tblInd w:w="0" w:type="dxa"/>
        <w:tblBorders>
          <w:top w:val="nil"/>
          <w:left w:val="nil"/>
          <w:bottom w:val="nil"/>
          <w:right w:val="nil"/>
          <w:insideH w:val="nil"/>
          <w:insideV w:val="nil"/>
        </w:tblBorders>
        <w:tblLayout w:type="fixed"/>
        <w:tblLook w:val="0600" w:firstRow="0" w:lastRow="0" w:firstColumn="0" w:lastColumn="0" w:noHBand="1" w:noVBand="1"/>
      </w:tblPr>
      <w:tblGrid>
        <w:gridCol w:w="1760"/>
        <w:gridCol w:w="1305"/>
        <w:gridCol w:w="1316"/>
        <w:gridCol w:w="1316"/>
        <w:gridCol w:w="1304"/>
        <w:gridCol w:w="1304"/>
      </w:tblGrid>
      <w:tr w:rsidR="001B7A54" w:rsidRPr="001B7A54" w14:paraId="33554653" w14:textId="77777777" w:rsidTr="001B7A54">
        <w:trPr>
          <w:trHeight w:val="552"/>
          <w:jc w:val="center"/>
        </w:trPr>
        <w:tc>
          <w:tcPr>
            <w:tcW w:w="8305" w:type="dxa"/>
            <w:gridSpan w:val="6"/>
            <w:tcBorders>
              <w:top w:val="single" w:sz="3" w:space="0" w:color="000000"/>
              <w:left w:val="nil"/>
              <w:bottom w:val="nil"/>
              <w:right w:val="nil"/>
            </w:tcBorders>
            <w:shd w:val="clear" w:color="auto" w:fill="auto"/>
            <w:tcMar>
              <w:top w:w="20" w:type="dxa"/>
              <w:left w:w="20" w:type="dxa"/>
              <w:bottom w:w="100" w:type="dxa"/>
              <w:right w:w="20" w:type="dxa"/>
            </w:tcMar>
            <w:vAlign w:val="center"/>
          </w:tcPr>
          <w:p w14:paraId="1E97744C"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Self sufficiency rate in Net Zero 2050</w:t>
            </w:r>
          </w:p>
        </w:tc>
      </w:tr>
      <w:tr w:rsidR="001B7A54" w:rsidRPr="001B7A54" w14:paraId="695922AC" w14:textId="77777777" w:rsidTr="001B7A54">
        <w:trPr>
          <w:trHeight w:val="552"/>
          <w:jc w:val="center"/>
        </w:trPr>
        <w:tc>
          <w:tcPr>
            <w:tcW w:w="1760" w:type="dxa"/>
            <w:tcBorders>
              <w:top w:val="nil"/>
              <w:left w:val="nil"/>
              <w:bottom w:val="single" w:sz="3" w:space="0" w:color="000000"/>
              <w:right w:val="nil"/>
            </w:tcBorders>
            <w:shd w:val="clear" w:color="auto" w:fill="auto"/>
            <w:tcMar>
              <w:top w:w="20" w:type="dxa"/>
              <w:left w:w="20" w:type="dxa"/>
              <w:bottom w:w="100" w:type="dxa"/>
              <w:right w:w="20" w:type="dxa"/>
            </w:tcMar>
            <w:vAlign w:val="center"/>
          </w:tcPr>
          <w:p w14:paraId="6977B943"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Group</w:t>
            </w:r>
          </w:p>
        </w:tc>
        <w:tc>
          <w:tcPr>
            <w:tcW w:w="1305" w:type="dxa"/>
            <w:tcBorders>
              <w:top w:val="nil"/>
              <w:left w:val="nil"/>
              <w:bottom w:val="single" w:sz="3" w:space="0" w:color="000000"/>
              <w:right w:val="nil"/>
            </w:tcBorders>
            <w:shd w:val="clear" w:color="auto" w:fill="auto"/>
            <w:tcMar>
              <w:top w:w="20" w:type="dxa"/>
              <w:left w:w="20" w:type="dxa"/>
              <w:bottom w:w="100" w:type="dxa"/>
              <w:right w:w="20" w:type="dxa"/>
            </w:tcMar>
            <w:vAlign w:val="center"/>
          </w:tcPr>
          <w:p w14:paraId="310B3ABF"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Spring</w:t>
            </w:r>
          </w:p>
        </w:tc>
        <w:tc>
          <w:tcPr>
            <w:tcW w:w="1316" w:type="dxa"/>
            <w:tcBorders>
              <w:top w:val="nil"/>
              <w:left w:val="nil"/>
              <w:bottom w:val="single" w:sz="3" w:space="0" w:color="000000"/>
              <w:right w:val="nil"/>
            </w:tcBorders>
            <w:shd w:val="clear" w:color="auto" w:fill="auto"/>
            <w:tcMar>
              <w:top w:w="20" w:type="dxa"/>
              <w:left w:w="20" w:type="dxa"/>
              <w:bottom w:w="100" w:type="dxa"/>
              <w:right w:w="20" w:type="dxa"/>
            </w:tcMar>
            <w:vAlign w:val="center"/>
          </w:tcPr>
          <w:p w14:paraId="16D99173"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Summer</w:t>
            </w:r>
          </w:p>
        </w:tc>
        <w:tc>
          <w:tcPr>
            <w:tcW w:w="1316" w:type="dxa"/>
            <w:tcBorders>
              <w:top w:val="nil"/>
              <w:left w:val="nil"/>
              <w:bottom w:val="single" w:sz="3" w:space="0" w:color="000000"/>
              <w:right w:val="nil"/>
            </w:tcBorders>
            <w:shd w:val="clear" w:color="auto" w:fill="auto"/>
            <w:tcMar>
              <w:top w:w="20" w:type="dxa"/>
              <w:left w:w="20" w:type="dxa"/>
              <w:bottom w:w="100" w:type="dxa"/>
              <w:right w:w="20" w:type="dxa"/>
            </w:tcMar>
            <w:vAlign w:val="center"/>
          </w:tcPr>
          <w:p w14:paraId="33AD9702"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Autumn</w:t>
            </w:r>
          </w:p>
        </w:tc>
        <w:tc>
          <w:tcPr>
            <w:tcW w:w="1304" w:type="dxa"/>
            <w:tcBorders>
              <w:top w:val="nil"/>
              <w:left w:val="nil"/>
              <w:bottom w:val="single" w:sz="3" w:space="0" w:color="000000"/>
              <w:right w:val="nil"/>
            </w:tcBorders>
            <w:shd w:val="clear" w:color="auto" w:fill="auto"/>
            <w:tcMar>
              <w:top w:w="20" w:type="dxa"/>
              <w:left w:w="20" w:type="dxa"/>
              <w:bottom w:w="100" w:type="dxa"/>
              <w:right w:w="20" w:type="dxa"/>
            </w:tcMar>
            <w:vAlign w:val="center"/>
          </w:tcPr>
          <w:p w14:paraId="25870457"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Winter</w:t>
            </w:r>
          </w:p>
        </w:tc>
        <w:tc>
          <w:tcPr>
            <w:tcW w:w="1304" w:type="dxa"/>
            <w:tcBorders>
              <w:top w:val="nil"/>
              <w:left w:val="nil"/>
              <w:bottom w:val="single" w:sz="3" w:space="0" w:color="000000"/>
              <w:right w:val="nil"/>
            </w:tcBorders>
            <w:shd w:val="clear" w:color="auto" w:fill="auto"/>
            <w:tcMar>
              <w:top w:w="20" w:type="dxa"/>
              <w:left w:w="20" w:type="dxa"/>
              <w:bottom w:w="100" w:type="dxa"/>
              <w:right w:w="20" w:type="dxa"/>
            </w:tcMar>
            <w:vAlign w:val="center"/>
          </w:tcPr>
          <w:p w14:paraId="47BE4490"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Annual</w:t>
            </w:r>
          </w:p>
        </w:tc>
      </w:tr>
      <w:tr w:rsidR="001B7A54" w:rsidRPr="001B7A54" w14:paraId="5FB7BE11" w14:textId="77777777" w:rsidTr="001B7A54">
        <w:trPr>
          <w:trHeight w:val="552"/>
          <w:jc w:val="center"/>
        </w:trPr>
        <w:tc>
          <w:tcPr>
            <w:tcW w:w="1760" w:type="dxa"/>
            <w:tcBorders>
              <w:top w:val="single" w:sz="3" w:space="0" w:color="000000"/>
              <w:left w:val="nil"/>
              <w:bottom w:val="nil"/>
              <w:right w:val="nil"/>
            </w:tcBorders>
            <w:shd w:val="clear" w:color="auto" w:fill="auto"/>
            <w:tcMar>
              <w:top w:w="20" w:type="dxa"/>
              <w:left w:w="20" w:type="dxa"/>
              <w:bottom w:w="100" w:type="dxa"/>
              <w:right w:w="20" w:type="dxa"/>
            </w:tcMar>
            <w:vAlign w:val="center"/>
          </w:tcPr>
          <w:p w14:paraId="1B9422F0"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Global</w:t>
            </w:r>
          </w:p>
        </w:tc>
        <w:tc>
          <w:tcPr>
            <w:tcW w:w="1305" w:type="dxa"/>
            <w:tcBorders>
              <w:top w:val="single" w:sz="3" w:space="0" w:color="000000"/>
              <w:left w:val="nil"/>
              <w:bottom w:val="nil"/>
              <w:right w:val="nil"/>
            </w:tcBorders>
            <w:shd w:val="clear" w:color="auto" w:fill="auto"/>
            <w:tcMar>
              <w:top w:w="20" w:type="dxa"/>
              <w:left w:w="20" w:type="dxa"/>
              <w:bottom w:w="100" w:type="dxa"/>
              <w:right w:w="20" w:type="dxa"/>
            </w:tcMar>
            <w:vAlign w:val="center"/>
          </w:tcPr>
          <w:p w14:paraId="1D0D0DBB"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53%</w:t>
            </w:r>
          </w:p>
        </w:tc>
        <w:tc>
          <w:tcPr>
            <w:tcW w:w="1316" w:type="dxa"/>
            <w:tcBorders>
              <w:top w:val="single" w:sz="3" w:space="0" w:color="000000"/>
              <w:left w:val="nil"/>
              <w:bottom w:val="nil"/>
              <w:right w:val="nil"/>
            </w:tcBorders>
            <w:shd w:val="clear" w:color="auto" w:fill="auto"/>
            <w:tcMar>
              <w:top w:w="20" w:type="dxa"/>
              <w:left w:w="20" w:type="dxa"/>
              <w:bottom w:w="100" w:type="dxa"/>
              <w:right w:w="20" w:type="dxa"/>
            </w:tcMar>
            <w:vAlign w:val="center"/>
          </w:tcPr>
          <w:p w14:paraId="18D48FC9"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52%</w:t>
            </w:r>
          </w:p>
        </w:tc>
        <w:tc>
          <w:tcPr>
            <w:tcW w:w="1316" w:type="dxa"/>
            <w:tcBorders>
              <w:top w:val="single" w:sz="3" w:space="0" w:color="000000"/>
              <w:left w:val="nil"/>
              <w:bottom w:val="nil"/>
              <w:right w:val="nil"/>
            </w:tcBorders>
            <w:shd w:val="clear" w:color="auto" w:fill="auto"/>
            <w:tcMar>
              <w:top w:w="20" w:type="dxa"/>
              <w:left w:w="20" w:type="dxa"/>
              <w:bottom w:w="100" w:type="dxa"/>
              <w:right w:w="20" w:type="dxa"/>
            </w:tcMar>
            <w:vAlign w:val="center"/>
          </w:tcPr>
          <w:p w14:paraId="2D9CC51F"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42%</w:t>
            </w:r>
          </w:p>
        </w:tc>
        <w:tc>
          <w:tcPr>
            <w:tcW w:w="1304" w:type="dxa"/>
            <w:tcBorders>
              <w:top w:val="single" w:sz="3" w:space="0" w:color="000000"/>
              <w:left w:val="nil"/>
              <w:bottom w:val="nil"/>
              <w:right w:val="nil"/>
            </w:tcBorders>
            <w:shd w:val="clear" w:color="auto" w:fill="auto"/>
            <w:tcMar>
              <w:top w:w="20" w:type="dxa"/>
              <w:left w:w="20" w:type="dxa"/>
              <w:bottom w:w="100" w:type="dxa"/>
              <w:right w:w="20" w:type="dxa"/>
            </w:tcMar>
            <w:vAlign w:val="center"/>
          </w:tcPr>
          <w:p w14:paraId="72430B74"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33%</w:t>
            </w:r>
          </w:p>
        </w:tc>
        <w:tc>
          <w:tcPr>
            <w:tcW w:w="1304" w:type="dxa"/>
            <w:tcBorders>
              <w:top w:val="single" w:sz="3" w:space="0" w:color="000000"/>
              <w:left w:val="nil"/>
              <w:bottom w:val="nil"/>
              <w:right w:val="nil"/>
            </w:tcBorders>
            <w:shd w:val="clear" w:color="auto" w:fill="auto"/>
            <w:tcMar>
              <w:top w:w="20" w:type="dxa"/>
              <w:left w:w="20" w:type="dxa"/>
              <w:bottom w:w="100" w:type="dxa"/>
              <w:right w:w="20" w:type="dxa"/>
            </w:tcMar>
            <w:vAlign w:val="center"/>
          </w:tcPr>
          <w:p w14:paraId="111B4F23"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45%</w:t>
            </w:r>
          </w:p>
        </w:tc>
      </w:tr>
      <w:tr w:rsidR="001B7A54" w:rsidRPr="001B7A54" w14:paraId="29CF1BF9" w14:textId="77777777" w:rsidTr="001B7A54">
        <w:trPr>
          <w:trHeight w:val="552"/>
          <w:jc w:val="center"/>
        </w:trPr>
        <w:tc>
          <w:tcPr>
            <w:tcW w:w="1760" w:type="dxa"/>
            <w:tcBorders>
              <w:top w:val="nil"/>
              <w:left w:val="nil"/>
              <w:bottom w:val="nil"/>
              <w:right w:val="nil"/>
            </w:tcBorders>
            <w:shd w:val="clear" w:color="auto" w:fill="auto"/>
            <w:tcMar>
              <w:top w:w="20" w:type="dxa"/>
              <w:left w:w="20" w:type="dxa"/>
              <w:bottom w:w="100" w:type="dxa"/>
              <w:right w:w="20" w:type="dxa"/>
            </w:tcMar>
            <w:vAlign w:val="center"/>
          </w:tcPr>
          <w:p w14:paraId="27036F8A"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Africa</w:t>
            </w:r>
          </w:p>
        </w:tc>
        <w:tc>
          <w:tcPr>
            <w:tcW w:w="1305" w:type="dxa"/>
            <w:tcBorders>
              <w:top w:val="nil"/>
              <w:left w:val="nil"/>
              <w:bottom w:val="nil"/>
              <w:right w:val="nil"/>
            </w:tcBorders>
            <w:shd w:val="clear" w:color="auto" w:fill="auto"/>
            <w:tcMar>
              <w:top w:w="20" w:type="dxa"/>
              <w:left w:w="20" w:type="dxa"/>
              <w:bottom w:w="100" w:type="dxa"/>
              <w:right w:w="20" w:type="dxa"/>
            </w:tcMar>
            <w:vAlign w:val="center"/>
          </w:tcPr>
          <w:p w14:paraId="49DAC10C"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39%</w:t>
            </w:r>
          </w:p>
        </w:tc>
        <w:tc>
          <w:tcPr>
            <w:tcW w:w="1316" w:type="dxa"/>
            <w:tcBorders>
              <w:top w:val="nil"/>
              <w:left w:val="nil"/>
              <w:bottom w:val="nil"/>
              <w:right w:val="nil"/>
            </w:tcBorders>
            <w:shd w:val="clear" w:color="auto" w:fill="auto"/>
            <w:tcMar>
              <w:top w:w="20" w:type="dxa"/>
              <w:left w:w="20" w:type="dxa"/>
              <w:bottom w:w="100" w:type="dxa"/>
              <w:right w:w="20" w:type="dxa"/>
            </w:tcMar>
            <w:vAlign w:val="center"/>
          </w:tcPr>
          <w:p w14:paraId="682CC0E0"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35%</w:t>
            </w:r>
          </w:p>
        </w:tc>
        <w:tc>
          <w:tcPr>
            <w:tcW w:w="1316" w:type="dxa"/>
            <w:tcBorders>
              <w:top w:val="nil"/>
              <w:left w:val="nil"/>
              <w:bottom w:val="nil"/>
              <w:right w:val="nil"/>
            </w:tcBorders>
            <w:shd w:val="clear" w:color="auto" w:fill="auto"/>
            <w:tcMar>
              <w:top w:w="20" w:type="dxa"/>
              <w:left w:w="20" w:type="dxa"/>
              <w:bottom w:w="100" w:type="dxa"/>
              <w:right w:w="20" w:type="dxa"/>
            </w:tcMar>
            <w:vAlign w:val="center"/>
          </w:tcPr>
          <w:p w14:paraId="17F03136"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35%</w:t>
            </w:r>
          </w:p>
        </w:tc>
        <w:tc>
          <w:tcPr>
            <w:tcW w:w="1304" w:type="dxa"/>
            <w:tcBorders>
              <w:top w:val="nil"/>
              <w:left w:val="nil"/>
              <w:bottom w:val="nil"/>
              <w:right w:val="nil"/>
            </w:tcBorders>
            <w:shd w:val="clear" w:color="auto" w:fill="auto"/>
            <w:tcMar>
              <w:top w:w="20" w:type="dxa"/>
              <w:left w:w="20" w:type="dxa"/>
              <w:bottom w:w="100" w:type="dxa"/>
              <w:right w:w="20" w:type="dxa"/>
            </w:tcMar>
            <w:vAlign w:val="center"/>
          </w:tcPr>
          <w:p w14:paraId="749CA44E"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34%</w:t>
            </w:r>
          </w:p>
        </w:tc>
        <w:tc>
          <w:tcPr>
            <w:tcW w:w="1304" w:type="dxa"/>
            <w:tcBorders>
              <w:top w:val="nil"/>
              <w:left w:val="nil"/>
              <w:bottom w:val="nil"/>
              <w:right w:val="nil"/>
            </w:tcBorders>
            <w:shd w:val="clear" w:color="auto" w:fill="auto"/>
            <w:tcMar>
              <w:top w:w="20" w:type="dxa"/>
              <w:left w:w="20" w:type="dxa"/>
              <w:bottom w:w="100" w:type="dxa"/>
              <w:right w:w="20" w:type="dxa"/>
            </w:tcMar>
            <w:vAlign w:val="center"/>
          </w:tcPr>
          <w:p w14:paraId="38582D50"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36%</w:t>
            </w:r>
          </w:p>
        </w:tc>
      </w:tr>
      <w:tr w:rsidR="001B7A54" w:rsidRPr="001B7A54" w14:paraId="2BEDB6D0" w14:textId="77777777" w:rsidTr="001B7A54">
        <w:trPr>
          <w:trHeight w:val="552"/>
          <w:jc w:val="center"/>
        </w:trPr>
        <w:tc>
          <w:tcPr>
            <w:tcW w:w="1760" w:type="dxa"/>
            <w:tcBorders>
              <w:top w:val="nil"/>
              <w:left w:val="nil"/>
              <w:bottom w:val="nil"/>
              <w:right w:val="nil"/>
            </w:tcBorders>
            <w:shd w:val="clear" w:color="auto" w:fill="auto"/>
            <w:tcMar>
              <w:top w:w="20" w:type="dxa"/>
              <w:left w:w="20" w:type="dxa"/>
              <w:bottom w:w="100" w:type="dxa"/>
              <w:right w:w="20" w:type="dxa"/>
            </w:tcMar>
            <w:vAlign w:val="center"/>
          </w:tcPr>
          <w:p w14:paraId="0970E4FF"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Asia</w:t>
            </w:r>
          </w:p>
        </w:tc>
        <w:tc>
          <w:tcPr>
            <w:tcW w:w="1305" w:type="dxa"/>
            <w:tcBorders>
              <w:top w:val="nil"/>
              <w:left w:val="nil"/>
              <w:bottom w:val="nil"/>
              <w:right w:val="nil"/>
            </w:tcBorders>
            <w:shd w:val="clear" w:color="auto" w:fill="auto"/>
            <w:tcMar>
              <w:top w:w="20" w:type="dxa"/>
              <w:left w:w="20" w:type="dxa"/>
              <w:bottom w:w="100" w:type="dxa"/>
              <w:right w:w="20" w:type="dxa"/>
            </w:tcMar>
            <w:vAlign w:val="center"/>
          </w:tcPr>
          <w:p w14:paraId="4B0DAD54"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53%</w:t>
            </w:r>
          </w:p>
        </w:tc>
        <w:tc>
          <w:tcPr>
            <w:tcW w:w="1316" w:type="dxa"/>
            <w:tcBorders>
              <w:top w:val="nil"/>
              <w:left w:val="nil"/>
              <w:bottom w:val="nil"/>
              <w:right w:val="nil"/>
            </w:tcBorders>
            <w:shd w:val="clear" w:color="auto" w:fill="auto"/>
            <w:tcMar>
              <w:top w:w="20" w:type="dxa"/>
              <w:left w:w="20" w:type="dxa"/>
              <w:bottom w:w="100" w:type="dxa"/>
              <w:right w:w="20" w:type="dxa"/>
            </w:tcMar>
            <w:vAlign w:val="center"/>
          </w:tcPr>
          <w:p w14:paraId="66BF4D2D"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50%</w:t>
            </w:r>
          </w:p>
        </w:tc>
        <w:tc>
          <w:tcPr>
            <w:tcW w:w="1316" w:type="dxa"/>
            <w:tcBorders>
              <w:top w:val="nil"/>
              <w:left w:val="nil"/>
              <w:bottom w:val="nil"/>
              <w:right w:val="nil"/>
            </w:tcBorders>
            <w:shd w:val="clear" w:color="auto" w:fill="auto"/>
            <w:tcMar>
              <w:top w:w="20" w:type="dxa"/>
              <w:left w:w="20" w:type="dxa"/>
              <w:bottom w:w="100" w:type="dxa"/>
              <w:right w:w="20" w:type="dxa"/>
            </w:tcMar>
            <w:vAlign w:val="center"/>
          </w:tcPr>
          <w:p w14:paraId="54009322"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42%</w:t>
            </w:r>
          </w:p>
        </w:tc>
        <w:tc>
          <w:tcPr>
            <w:tcW w:w="1304" w:type="dxa"/>
            <w:tcBorders>
              <w:top w:val="nil"/>
              <w:left w:val="nil"/>
              <w:bottom w:val="nil"/>
              <w:right w:val="nil"/>
            </w:tcBorders>
            <w:shd w:val="clear" w:color="auto" w:fill="auto"/>
            <w:tcMar>
              <w:top w:w="20" w:type="dxa"/>
              <w:left w:w="20" w:type="dxa"/>
              <w:bottom w:w="100" w:type="dxa"/>
              <w:right w:w="20" w:type="dxa"/>
            </w:tcMar>
            <w:vAlign w:val="center"/>
          </w:tcPr>
          <w:p w14:paraId="35196CBF"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35%</w:t>
            </w:r>
          </w:p>
        </w:tc>
        <w:tc>
          <w:tcPr>
            <w:tcW w:w="1304" w:type="dxa"/>
            <w:tcBorders>
              <w:top w:val="nil"/>
              <w:left w:val="nil"/>
              <w:bottom w:val="nil"/>
              <w:right w:val="nil"/>
            </w:tcBorders>
            <w:shd w:val="clear" w:color="auto" w:fill="auto"/>
            <w:tcMar>
              <w:top w:w="20" w:type="dxa"/>
              <w:left w:w="20" w:type="dxa"/>
              <w:bottom w:w="100" w:type="dxa"/>
              <w:right w:w="20" w:type="dxa"/>
            </w:tcMar>
            <w:vAlign w:val="center"/>
          </w:tcPr>
          <w:p w14:paraId="2B6DBCB8"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45%</w:t>
            </w:r>
          </w:p>
        </w:tc>
      </w:tr>
      <w:tr w:rsidR="001B7A54" w:rsidRPr="001B7A54" w14:paraId="5A6671AF" w14:textId="77777777" w:rsidTr="001B7A54">
        <w:trPr>
          <w:trHeight w:val="552"/>
          <w:jc w:val="center"/>
        </w:trPr>
        <w:tc>
          <w:tcPr>
            <w:tcW w:w="1760" w:type="dxa"/>
            <w:tcBorders>
              <w:top w:val="nil"/>
              <w:left w:val="nil"/>
              <w:bottom w:val="nil"/>
              <w:right w:val="nil"/>
            </w:tcBorders>
            <w:shd w:val="clear" w:color="auto" w:fill="auto"/>
            <w:tcMar>
              <w:top w:w="20" w:type="dxa"/>
              <w:left w:w="20" w:type="dxa"/>
              <w:bottom w:w="100" w:type="dxa"/>
              <w:right w:w="20" w:type="dxa"/>
            </w:tcMar>
            <w:vAlign w:val="center"/>
          </w:tcPr>
          <w:p w14:paraId="598B067A"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Europe</w:t>
            </w:r>
          </w:p>
        </w:tc>
        <w:tc>
          <w:tcPr>
            <w:tcW w:w="1305" w:type="dxa"/>
            <w:tcBorders>
              <w:top w:val="nil"/>
              <w:left w:val="nil"/>
              <w:bottom w:val="nil"/>
              <w:right w:val="nil"/>
            </w:tcBorders>
            <w:shd w:val="clear" w:color="auto" w:fill="auto"/>
            <w:tcMar>
              <w:top w:w="20" w:type="dxa"/>
              <w:left w:w="20" w:type="dxa"/>
              <w:bottom w:w="100" w:type="dxa"/>
              <w:right w:w="20" w:type="dxa"/>
            </w:tcMar>
            <w:vAlign w:val="center"/>
          </w:tcPr>
          <w:p w14:paraId="45846A02"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65%</w:t>
            </w:r>
          </w:p>
        </w:tc>
        <w:tc>
          <w:tcPr>
            <w:tcW w:w="1316" w:type="dxa"/>
            <w:tcBorders>
              <w:top w:val="nil"/>
              <w:left w:val="nil"/>
              <w:bottom w:val="nil"/>
              <w:right w:val="nil"/>
            </w:tcBorders>
            <w:shd w:val="clear" w:color="auto" w:fill="auto"/>
            <w:tcMar>
              <w:top w:w="20" w:type="dxa"/>
              <w:left w:w="20" w:type="dxa"/>
              <w:bottom w:w="100" w:type="dxa"/>
              <w:right w:w="20" w:type="dxa"/>
            </w:tcMar>
            <w:vAlign w:val="center"/>
          </w:tcPr>
          <w:p w14:paraId="03E3B9F4"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81%</w:t>
            </w:r>
          </w:p>
        </w:tc>
        <w:tc>
          <w:tcPr>
            <w:tcW w:w="1316" w:type="dxa"/>
            <w:tcBorders>
              <w:top w:val="nil"/>
              <w:left w:val="nil"/>
              <w:bottom w:val="nil"/>
              <w:right w:val="nil"/>
            </w:tcBorders>
            <w:shd w:val="clear" w:color="auto" w:fill="auto"/>
            <w:tcMar>
              <w:top w:w="20" w:type="dxa"/>
              <w:left w:w="20" w:type="dxa"/>
              <w:bottom w:w="100" w:type="dxa"/>
              <w:right w:w="20" w:type="dxa"/>
            </w:tcMar>
            <w:vAlign w:val="center"/>
          </w:tcPr>
          <w:p w14:paraId="52617658"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39%</w:t>
            </w:r>
          </w:p>
        </w:tc>
        <w:tc>
          <w:tcPr>
            <w:tcW w:w="1304" w:type="dxa"/>
            <w:tcBorders>
              <w:top w:val="nil"/>
              <w:left w:val="nil"/>
              <w:bottom w:val="nil"/>
              <w:right w:val="nil"/>
            </w:tcBorders>
            <w:shd w:val="clear" w:color="auto" w:fill="auto"/>
            <w:tcMar>
              <w:top w:w="20" w:type="dxa"/>
              <w:left w:w="20" w:type="dxa"/>
              <w:bottom w:w="100" w:type="dxa"/>
              <w:right w:w="20" w:type="dxa"/>
            </w:tcMar>
            <w:vAlign w:val="center"/>
          </w:tcPr>
          <w:p w14:paraId="0005EA5C"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18%</w:t>
            </w:r>
          </w:p>
        </w:tc>
        <w:tc>
          <w:tcPr>
            <w:tcW w:w="1304" w:type="dxa"/>
            <w:tcBorders>
              <w:top w:val="nil"/>
              <w:left w:val="nil"/>
              <w:bottom w:val="nil"/>
              <w:right w:val="nil"/>
            </w:tcBorders>
            <w:shd w:val="clear" w:color="auto" w:fill="auto"/>
            <w:tcMar>
              <w:top w:w="20" w:type="dxa"/>
              <w:left w:w="20" w:type="dxa"/>
              <w:bottom w:w="100" w:type="dxa"/>
              <w:right w:w="20" w:type="dxa"/>
            </w:tcMar>
            <w:vAlign w:val="center"/>
          </w:tcPr>
          <w:p w14:paraId="7DFC7D78"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51%</w:t>
            </w:r>
          </w:p>
        </w:tc>
      </w:tr>
      <w:tr w:rsidR="001B7A54" w:rsidRPr="001B7A54" w14:paraId="4FF8717D" w14:textId="77777777" w:rsidTr="001B7A54">
        <w:trPr>
          <w:trHeight w:val="552"/>
          <w:jc w:val="center"/>
        </w:trPr>
        <w:tc>
          <w:tcPr>
            <w:tcW w:w="1760" w:type="dxa"/>
            <w:tcBorders>
              <w:top w:val="nil"/>
              <w:left w:val="nil"/>
              <w:bottom w:val="nil"/>
              <w:right w:val="nil"/>
            </w:tcBorders>
            <w:shd w:val="clear" w:color="auto" w:fill="auto"/>
            <w:tcMar>
              <w:top w:w="20" w:type="dxa"/>
              <w:left w:w="20" w:type="dxa"/>
              <w:bottom w:w="100" w:type="dxa"/>
              <w:right w:w="20" w:type="dxa"/>
            </w:tcMar>
            <w:vAlign w:val="center"/>
          </w:tcPr>
          <w:p w14:paraId="27242F67"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North America</w:t>
            </w:r>
          </w:p>
        </w:tc>
        <w:tc>
          <w:tcPr>
            <w:tcW w:w="1305" w:type="dxa"/>
            <w:tcBorders>
              <w:top w:val="nil"/>
              <w:left w:val="nil"/>
              <w:bottom w:val="nil"/>
              <w:right w:val="nil"/>
            </w:tcBorders>
            <w:shd w:val="clear" w:color="auto" w:fill="auto"/>
            <w:tcMar>
              <w:top w:w="20" w:type="dxa"/>
              <w:left w:w="20" w:type="dxa"/>
              <w:bottom w:w="100" w:type="dxa"/>
              <w:right w:w="20" w:type="dxa"/>
            </w:tcMar>
            <w:vAlign w:val="center"/>
          </w:tcPr>
          <w:p w14:paraId="323B3A51"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59%</w:t>
            </w:r>
          </w:p>
        </w:tc>
        <w:tc>
          <w:tcPr>
            <w:tcW w:w="1316" w:type="dxa"/>
            <w:tcBorders>
              <w:top w:val="nil"/>
              <w:left w:val="nil"/>
              <w:bottom w:val="nil"/>
              <w:right w:val="nil"/>
            </w:tcBorders>
            <w:shd w:val="clear" w:color="auto" w:fill="auto"/>
            <w:tcMar>
              <w:top w:w="20" w:type="dxa"/>
              <w:left w:w="20" w:type="dxa"/>
              <w:bottom w:w="100" w:type="dxa"/>
              <w:right w:w="20" w:type="dxa"/>
            </w:tcMar>
            <w:vAlign w:val="center"/>
          </w:tcPr>
          <w:p w14:paraId="2538FC3C"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60%</w:t>
            </w:r>
          </w:p>
        </w:tc>
        <w:tc>
          <w:tcPr>
            <w:tcW w:w="1316" w:type="dxa"/>
            <w:tcBorders>
              <w:top w:val="nil"/>
              <w:left w:val="nil"/>
              <w:bottom w:val="nil"/>
              <w:right w:val="nil"/>
            </w:tcBorders>
            <w:shd w:val="clear" w:color="auto" w:fill="auto"/>
            <w:tcMar>
              <w:top w:w="20" w:type="dxa"/>
              <w:left w:w="20" w:type="dxa"/>
              <w:bottom w:w="100" w:type="dxa"/>
              <w:right w:w="20" w:type="dxa"/>
            </w:tcMar>
            <w:vAlign w:val="center"/>
          </w:tcPr>
          <w:p w14:paraId="1631563A"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44%</w:t>
            </w:r>
          </w:p>
        </w:tc>
        <w:tc>
          <w:tcPr>
            <w:tcW w:w="1304" w:type="dxa"/>
            <w:tcBorders>
              <w:top w:val="nil"/>
              <w:left w:val="nil"/>
              <w:bottom w:val="nil"/>
              <w:right w:val="nil"/>
            </w:tcBorders>
            <w:shd w:val="clear" w:color="auto" w:fill="auto"/>
            <w:tcMar>
              <w:top w:w="20" w:type="dxa"/>
              <w:left w:w="20" w:type="dxa"/>
              <w:bottom w:w="100" w:type="dxa"/>
              <w:right w:w="20" w:type="dxa"/>
            </w:tcMar>
            <w:vAlign w:val="center"/>
          </w:tcPr>
          <w:p w14:paraId="7DC5AD08"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30%</w:t>
            </w:r>
          </w:p>
        </w:tc>
        <w:tc>
          <w:tcPr>
            <w:tcW w:w="1304" w:type="dxa"/>
            <w:tcBorders>
              <w:top w:val="nil"/>
              <w:left w:val="nil"/>
              <w:bottom w:val="nil"/>
              <w:right w:val="nil"/>
            </w:tcBorders>
            <w:shd w:val="clear" w:color="auto" w:fill="auto"/>
            <w:tcMar>
              <w:top w:w="20" w:type="dxa"/>
              <w:left w:w="20" w:type="dxa"/>
              <w:bottom w:w="100" w:type="dxa"/>
              <w:right w:w="20" w:type="dxa"/>
            </w:tcMar>
            <w:vAlign w:val="center"/>
          </w:tcPr>
          <w:p w14:paraId="238C146D"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49%</w:t>
            </w:r>
          </w:p>
        </w:tc>
      </w:tr>
      <w:tr w:rsidR="001B7A54" w:rsidRPr="001B7A54" w14:paraId="1D59A598" w14:textId="77777777" w:rsidTr="001B7A54">
        <w:trPr>
          <w:trHeight w:val="552"/>
          <w:jc w:val="center"/>
        </w:trPr>
        <w:tc>
          <w:tcPr>
            <w:tcW w:w="1760" w:type="dxa"/>
            <w:tcBorders>
              <w:top w:val="nil"/>
              <w:left w:val="nil"/>
              <w:bottom w:val="nil"/>
              <w:right w:val="nil"/>
            </w:tcBorders>
            <w:shd w:val="clear" w:color="auto" w:fill="auto"/>
            <w:tcMar>
              <w:top w:w="20" w:type="dxa"/>
              <w:left w:w="20" w:type="dxa"/>
              <w:bottom w:w="100" w:type="dxa"/>
              <w:right w:w="20" w:type="dxa"/>
            </w:tcMar>
            <w:vAlign w:val="center"/>
          </w:tcPr>
          <w:p w14:paraId="0926A4BA"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South America</w:t>
            </w:r>
          </w:p>
        </w:tc>
        <w:tc>
          <w:tcPr>
            <w:tcW w:w="1305" w:type="dxa"/>
            <w:tcBorders>
              <w:top w:val="nil"/>
              <w:left w:val="nil"/>
              <w:bottom w:val="nil"/>
              <w:right w:val="nil"/>
            </w:tcBorders>
            <w:shd w:val="clear" w:color="auto" w:fill="auto"/>
            <w:tcMar>
              <w:top w:w="20" w:type="dxa"/>
              <w:left w:w="20" w:type="dxa"/>
              <w:bottom w:w="100" w:type="dxa"/>
              <w:right w:w="20" w:type="dxa"/>
            </w:tcMar>
            <w:vAlign w:val="center"/>
          </w:tcPr>
          <w:p w14:paraId="2A8A1EA8"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48%</w:t>
            </w:r>
          </w:p>
        </w:tc>
        <w:tc>
          <w:tcPr>
            <w:tcW w:w="1316" w:type="dxa"/>
            <w:tcBorders>
              <w:top w:val="nil"/>
              <w:left w:val="nil"/>
              <w:bottom w:val="nil"/>
              <w:right w:val="nil"/>
            </w:tcBorders>
            <w:shd w:val="clear" w:color="auto" w:fill="auto"/>
            <w:tcMar>
              <w:top w:w="20" w:type="dxa"/>
              <w:left w:w="20" w:type="dxa"/>
              <w:bottom w:w="100" w:type="dxa"/>
              <w:right w:w="20" w:type="dxa"/>
            </w:tcMar>
            <w:vAlign w:val="center"/>
          </w:tcPr>
          <w:p w14:paraId="0FC6D785"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47%</w:t>
            </w:r>
          </w:p>
        </w:tc>
        <w:tc>
          <w:tcPr>
            <w:tcW w:w="1316" w:type="dxa"/>
            <w:tcBorders>
              <w:top w:val="nil"/>
              <w:left w:val="nil"/>
              <w:bottom w:val="nil"/>
              <w:right w:val="nil"/>
            </w:tcBorders>
            <w:shd w:val="clear" w:color="auto" w:fill="auto"/>
            <w:tcMar>
              <w:top w:w="20" w:type="dxa"/>
              <w:left w:w="20" w:type="dxa"/>
              <w:bottom w:w="100" w:type="dxa"/>
              <w:right w:w="20" w:type="dxa"/>
            </w:tcMar>
            <w:vAlign w:val="center"/>
          </w:tcPr>
          <w:p w14:paraId="5A46BD8A"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54%</w:t>
            </w:r>
          </w:p>
        </w:tc>
        <w:tc>
          <w:tcPr>
            <w:tcW w:w="1304" w:type="dxa"/>
            <w:tcBorders>
              <w:top w:val="nil"/>
              <w:left w:val="nil"/>
              <w:bottom w:val="nil"/>
              <w:right w:val="nil"/>
            </w:tcBorders>
            <w:shd w:val="clear" w:color="auto" w:fill="auto"/>
            <w:tcMar>
              <w:top w:w="20" w:type="dxa"/>
              <w:left w:w="20" w:type="dxa"/>
              <w:bottom w:w="100" w:type="dxa"/>
              <w:right w:w="20" w:type="dxa"/>
            </w:tcMar>
            <w:vAlign w:val="center"/>
          </w:tcPr>
          <w:p w14:paraId="66E2481F"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55%</w:t>
            </w:r>
          </w:p>
        </w:tc>
        <w:tc>
          <w:tcPr>
            <w:tcW w:w="1304" w:type="dxa"/>
            <w:tcBorders>
              <w:top w:val="nil"/>
              <w:left w:val="nil"/>
              <w:bottom w:val="nil"/>
              <w:right w:val="nil"/>
            </w:tcBorders>
            <w:shd w:val="clear" w:color="auto" w:fill="auto"/>
            <w:tcMar>
              <w:top w:w="20" w:type="dxa"/>
              <w:left w:w="20" w:type="dxa"/>
              <w:bottom w:w="100" w:type="dxa"/>
              <w:right w:w="20" w:type="dxa"/>
            </w:tcMar>
            <w:vAlign w:val="center"/>
          </w:tcPr>
          <w:p w14:paraId="11F5CA2C"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51%</w:t>
            </w:r>
          </w:p>
        </w:tc>
      </w:tr>
      <w:tr w:rsidR="001B7A54" w:rsidRPr="001B7A54" w14:paraId="4667C508" w14:textId="77777777" w:rsidTr="001B7A54">
        <w:trPr>
          <w:trHeight w:val="552"/>
          <w:jc w:val="center"/>
        </w:trPr>
        <w:tc>
          <w:tcPr>
            <w:tcW w:w="1760" w:type="dxa"/>
            <w:tcBorders>
              <w:top w:val="nil"/>
              <w:left w:val="nil"/>
              <w:bottom w:val="single" w:sz="6" w:space="0" w:color="000000"/>
              <w:right w:val="nil"/>
            </w:tcBorders>
            <w:shd w:val="clear" w:color="auto" w:fill="auto"/>
            <w:tcMar>
              <w:top w:w="20" w:type="dxa"/>
              <w:left w:w="20" w:type="dxa"/>
              <w:bottom w:w="100" w:type="dxa"/>
              <w:right w:w="20" w:type="dxa"/>
            </w:tcMar>
            <w:vAlign w:val="center"/>
          </w:tcPr>
          <w:p w14:paraId="1332871F"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Oceania</w:t>
            </w:r>
          </w:p>
        </w:tc>
        <w:tc>
          <w:tcPr>
            <w:tcW w:w="1305" w:type="dxa"/>
            <w:tcBorders>
              <w:top w:val="nil"/>
              <w:left w:val="nil"/>
              <w:bottom w:val="single" w:sz="6" w:space="0" w:color="000000"/>
              <w:right w:val="nil"/>
            </w:tcBorders>
            <w:shd w:val="clear" w:color="auto" w:fill="auto"/>
            <w:tcMar>
              <w:top w:w="20" w:type="dxa"/>
              <w:left w:w="20" w:type="dxa"/>
              <w:bottom w:w="100" w:type="dxa"/>
              <w:right w:w="20" w:type="dxa"/>
            </w:tcMar>
            <w:vAlign w:val="center"/>
          </w:tcPr>
          <w:p w14:paraId="14766E01"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31%</w:t>
            </w:r>
          </w:p>
        </w:tc>
        <w:tc>
          <w:tcPr>
            <w:tcW w:w="1316" w:type="dxa"/>
            <w:tcBorders>
              <w:top w:val="nil"/>
              <w:left w:val="nil"/>
              <w:bottom w:val="single" w:sz="6" w:space="0" w:color="000000"/>
              <w:right w:val="nil"/>
            </w:tcBorders>
            <w:shd w:val="clear" w:color="auto" w:fill="auto"/>
            <w:tcMar>
              <w:top w:w="20" w:type="dxa"/>
              <w:left w:w="20" w:type="dxa"/>
              <w:bottom w:w="100" w:type="dxa"/>
              <w:right w:w="20" w:type="dxa"/>
            </w:tcMar>
            <w:vAlign w:val="center"/>
          </w:tcPr>
          <w:p w14:paraId="1E66E99E"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25%</w:t>
            </w:r>
          </w:p>
        </w:tc>
        <w:tc>
          <w:tcPr>
            <w:tcW w:w="1316" w:type="dxa"/>
            <w:tcBorders>
              <w:top w:val="nil"/>
              <w:left w:val="nil"/>
              <w:bottom w:val="single" w:sz="6" w:space="0" w:color="000000"/>
              <w:right w:val="nil"/>
            </w:tcBorders>
            <w:shd w:val="clear" w:color="auto" w:fill="auto"/>
            <w:tcMar>
              <w:top w:w="20" w:type="dxa"/>
              <w:left w:w="20" w:type="dxa"/>
              <w:bottom w:w="100" w:type="dxa"/>
              <w:right w:w="20" w:type="dxa"/>
            </w:tcMar>
            <w:vAlign w:val="center"/>
          </w:tcPr>
          <w:p w14:paraId="6D1D1049"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36%</w:t>
            </w:r>
          </w:p>
        </w:tc>
        <w:tc>
          <w:tcPr>
            <w:tcW w:w="1304" w:type="dxa"/>
            <w:tcBorders>
              <w:top w:val="nil"/>
              <w:left w:val="nil"/>
              <w:bottom w:val="single" w:sz="6" w:space="0" w:color="000000"/>
              <w:right w:val="nil"/>
            </w:tcBorders>
            <w:shd w:val="clear" w:color="auto" w:fill="auto"/>
            <w:tcMar>
              <w:top w:w="20" w:type="dxa"/>
              <w:left w:w="20" w:type="dxa"/>
              <w:bottom w:w="100" w:type="dxa"/>
              <w:right w:w="20" w:type="dxa"/>
            </w:tcMar>
            <w:vAlign w:val="center"/>
          </w:tcPr>
          <w:p w14:paraId="0F06C213"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38%</w:t>
            </w:r>
          </w:p>
        </w:tc>
        <w:tc>
          <w:tcPr>
            <w:tcW w:w="1304" w:type="dxa"/>
            <w:tcBorders>
              <w:top w:val="nil"/>
              <w:left w:val="nil"/>
              <w:bottom w:val="single" w:sz="6" w:space="0" w:color="000000"/>
              <w:right w:val="nil"/>
            </w:tcBorders>
            <w:shd w:val="clear" w:color="auto" w:fill="auto"/>
            <w:tcMar>
              <w:top w:w="20" w:type="dxa"/>
              <w:left w:w="20" w:type="dxa"/>
              <w:bottom w:w="100" w:type="dxa"/>
              <w:right w:w="20" w:type="dxa"/>
            </w:tcMar>
            <w:vAlign w:val="center"/>
          </w:tcPr>
          <w:p w14:paraId="115008A1"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32%</w:t>
            </w:r>
          </w:p>
        </w:tc>
      </w:tr>
      <w:tr w:rsidR="001B7A54" w:rsidRPr="001B7A54" w14:paraId="285C8D5D" w14:textId="77777777" w:rsidTr="001B7A54">
        <w:trPr>
          <w:trHeight w:val="552"/>
          <w:jc w:val="center"/>
        </w:trPr>
        <w:tc>
          <w:tcPr>
            <w:tcW w:w="1760" w:type="dxa"/>
            <w:tcBorders>
              <w:top w:val="single" w:sz="6" w:space="0" w:color="000000"/>
              <w:left w:val="nil"/>
              <w:bottom w:val="nil"/>
              <w:right w:val="nil"/>
            </w:tcBorders>
            <w:shd w:val="clear" w:color="auto" w:fill="auto"/>
            <w:tcMar>
              <w:top w:w="20" w:type="dxa"/>
              <w:left w:w="20" w:type="dxa"/>
              <w:bottom w:w="100" w:type="dxa"/>
              <w:right w:w="20" w:type="dxa"/>
            </w:tcMar>
            <w:vAlign w:val="center"/>
          </w:tcPr>
          <w:p w14:paraId="15FE94C2"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Emerging</w:t>
            </w:r>
          </w:p>
        </w:tc>
        <w:tc>
          <w:tcPr>
            <w:tcW w:w="1305" w:type="dxa"/>
            <w:tcBorders>
              <w:top w:val="single" w:sz="6" w:space="0" w:color="000000"/>
              <w:left w:val="nil"/>
              <w:bottom w:val="nil"/>
              <w:right w:val="nil"/>
            </w:tcBorders>
            <w:shd w:val="clear" w:color="auto" w:fill="auto"/>
            <w:tcMar>
              <w:top w:w="20" w:type="dxa"/>
              <w:left w:w="20" w:type="dxa"/>
              <w:bottom w:w="100" w:type="dxa"/>
              <w:right w:w="20" w:type="dxa"/>
            </w:tcMar>
            <w:vAlign w:val="center"/>
          </w:tcPr>
          <w:p w14:paraId="629D8993"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49%</w:t>
            </w:r>
          </w:p>
        </w:tc>
        <w:tc>
          <w:tcPr>
            <w:tcW w:w="1316" w:type="dxa"/>
            <w:tcBorders>
              <w:top w:val="single" w:sz="6" w:space="0" w:color="000000"/>
              <w:left w:val="nil"/>
              <w:bottom w:val="nil"/>
              <w:right w:val="nil"/>
            </w:tcBorders>
            <w:shd w:val="clear" w:color="auto" w:fill="auto"/>
            <w:tcMar>
              <w:top w:w="20" w:type="dxa"/>
              <w:left w:w="20" w:type="dxa"/>
              <w:bottom w:w="100" w:type="dxa"/>
              <w:right w:w="20" w:type="dxa"/>
            </w:tcMar>
            <w:vAlign w:val="center"/>
          </w:tcPr>
          <w:p w14:paraId="50B3C7F5"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43%</w:t>
            </w:r>
          </w:p>
        </w:tc>
        <w:tc>
          <w:tcPr>
            <w:tcW w:w="1316" w:type="dxa"/>
            <w:tcBorders>
              <w:top w:val="single" w:sz="6" w:space="0" w:color="000000"/>
              <w:left w:val="nil"/>
              <w:bottom w:val="nil"/>
              <w:right w:val="nil"/>
            </w:tcBorders>
            <w:shd w:val="clear" w:color="auto" w:fill="auto"/>
            <w:tcMar>
              <w:top w:w="20" w:type="dxa"/>
              <w:left w:w="20" w:type="dxa"/>
              <w:bottom w:w="100" w:type="dxa"/>
              <w:right w:w="20" w:type="dxa"/>
            </w:tcMar>
            <w:vAlign w:val="center"/>
          </w:tcPr>
          <w:p w14:paraId="1C0AF000"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42%</w:t>
            </w:r>
          </w:p>
        </w:tc>
        <w:tc>
          <w:tcPr>
            <w:tcW w:w="1304" w:type="dxa"/>
            <w:tcBorders>
              <w:top w:val="single" w:sz="6" w:space="0" w:color="000000"/>
              <w:left w:val="nil"/>
              <w:bottom w:val="nil"/>
              <w:right w:val="nil"/>
            </w:tcBorders>
            <w:shd w:val="clear" w:color="auto" w:fill="auto"/>
            <w:tcMar>
              <w:top w:w="20" w:type="dxa"/>
              <w:left w:w="20" w:type="dxa"/>
              <w:bottom w:w="100" w:type="dxa"/>
              <w:right w:w="20" w:type="dxa"/>
            </w:tcMar>
            <w:vAlign w:val="center"/>
          </w:tcPr>
          <w:p w14:paraId="6AA5FC5A"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40%</w:t>
            </w:r>
          </w:p>
        </w:tc>
        <w:tc>
          <w:tcPr>
            <w:tcW w:w="1304" w:type="dxa"/>
            <w:tcBorders>
              <w:top w:val="single" w:sz="6" w:space="0" w:color="000000"/>
              <w:left w:val="nil"/>
              <w:bottom w:val="nil"/>
              <w:right w:val="nil"/>
            </w:tcBorders>
            <w:shd w:val="clear" w:color="auto" w:fill="auto"/>
            <w:tcMar>
              <w:top w:w="20" w:type="dxa"/>
              <w:left w:w="20" w:type="dxa"/>
              <w:bottom w:w="100" w:type="dxa"/>
              <w:right w:w="20" w:type="dxa"/>
            </w:tcMar>
            <w:vAlign w:val="center"/>
          </w:tcPr>
          <w:p w14:paraId="7CCEE60D"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43%</w:t>
            </w:r>
          </w:p>
        </w:tc>
      </w:tr>
      <w:tr w:rsidR="001B7A54" w:rsidRPr="001B7A54" w14:paraId="3974114F" w14:textId="77777777" w:rsidTr="001B7A54">
        <w:trPr>
          <w:trHeight w:val="552"/>
          <w:jc w:val="center"/>
        </w:trPr>
        <w:tc>
          <w:tcPr>
            <w:tcW w:w="1760" w:type="dxa"/>
            <w:tcBorders>
              <w:top w:val="nil"/>
              <w:left w:val="nil"/>
              <w:bottom w:val="nil"/>
              <w:right w:val="nil"/>
            </w:tcBorders>
            <w:shd w:val="clear" w:color="auto" w:fill="auto"/>
            <w:tcMar>
              <w:top w:w="20" w:type="dxa"/>
              <w:left w:w="20" w:type="dxa"/>
              <w:bottom w:w="100" w:type="dxa"/>
              <w:right w:w="20" w:type="dxa"/>
            </w:tcMar>
            <w:vAlign w:val="center"/>
          </w:tcPr>
          <w:p w14:paraId="01A80061"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Rapidly growing</w:t>
            </w:r>
          </w:p>
        </w:tc>
        <w:tc>
          <w:tcPr>
            <w:tcW w:w="1305" w:type="dxa"/>
            <w:tcBorders>
              <w:top w:val="nil"/>
              <w:left w:val="nil"/>
              <w:bottom w:val="nil"/>
              <w:right w:val="nil"/>
            </w:tcBorders>
            <w:shd w:val="clear" w:color="auto" w:fill="auto"/>
            <w:tcMar>
              <w:top w:w="20" w:type="dxa"/>
              <w:left w:w="20" w:type="dxa"/>
              <w:bottom w:w="100" w:type="dxa"/>
              <w:right w:w="20" w:type="dxa"/>
            </w:tcMar>
            <w:vAlign w:val="center"/>
          </w:tcPr>
          <w:p w14:paraId="252349AE"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64%</w:t>
            </w:r>
          </w:p>
        </w:tc>
        <w:tc>
          <w:tcPr>
            <w:tcW w:w="1316" w:type="dxa"/>
            <w:tcBorders>
              <w:top w:val="nil"/>
              <w:left w:val="nil"/>
              <w:bottom w:val="nil"/>
              <w:right w:val="nil"/>
            </w:tcBorders>
            <w:shd w:val="clear" w:color="auto" w:fill="auto"/>
            <w:tcMar>
              <w:top w:w="20" w:type="dxa"/>
              <w:left w:w="20" w:type="dxa"/>
              <w:bottom w:w="100" w:type="dxa"/>
              <w:right w:w="20" w:type="dxa"/>
            </w:tcMar>
            <w:vAlign w:val="center"/>
          </w:tcPr>
          <w:p w14:paraId="55CE53C7"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63%</w:t>
            </w:r>
          </w:p>
        </w:tc>
        <w:tc>
          <w:tcPr>
            <w:tcW w:w="1316" w:type="dxa"/>
            <w:tcBorders>
              <w:top w:val="nil"/>
              <w:left w:val="nil"/>
              <w:bottom w:val="nil"/>
              <w:right w:val="nil"/>
            </w:tcBorders>
            <w:shd w:val="clear" w:color="auto" w:fill="auto"/>
            <w:tcMar>
              <w:top w:w="20" w:type="dxa"/>
              <w:left w:w="20" w:type="dxa"/>
              <w:bottom w:w="100" w:type="dxa"/>
              <w:right w:w="20" w:type="dxa"/>
            </w:tcMar>
            <w:vAlign w:val="center"/>
          </w:tcPr>
          <w:p w14:paraId="6770EE24"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52%</w:t>
            </w:r>
          </w:p>
        </w:tc>
        <w:tc>
          <w:tcPr>
            <w:tcW w:w="1304" w:type="dxa"/>
            <w:tcBorders>
              <w:top w:val="nil"/>
              <w:left w:val="nil"/>
              <w:bottom w:val="nil"/>
              <w:right w:val="nil"/>
            </w:tcBorders>
            <w:shd w:val="clear" w:color="auto" w:fill="auto"/>
            <w:tcMar>
              <w:top w:w="20" w:type="dxa"/>
              <w:left w:w="20" w:type="dxa"/>
              <w:bottom w:w="100" w:type="dxa"/>
              <w:right w:w="20" w:type="dxa"/>
            </w:tcMar>
            <w:vAlign w:val="center"/>
          </w:tcPr>
          <w:p w14:paraId="726CD270"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43%</w:t>
            </w:r>
          </w:p>
        </w:tc>
        <w:tc>
          <w:tcPr>
            <w:tcW w:w="1304" w:type="dxa"/>
            <w:tcBorders>
              <w:top w:val="nil"/>
              <w:left w:val="nil"/>
              <w:bottom w:val="nil"/>
              <w:right w:val="nil"/>
            </w:tcBorders>
            <w:shd w:val="clear" w:color="auto" w:fill="auto"/>
            <w:tcMar>
              <w:top w:w="20" w:type="dxa"/>
              <w:left w:w="20" w:type="dxa"/>
              <w:bottom w:w="100" w:type="dxa"/>
              <w:right w:w="20" w:type="dxa"/>
            </w:tcMar>
            <w:vAlign w:val="center"/>
          </w:tcPr>
          <w:p w14:paraId="53D1FA16"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55%</w:t>
            </w:r>
          </w:p>
        </w:tc>
      </w:tr>
      <w:tr w:rsidR="001B7A54" w:rsidRPr="001B7A54" w14:paraId="123FE6BD" w14:textId="77777777" w:rsidTr="001B7A54">
        <w:trPr>
          <w:trHeight w:val="552"/>
          <w:jc w:val="center"/>
        </w:trPr>
        <w:tc>
          <w:tcPr>
            <w:tcW w:w="1760" w:type="dxa"/>
            <w:tcBorders>
              <w:top w:val="nil"/>
              <w:left w:val="nil"/>
              <w:bottom w:val="nil"/>
              <w:right w:val="nil"/>
            </w:tcBorders>
            <w:shd w:val="clear" w:color="auto" w:fill="auto"/>
            <w:tcMar>
              <w:top w:w="20" w:type="dxa"/>
              <w:left w:w="20" w:type="dxa"/>
              <w:bottom w:w="100" w:type="dxa"/>
              <w:right w:w="20" w:type="dxa"/>
            </w:tcMar>
            <w:vAlign w:val="center"/>
          </w:tcPr>
          <w:p w14:paraId="34C8CC15"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Established</w:t>
            </w:r>
          </w:p>
        </w:tc>
        <w:tc>
          <w:tcPr>
            <w:tcW w:w="1305" w:type="dxa"/>
            <w:tcBorders>
              <w:top w:val="nil"/>
              <w:left w:val="nil"/>
              <w:bottom w:val="nil"/>
              <w:right w:val="nil"/>
            </w:tcBorders>
            <w:shd w:val="clear" w:color="auto" w:fill="auto"/>
            <w:tcMar>
              <w:top w:w="20" w:type="dxa"/>
              <w:left w:w="20" w:type="dxa"/>
              <w:bottom w:w="100" w:type="dxa"/>
              <w:right w:w="20" w:type="dxa"/>
            </w:tcMar>
            <w:vAlign w:val="center"/>
          </w:tcPr>
          <w:p w14:paraId="164A06F1"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61%</w:t>
            </w:r>
          </w:p>
        </w:tc>
        <w:tc>
          <w:tcPr>
            <w:tcW w:w="1316" w:type="dxa"/>
            <w:tcBorders>
              <w:top w:val="nil"/>
              <w:left w:val="nil"/>
              <w:bottom w:val="nil"/>
              <w:right w:val="nil"/>
            </w:tcBorders>
            <w:shd w:val="clear" w:color="auto" w:fill="auto"/>
            <w:tcMar>
              <w:top w:w="20" w:type="dxa"/>
              <w:left w:w="20" w:type="dxa"/>
              <w:bottom w:w="100" w:type="dxa"/>
              <w:right w:w="20" w:type="dxa"/>
            </w:tcMar>
            <w:vAlign w:val="center"/>
          </w:tcPr>
          <w:p w14:paraId="30F8FFB4"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63%</w:t>
            </w:r>
          </w:p>
        </w:tc>
        <w:tc>
          <w:tcPr>
            <w:tcW w:w="1316" w:type="dxa"/>
            <w:tcBorders>
              <w:top w:val="nil"/>
              <w:left w:val="nil"/>
              <w:bottom w:val="nil"/>
              <w:right w:val="nil"/>
            </w:tcBorders>
            <w:shd w:val="clear" w:color="auto" w:fill="auto"/>
            <w:tcMar>
              <w:top w:w="20" w:type="dxa"/>
              <w:left w:w="20" w:type="dxa"/>
              <w:bottom w:w="100" w:type="dxa"/>
              <w:right w:w="20" w:type="dxa"/>
            </w:tcMar>
            <w:vAlign w:val="center"/>
          </w:tcPr>
          <w:p w14:paraId="5B76600D"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43%</w:t>
            </w:r>
          </w:p>
        </w:tc>
        <w:tc>
          <w:tcPr>
            <w:tcW w:w="1304" w:type="dxa"/>
            <w:tcBorders>
              <w:top w:val="nil"/>
              <w:left w:val="nil"/>
              <w:bottom w:val="nil"/>
              <w:right w:val="nil"/>
            </w:tcBorders>
            <w:shd w:val="clear" w:color="auto" w:fill="auto"/>
            <w:tcMar>
              <w:top w:w="20" w:type="dxa"/>
              <w:left w:w="20" w:type="dxa"/>
              <w:bottom w:w="100" w:type="dxa"/>
              <w:right w:w="20" w:type="dxa"/>
            </w:tcMar>
            <w:vAlign w:val="center"/>
          </w:tcPr>
          <w:p w14:paraId="674FAD62"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30%</w:t>
            </w:r>
          </w:p>
        </w:tc>
        <w:tc>
          <w:tcPr>
            <w:tcW w:w="1304" w:type="dxa"/>
            <w:tcBorders>
              <w:top w:val="nil"/>
              <w:left w:val="nil"/>
              <w:bottom w:val="nil"/>
              <w:right w:val="nil"/>
            </w:tcBorders>
            <w:shd w:val="clear" w:color="auto" w:fill="auto"/>
            <w:tcMar>
              <w:top w:w="20" w:type="dxa"/>
              <w:left w:w="20" w:type="dxa"/>
              <w:bottom w:w="100" w:type="dxa"/>
              <w:right w:w="20" w:type="dxa"/>
            </w:tcMar>
            <w:vAlign w:val="center"/>
          </w:tcPr>
          <w:p w14:paraId="76BB808F"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49%</w:t>
            </w:r>
          </w:p>
        </w:tc>
      </w:tr>
      <w:tr w:rsidR="001B7A54" w:rsidRPr="001B7A54" w14:paraId="5F1CE037" w14:textId="77777777" w:rsidTr="001B7A54">
        <w:trPr>
          <w:trHeight w:val="552"/>
          <w:jc w:val="center"/>
        </w:trPr>
        <w:tc>
          <w:tcPr>
            <w:tcW w:w="1760" w:type="dxa"/>
            <w:tcBorders>
              <w:top w:val="nil"/>
              <w:left w:val="nil"/>
              <w:bottom w:val="single" w:sz="3" w:space="0" w:color="000000"/>
              <w:right w:val="nil"/>
            </w:tcBorders>
            <w:shd w:val="clear" w:color="auto" w:fill="auto"/>
            <w:tcMar>
              <w:top w:w="20" w:type="dxa"/>
              <w:left w:w="20" w:type="dxa"/>
              <w:bottom w:w="100" w:type="dxa"/>
              <w:right w:w="20" w:type="dxa"/>
            </w:tcMar>
            <w:vAlign w:val="center"/>
          </w:tcPr>
          <w:p w14:paraId="38838CA5"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Large and Megacities</w:t>
            </w:r>
          </w:p>
        </w:tc>
        <w:tc>
          <w:tcPr>
            <w:tcW w:w="1305" w:type="dxa"/>
            <w:tcBorders>
              <w:top w:val="nil"/>
              <w:left w:val="nil"/>
              <w:bottom w:val="single" w:sz="3" w:space="0" w:color="000000"/>
              <w:right w:val="nil"/>
            </w:tcBorders>
            <w:shd w:val="clear" w:color="auto" w:fill="auto"/>
            <w:tcMar>
              <w:top w:w="20" w:type="dxa"/>
              <w:left w:w="20" w:type="dxa"/>
              <w:bottom w:w="100" w:type="dxa"/>
              <w:right w:w="20" w:type="dxa"/>
            </w:tcMar>
            <w:vAlign w:val="center"/>
          </w:tcPr>
          <w:p w14:paraId="29B76152"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42%</w:t>
            </w:r>
          </w:p>
        </w:tc>
        <w:tc>
          <w:tcPr>
            <w:tcW w:w="1316" w:type="dxa"/>
            <w:tcBorders>
              <w:top w:val="nil"/>
              <w:left w:val="nil"/>
              <w:bottom w:val="single" w:sz="3" w:space="0" w:color="000000"/>
              <w:right w:val="nil"/>
            </w:tcBorders>
            <w:shd w:val="clear" w:color="auto" w:fill="auto"/>
            <w:tcMar>
              <w:top w:w="20" w:type="dxa"/>
              <w:left w:w="20" w:type="dxa"/>
              <w:bottom w:w="100" w:type="dxa"/>
              <w:right w:w="20" w:type="dxa"/>
            </w:tcMar>
            <w:vAlign w:val="center"/>
          </w:tcPr>
          <w:p w14:paraId="7B1D5649"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40%</w:t>
            </w:r>
          </w:p>
        </w:tc>
        <w:tc>
          <w:tcPr>
            <w:tcW w:w="1316" w:type="dxa"/>
            <w:tcBorders>
              <w:top w:val="nil"/>
              <w:left w:val="nil"/>
              <w:bottom w:val="single" w:sz="3" w:space="0" w:color="000000"/>
              <w:right w:val="nil"/>
            </w:tcBorders>
            <w:shd w:val="clear" w:color="auto" w:fill="auto"/>
            <w:tcMar>
              <w:top w:w="20" w:type="dxa"/>
              <w:left w:w="20" w:type="dxa"/>
              <w:bottom w:w="100" w:type="dxa"/>
              <w:right w:w="20" w:type="dxa"/>
            </w:tcMar>
            <w:vAlign w:val="center"/>
          </w:tcPr>
          <w:p w14:paraId="2F842402"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34%</w:t>
            </w:r>
          </w:p>
        </w:tc>
        <w:tc>
          <w:tcPr>
            <w:tcW w:w="1304" w:type="dxa"/>
            <w:tcBorders>
              <w:top w:val="nil"/>
              <w:left w:val="nil"/>
              <w:bottom w:val="single" w:sz="3" w:space="0" w:color="000000"/>
              <w:right w:val="nil"/>
            </w:tcBorders>
            <w:shd w:val="clear" w:color="auto" w:fill="auto"/>
            <w:tcMar>
              <w:top w:w="20" w:type="dxa"/>
              <w:left w:w="20" w:type="dxa"/>
              <w:bottom w:w="100" w:type="dxa"/>
              <w:right w:w="20" w:type="dxa"/>
            </w:tcMar>
            <w:vAlign w:val="center"/>
          </w:tcPr>
          <w:p w14:paraId="7B66335F"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29%</w:t>
            </w:r>
          </w:p>
        </w:tc>
        <w:tc>
          <w:tcPr>
            <w:tcW w:w="1304" w:type="dxa"/>
            <w:tcBorders>
              <w:top w:val="nil"/>
              <w:left w:val="nil"/>
              <w:bottom w:val="single" w:sz="3" w:space="0" w:color="000000"/>
              <w:right w:val="nil"/>
            </w:tcBorders>
            <w:shd w:val="clear" w:color="auto" w:fill="auto"/>
            <w:tcMar>
              <w:top w:w="20" w:type="dxa"/>
              <w:left w:w="20" w:type="dxa"/>
              <w:bottom w:w="100" w:type="dxa"/>
              <w:right w:w="20" w:type="dxa"/>
            </w:tcMar>
            <w:vAlign w:val="center"/>
          </w:tcPr>
          <w:p w14:paraId="1ACDAAC4" w14:textId="77777777" w:rsidR="001B7A54" w:rsidRPr="001B7A54" w:rsidRDefault="001B7A54" w:rsidP="001B7A54">
            <w:pPr>
              <w:jc w:val="center"/>
              <w:rPr>
                <w:rFonts w:ascii="Times New Roman" w:eastAsia="Times New Roman" w:hAnsi="Times New Roman" w:cs="Times New Roman"/>
              </w:rPr>
            </w:pPr>
            <w:r w:rsidRPr="001B7A54">
              <w:rPr>
                <w:rFonts w:ascii="Times New Roman" w:eastAsia="Times New Roman" w:hAnsi="Times New Roman" w:cs="Times New Roman"/>
              </w:rPr>
              <w:t>37%</w:t>
            </w:r>
          </w:p>
        </w:tc>
      </w:tr>
    </w:tbl>
    <w:p w14:paraId="7C4FC653" w14:textId="77777777" w:rsidR="001B7A54" w:rsidRDefault="001B7A54">
      <w:bookmarkStart w:id="6" w:name="_Toc160455007"/>
      <w:r>
        <w:rPr>
          <w:b/>
          <w:bCs/>
        </w:rPr>
        <w:br w:type="page"/>
      </w:r>
    </w:p>
    <w:p w14:paraId="2361EBFF" w14:textId="627BC8AE" w:rsidR="001B7A54" w:rsidRDefault="001B7A54" w:rsidP="001B7A54">
      <w:pPr>
        <w:pStyle w:val="1"/>
        <w:spacing w:beforeLines="50" w:before="120" w:afterLines="50" w:after="120" w:line="360" w:lineRule="auto"/>
        <w:rPr>
          <w:sz w:val="28"/>
          <w:szCs w:val="28"/>
        </w:rPr>
      </w:pPr>
      <w:bookmarkStart w:id="7" w:name="_Toc222537049"/>
      <w:r w:rsidRPr="00EF3451">
        <w:rPr>
          <w:sz w:val="28"/>
          <w:szCs w:val="28"/>
        </w:rPr>
        <w:lastRenderedPageBreak/>
        <w:t>Supplementary Figures</w:t>
      </w:r>
      <w:bookmarkEnd w:id="6"/>
      <w:bookmarkEnd w:id="7"/>
    </w:p>
    <w:p w14:paraId="4F5BE121" w14:textId="2F0A2B43" w:rsidR="001B7A54" w:rsidRPr="001B7A54" w:rsidRDefault="001B7A54" w:rsidP="001B7A54">
      <w:pPr>
        <w:pStyle w:val="2"/>
        <w:spacing w:before="120" w:after="120" w:line="360" w:lineRule="auto"/>
        <w:jc w:val="both"/>
        <w:rPr>
          <w:rFonts w:ascii="Times New Roman" w:hAnsi="Times New Roman" w:cs="Times New Roman"/>
          <w:color w:val="000000" w:themeColor="text1"/>
          <w:sz w:val="24"/>
          <w:szCs w:val="24"/>
        </w:rPr>
      </w:pPr>
      <w:bookmarkStart w:id="8" w:name="_Toc222537050"/>
      <w:r w:rsidRPr="001B7A54">
        <w:rPr>
          <w:rFonts w:ascii="Times New Roman" w:hAnsi="Times New Roman" w:cs="Times New Roman"/>
          <w:b/>
          <w:bCs/>
          <w:color w:val="000000" w:themeColor="text1"/>
          <w:sz w:val="24"/>
          <w:szCs w:val="24"/>
        </w:rPr>
        <w:t xml:space="preserve">Supplementary Figure 1: </w:t>
      </w:r>
      <w:r w:rsidRPr="001B7A54">
        <w:rPr>
          <w:rFonts w:ascii="Times New Roman" w:hAnsi="Times New Roman" w:cs="Times New Roman"/>
          <w:color w:val="000000" w:themeColor="text1"/>
          <w:sz w:val="24"/>
          <w:szCs w:val="24"/>
        </w:rPr>
        <w:t>Average rooftop PV self-sufficiency rates across different seasons in 2020. Cities are aggregated into 3°×3° grid cells. Bubble size represents the total seasonal electricity demand within each grid cell, while bubble color indicates the average self-sufficiency rate weighted by the seasonal electricity demand of the constituent cities. Following the Northern Hemisphere calendar, seasons are defined as: Spring (March–April–May), Summer (June–July–August), Autumn (September–October–November), and Winter (December–January–February).</w:t>
      </w:r>
      <w:bookmarkEnd w:id="8"/>
    </w:p>
    <w:p w14:paraId="34227A23" w14:textId="4890BEF3" w:rsidR="00455B7F" w:rsidRDefault="001B7A54" w:rsidP="001B7A54">
      <w:pPr>
        <w:spacing w:before="160" w:line="360" w:lineRule="auto"/>
        <w:jc w:val="center"/>
        <w:rPr>
          <w:rFonts w:ascii="Times New Roman" w:eastAsia="Times New Roman" w:hAnsi="Times New Roman" w:cs="Times New Roman"/>
          <w:i/>
          <w:iCs/>
        </w:rPr>
      </w:pPr>
      <w:r>
        <w:rPr>
          <w:rFonts w:ascii="Times New Roman" w:eastAsia="Times New Roman" w:hAnsi="Times New Roman" w:cs="Times New Roman"/>
          <w:i/>
          <w:iCs/>
          <w:noProof/>
        </w:rPr>
        <w:drawing>
          <wp:inline distT="0" distB="0" distL="0" distR="0" wp14:anchorId="73FA494A" wp14:editId="5C3B292D">
            <wp:extent cx="3711600" cy="6478772"/>
            <wp:effectExtent l="0" t="0" r="0" b="0"/>
            <wp:docPr id="2191221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122129" name="图片 1"/>
                    <pic:cNvPicPr/>
                  </pic:nvPicPr>
                  <pic:blipFill>
                    <a:blip r:embed="rId6">
                      <a:extLst>
                        <a:ext uri="{28A0092B-C50C-407E-A947-70E740481C1C}">
                          <a14:useLocalDpi xmlns:a14="http://schemas.microsoft.com/office/drawing/2010/main" val="0"/>
                        </a:ext>
                      </a:extLst>
                    </a:blip>
                    <a:stretch>
                      <a:fillRect/>
                    </a:stretch>
                  </pic:blipFill>
                  <pic:spPr>
                    <a:xfrm>
                      <a:off x="0" y="0"/>
                      <a:ext cx="3711600" cy="6478772"/>
                    </a:xfrm>
                    <a:prstGeom prst="rect">
                      <a:avLst/>
                    </a:prstGeom>
                  </pic:spPr>
                </pic:pic>
              </a:graphicData>
            </a:graphic>
          </wp:inline>
        </w:drawing>
      </w:r>
    </w:p>
    <w:p w14:paraId="50BD285E" w14:textId="1303A253" w:rsidR="001B7A54" w:rsidRPr="001B7A54" w:rsidRDefault="001B7A54" w:rsidP="001B7A54">
      <w:pPr>
        <w:pStyle w:val="2"/>
        <w:spacing w:before="120" w:after="120" w:line="360" w:lineRule="auto"/>
        <w:jc w:val="both"/>
        <w:rPr>
          <w:rFonts w:ascii="Times New Roman" w:hAnsi="Times New Roman" w:cs="Times New Roman"/>
          <w:color w:val="000000" w:themeColor="text1"/>
          <w:sz w:val="24"/>
          <w:szCs w:val="24"/>
        </w:rPr>
      </w:pPr>
      <w:bookmarkStart w:id="9" w:name="_Toc222537051"/>
      <w:r w:rsidRPr="001B7A54">
        <w:rPr>
          <w:rFonts w:ascii="Times New Roman" w:hAnsi="Times New Roman" w:cs="Times New Roman"/>
          <w:b/>
          <w:bCs/>
          <w:color w:val="000000" w:themeColor="text1"/>
          <w:sz w:val="24"/>
          <w:szCs w:val="24"/>
        </w:rPr>
        <w:lastRenderedPageBreak/>
        <w:t xml:space="preserve">Supplementary Figure 2: </w:t>
      </w:r>
      <w:r w:rsidRPr="001B7A54">
        <w:rPr>
          <w:rFonts w:ascii="Times New Roman" w:hAnsi="Times New Roman" w:cs="Times New Roman"/>
          <w:color w:val="000000" w:themeColor="text1"/>
          <w:sz w:val="24"/>
          <w:szCs w:val="24"/>
        </w:rPr>
        <w:t>Average rooftop PV self-sufficiency rates across different seasons in Net Zero 2050. Cities are aggregated into 3°×3° grid cells. Bubble size represents the total seasonal electricity demand within each grid cell, while bubble color indicates the average self-sufficiency rate weighted by the seasonal electricity demand of the constituent cities. Following the Northern Hemisphere calendar, seasons are defined as: Spring (March–April–May), Summer (June–July–August), Autumn (September–October–November), and Winter (December–January–February).</w:t>
      </w:r>
      <w:bookmarkEnd w:id="9"/>
    </w:p>
    <w:p w14:paraId="0643BF79" w14:textId="77777777" w:rsidR="00455B7F" w:rsidRDefault="00000000">
      <w:pPr>
        <w:spacing w:before="160" w:line="360" w:lineRule="auto"/>
        <w:jc w:val="center"/>
        <w:rPr>
          <w:rFonts w:ascii="Times New Roman" w:eastAsia="Times New Roman" w:hAnsi="Times New Roman" w:cs="Times New Roman"/>
          <w:i/>
          <w:iCs/>
        </w:rPr>
      </w:pPr>
      <w:r>
        <w:rPr>
          <w:rFonts w:ascii="Times New Roman" w:eastAsia="Times New Roman" w:hAnsi="Times New Roman" w:cs="Times New Roman"/>
          <w:i/>
          <w:iCs/>
          <w:noProof/>
        </w:rPr>
        <w:drawing>
          <wp:inline distT="0" distB="0" distL="0" distR="0" wp14:anchorId="6AA732FA" wp14:editId="298CC478">
            <wp:extent cx="3718800" cy="6480000"/>
            <wp:effectExtent l="0" t="0" r="2540" b="0"/>
            <wp:docPr id="4"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1.png"/>
                    <pic:cNvPicPr preferRelativeResize="0"/>
                  </pic:nvPicPr>
                  <pic:blipFill>
                    <a:blip r:embed="rId7">
                      <a:extLst>
                        <a:ext uri="{28A0092B-C50C-407E-A947-70E740481C1C}">
                          <a14:useLocalDpi xmlns:a14="http://schemas.microsoft.com/office/drawing/2010/main" val="0"/>
                        </a:ext>
                      </a:extLst>
                    </a:blip>
                    <a:srcRect t="87" b="87"/>
                    <a:stretch>
                      <a:fillRect/>
                    </a:stretch>
                  </pic:blipFill>
                  <pic:spPr>
                    <a:xfrm>
                      <a:off x="0" y="0"/>
                      <a:ext cx="3718800" cy="6480000"/>
                    </a:xfrm>
                    <a:prstGeom prst="rect">
                      <a:avLst/>
                    </a:prstGeom>
                    <a:ln/>
                  </pic:spPr>
                </pic:pic>
              </a:graphicData>
            </a:graphic>
          </wp:inline>
        </w:drawing>
      </w:r>
    </w:p>
    <w:p w14:paraId="79B527B4" w14:textId="67B5E38D" w:rsidR="001B7A54" w:rsidRPr="001B7A54" w:rsidRDefault="001B7A54" w:rsidP="001B7A54">
      <w:pPr>
        <w:pStyle w:val="2"/>
        <w:spacing w:before="120" w:after="120" w:line="360" w:lineRule="auto"/>
        <w:jc w:val="both"/>
        <w:rPr>
          <w:rFonts w:ascii="Times New Roman" w:hAnsi="Times New Roman" w:cs="Times New Roman"/>
          <w:color w:val="000000" w:themeColor="text1"/>
          <w:sz w:val="24"/>
          <w:szCs w:val="24"/>
        </w:rPr>
      </w:pPr>
      <w:bookmarkStart w:id="10" w:name="_Toc222537052"/>
      <w:r w:rsidRPr="001B7A54">
        <w:rPr>
          <w:rFonts w:ascii="Times New Roman" w:hAnsi="Times New Roman" w:cs="Times New Roman"/>
          <w:b/>
          <w:bCs/>
          <w:color w:val="000000" w:themeColor="text1"/>
          <w:sz w:val="24"/>
          <w:szCs w:val="24"/>
        </w:rPr>
        <w:lastRenderedPageBreak/>
        <w:t xml:space="preserve">Supplementary Figure 3: </w:t>
      </w:r>
      <w:r w:rsidRPr="001B7A54">
        <w:rPr>
          <w:rFonts w:ascii="Times New Roman" w:hAnsi="Times New Roman" w:cs="Times New Roman"/>
          <w:color w:val="000000" w:themeColor="text1"/>
          <w:sz w:val="24"/>
          <w:szCs w:val="24"/>
        </w:rPr>
        <w:t xml:space="preserve">Global rooftop photovoltaic sufficiency patterns in 2020. </w:t>
      </w:r>
      <w:proofErr w:type="gramStart"/>
      <w:r w:rsidRPr="001B7A54">
        <w:rPr>
          <w:rFonts w:ascii="Times New Roman" w:hAnsi="Times New Roman" w:cs="Times New Roman"/>
          <w:color w:val="000000" w:themeColor="text1"/>
          <w:sz w:val="24"/>
          <w:szCs w:val="24"/>
        </w:rPr>
        <w:t>a,</w:t>
      </w:r>
      <w:proofErr w:type="gramEnd"/>
      <w:r w:rsidRPr="001B7A54">
        <w:rPr>
          <w:rFonts w:ascii="Times New Roman" w:hAnsi="Times New Roman" w:cs="Times New Roman"/>
          <w:color w:val="000000" w:themeColor="text1"/>
          <w:sz w:val="24"/>
          <w:szCs w:val="24"/>
        </w:rPr>
        <w:t xml:space="preserve"> Merit order curve showing </w:t>
      </w:r>
      <w:proofErr w:type="spellStart"/>
      <w:r w:rsidRPr="001B7A54">
        <w:rPr>
          <w:rFonts w:ascii="Times New Roman" w:hAnsi="Times New Roman" w:cs="Times New Roman"/>
          <w:color w:val="000000" w:themeColor="text1"/>
          <w:sz w:val="24"/>
          <w:szCs w:val="24"/>
        </w:rPr>
        <w:t>RPV</w:t>
      </w:r>
      <w:proofErr w:type="spellEnd"/>
      <w:r w:rsidRPr="001B7A54">
        <w:rPr>
          <w:rFonts w:ascii="Times New Roman" w:hAnsi="Times New Roman" w:cs="Times New Roman"/>
          <w:color w:val="000000" w:themeColor="text1"/>
          <w:sz w:val="24"/>
          <w:szCs w:val="24"/>
        </w:rPr>
        <w:t xml:space="preserve"> sufficiency ranked by cumulative electricity consumption (EC) across global cities. Bars are color-coded by annual rooftop PV generation potential (GWh). The horizontal dashed line indicates the 50% sufficiency threshold. </w:t>
      </w:r>
      <w:proofErr w:type="spellStart"/>
      <w:proofErr w:type="gramStart"/>
      <w:r w:rsidRPr="001B7A54">
        <w:rPr>
          <w:rFonts w:ascii="Times New Roman" w:hAnsi="Times New Roman" w:cs="Times New Roman"/>
          <w:color w:val="000000" w:themeColor="text1"/>
          <w:sz w:val="24"/>
          <w:szCs w:val="24"/>
        </w:rPr>
        <w:t>b,c</w:t>
      </w:r>
      <w:proofErr w:type="spellEnd"/>
      <w:proofErr w:type="gramEnd"/>
      <w:r w:rsidRPr="001B7A54">
        <w:rPr>
          <w:rFonts w:ascii="Times New Roman" w:hAnsi="Times New Roman" w:cs="Times New Roman"/>
          <w:color w:val="000000" w:themeColor="text1"/>
          <w:sz w:val="24"/>
          <w:szCs w:val="24"/>
        </w:rPr>
        <w:t xml:space="preserve"> Spatial distribution of high/low-sufficiency days. City-level data are aggregated to 3° × 3° grid cells using annual EC-weighted averages. Color intensity indicates the number of days with sufficiency above 75%/below 25%; Circle size represents total electricity consumption within the days.</w:t>
      </w:r>
      <w:bookmarkEnd w:id="10"/>
    </w:p>
    <w:p w14:paraId="6C52DF4E" w14:textId="77777777" w:rsidR="00455B7F" w:rsidRDefault="00000000" w:rsidP="001B7A54">
      <w:pPr>
        <w:spacing w:before="160" w:line="36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745CFEF0" wp14:editId="040C1092">
            <wp:extent cx="4813200" cy="6392916"/>
            <wp:effectExtent l="0" t="0" r="635" b="0"/>
            <wp:docPr id="3"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5.png"/>
                    <pic:cNvPicPr preferRelativeResize="0"/>
                  </pic:nvPicPr>
                  <pic:blipFill>
                    <a:blip r:embed="rId8">
                      <a:extLst>
                        <a:ext uri="{28A0092B-C50C-407E-A947-70E740481C1C}">
                          <a14:useLocalDpi xmlns:a14="http://schemas.microsoft.com/office/drawing/2010/main" val="0"/>
                        </a:ext>
                      </a:extLst>
                    </a:blip>
                    <a:stretch>
                      <a:fillRect/>
                    </a:stretch>
                  </pic:blipFill>
                  <pic:spPr>
                    <a:xfrm>
                      <a:off x="0" y="0"/>
                      <a:ext cx="4813200" cy="6392916"/>
                    </a:xfrm>
                    <a:prstGeom prst="rect">
                      <a:avLst/>
                    </a:prstGeom>
                    <a:ln/>
                  </pic:spPr>
                </pic:pic>
              </a:graphicData>
            </a:graphic>
          </wp:inline>
        </w:drawing>
      </w:r>
    </w:p>
    <w:p w14:paraId="411E5440" w14:textId="135F5980" w:rsidR="001B7A54" w:rsidRPr="001B7A54" w:rsidRDefault="001B7A54" w:rsidP="001B7A54">
      <w:pPr>
        <w:pStyle w:val="2"/>
        <w:spacing w:before="120" w:after="120" w:line="360" w:lineRule="auto"/>
        <w:jc w:val="both"/>
        <w:rPr>
          <w:rFonts w:ascii="Times New Roman" w:hAnsi="Times New Roman" w:cs="Times New Roman"/>
          <w:color w:val="000000" w:themeColor="text1"/>
          <w:sz w:val="24"/>
          <w:szCs w:val="24"/>
        </w:rPr>
      </w:pPr>
      <w:bookmarkStart w:id="11" w:name="_Toc222537053"/>
      <w:r w:rsidRPr="001B7A54">
        <w:rPr>
          <w:rFonts w:ascii="Times New Roman" w:hAnsi="Times New Roman" w:cs="Times New Roman"/>
          <w:b/>
          <w:bCs/>
          <w:color w:val="000000" w:themeColor="text1"/>
          <w:sz w:val="24"/>
          <w:szCs w:val="24"/>
        </w:rPr>
        <w:lastRenderedPageBreak/>
        <w:t xml:space="preserve">Supplementary Figure 4: Global distribution of city-level rooftop PV self sufficiency in net zero 2050. </w:t>
      </w:r>
      <w:r w:rsidRPr="001B7A54">
        <w:rPr>
          <w:rFonts w:ascii="Times New Roman" w:hAnsi="Times New Roman" w:cs="Times New Roman"/>
          <w:color w:val="000000" w:themeColor="text1"/>
          <w:sz w:val="24"/>
          <w:szCs w:val="24"/>
        </w:rPr>
        <w:t xml:space="preserve">Daily self sufficiency curve at continent / cluster level (weighted average by daily energy consumption). Seasonal self sufficiency raincloud at continent / cluster level. Following the Northern Hemisphere calendar, seasons are defined as: Spring (March–April–May), Summer (June–July–August), Autumn (September–October–November), and Winter (December–January–February). The city topologies (Emerging, </w:t>
      </w:r>
      <w:proofErr w:type="gramStart"/>
      <w:r w:rsidRPr="001B7A54">
        <w:rPr>
          <w:rFonts w:ascii="Times New Roman" w:hAnsi="Times New Roman" w:cs="Times New Roman"/>
          <w:color w:val="000000" w:themeColor="text1"/>
          <w:sz w:val="24"/>
          <w:szCs w:val="24"/>
        </w:rPr>
        <w:t>Rapidly</w:t>
      </w:r>
      <w:proofErr w:type="gramEnd"/>
      <w:r w:rsidRPr="001B7A54">
        <w:rPr>
          <w:rFonts w:ascii="Times New Roman" w:hAnsi="Times New Roman" w:cs="Times New Roman"/>
          <w:color w:val="000000" w:themeColor="text1"/>
          <w:sz w:val="24"/>
          <w:szCs w:val="24"/>
        </w:rPr>
        <w:t xml:space="preserve"> growing, Established, Large and Megacities) refer to a data-driven global </w:t>
      </w:r>
      <w:proofErr w:type="spellStart"/>
      <w:r w:rsidRPr="001B7A54">
        <w:rPr>
          <w:rFonts w:ascii="Times New Roman" w:hAnsi="Times New Roman" w:cs="Times New Roman"/>
          <w:color w:val="000000" w:themeColor="text1"/>
          <w:sz w:val="24"/>
          <w:szCs w:val="24"/>
        </w:rPr>
        <w:t>classification12</w:t>
      </w:r>
      <w:proofErr w:type="spellEnd"/>
      <w:r w:rsidRPr="001B7A54">
        <w:rPr>
          <w:rFonts w:ascii="Times New Roman" w:hAnsi="Times New Roman" w:cs="Times New Roman"/>
          <w:color w:val="000000" w:themeColor="text1"/>
          <w:sz w:val="24"/>
          <w:szCs w:val="24"/>
        </w:rPr>
        <w:t xml:space="preserve"> based on structural characteristics such as demographic scale, socioeconomic capacity, and biophysical energy demand.</w:t>
      </w:r>
      <w:bookmarkEnd w:id="11"/>
    </w:p>
    <w:p w14:paraId="6DF589A2" w14:textId="504A2DEE" w:rsidR="00455B7F" w:rsidRDefault="00180AEE">
      <w:pPr>
        <w:spacing w:before="160" w:line="360" w:lineRule="auto"/>
        <w:jc w:val="both"/>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48D0DB0D" wp14:editId="5D2C7D60">
            <wp:extent cx="5274310" cy="4306570"/>
            <wp:effectExtent l="0" t="0" r="0" b="0"/>
            <wp:docPr id="1555980420" name="图片 1" descr="图片包含 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980420" name="图片 1" descr="图片包含 图表&#10;&#10;描述已自动生成"/>
                    <pic:cNvPicPr/>
                  </pic:nvPicPr>
                  <pic:blipFill>
                    <a:blip r:embed="rId9">
                      <a:extLst>
                        <a:ext uri="{28A0092B-C50C-407E-A947-70E740481C1C}">
                          <a14:useLocalDpi xmlns:a14="http://schemas.microsoft.com/office/drawing/2010/main" val="0"/>
                        </a:ext>
                      </a:extLst>
                    </a:blip>
                    <a:stretch>
                      <a:fillRect/>
                    </a:stretch>
                  </pic:blipFill>
                  <pic:spPr>
                    <a:xfrm>
                      <a:off x="0" y="0"/>
                      <a:ext cx="5274310" cy="4306570"/>
                    </a:xfrm>
                    <a:prstGeom prst="rect">
                      <a:avLst/>
                    </a:prstGeom>
                  </pic:spPr>
                </pic:pic>
              </a:graphicData>
            </a:graphic>
          </wp:inline>
        </w:drawing>
      </w:r>
    </w:p>
    <w:p w14:paraId="693683EC" w14:textId="77777777" w:rsidR="001B7A54" w:rsidRDefault="001B7A54">
      <w:pPr>
        <w:spacing w:before="160" w:line="360" w:lineRule="auto"/>
        <w:jc w:val="both"/>
        <w:rPr>
          <w:rFonts w:ascii="Times New Roman" w:eastAsia="Times New Roman" w:hAnsi="Times New Roman" w:cs="Times New Roman"/>
        </w:rPr>
      </w:pPr>
    </w:p>
    <w:p w14:paraId="63F053D3" w14:textId="75FCEB8B" w:rsidR="001B7A54" w:rsidRPr="001B7A54" w:rsidRDefault="001B7A54" w:rsidP="001B7A54">
      <w:pPr>
        <w:pStyle w:val="2"/>
        <w:spacing w:before="120" w:after="120" w:line="360" w:lineRule="auto"/>
        <w:jc w:val="both"/>
        <w:rPr>
          <w:rFonts w:ascii="Times New Roman" w:hAnsi="Times New Roman" w:cs="Times New Roman"/>
          <w:color w:val="000000" w:themeColor="text1"/>
          <w:sz w:val="24"/>
          <w:szCs w:val="24"/>
        </w:rPr>
      </w:pPr>
      <w:bookmarkStart w:id="12" w:name="_Toc222537054"/>
      <w:r w:rsidRPr="001B7A54">
        <w:rPr>
          <w:rFonts w:ascii="Times New Roman" w:hAnsi="Times New Roman" w:cs="Times New Roman"/>
          <w:b/>
          <w:bCs/>
          <w:color w:val="000000" w:themeColor="text1"/>
          <w:sz w:val="24"/>
          <w:szCs w:val="24"/>
        </w:rPr>
        <w:lastRenderedPageBreak/>
        <w:t xml:space="preserve">Supplementary Figure 5: </w:t>
      </w:r>
      <w:r w:rsidRPr="001B7A54">
        <w:rPr>
          <w:rFonts w:ascii="Times New Roman" w:hAnsi="Times New Roman" w:cs="Times New Roman"/>
          <w:color w:val="000000" w:themeColor="text1"/>
          <w:sz w:val="24"/>
          <w:szCs w:val="24"/>
        </w:rPr>
        <w:t>Definition and boundary of the study area. We use global administrative city-level units as the base statistical units and link main urban center’ topologies to administrative city-level units via a crosswalk, enabling analyses at (a) the continent level for all cities with data and (b) the topology level for main urban centers with data.</w:t>
      </w:r>
      <w:bookmarkEnd w:id="12"/>
      <w:r w:rsidRPr="001B7A54">
        <w:rPr>
          <w:rFonts w:ascii="Times New Roman" w:hAnsi="Times New Roman" w:cs="Times New Roman"/>
          <w:color w:val="000000" w:themeColor="text1"/>
          <w:sz w:val="24"/>
          <w:szCs w:val="24"/>
        </w:rPr>
        <w:t xml:space="preserve"> </w:t>
      </w:r>
    </w:p>
    <w:p w14:paraId="23488F36" w14:textId="77777777" w:rsidR="00455B7F" w:rsidRDefault="00000000">
      <w:pPr>
        <w:spacing w:before="160" w:line="360" w:lineRule="auto"/>
        <w:jc w:val="both"/>
        <w:rPr>
          <w:rFonts w:ascii="Times New Roman" w:eastAsia="Times New Roman" w:hAnsi="Times New Roman" w:cs="Times New Roman"/>
          <w:i/>
          <w:iCs/>
        </w:rPr>
      </w:pPr>
      <w:bookmarkStart w:id="13" w:name="_okpqyzw9no2o" w:colFirst="0" w:colLast="0"/>
      <w:bookmarkEnd w:id="13"/>
      <w:r>
        <w:rPr>
          <w:rFonts w:ascii="Times New Roman" w:eastAsia="Times New Roman" w:hAnsi="Times New Roman" w:cs="Times New Roman"/>
          <w:i/>
          <w:iCs/>
          <w:noProof/>
        </w:rPr>
        <w:drawing>
          <wp:inline distT="114300" distB="114300" distL="114300" distR="114300" wp14:anchorId="6C8C4D03" wp14:editId="77381796">
            <wp:extent cx="5269042" cy="5638800"/>
            <wp:effectExtent l="0" t="0" r="1905" b="0"/>
            <wp:docPr id="7" name="image2.png"/>
            <wp:cNvGraphicFramePr/>
            <a:graphic xmlns:a="http://schemas.openxmlformats.org/drawingml/2006/main">
              <a:graphicData uri="http://schemas.openxmlformats.org/drawingml/2006/picture">
                <pic:pic xmlns:pic="http://schemas.openxmlformats.org/drawingml/2006/picture">
                  <pic:nvPicPr>
                    <pic:cNvPr id="7" name="image2.png"/>
                    <pic:cNvPicPr preferRelativeResize="0"/>
                  </pic:nvPicPr>
                  <pic:blipFill>
                    <a:blip r:embed="rId10">
                      <a:extLst>
                        <a:ext uri="{28A0092B-C50C-407E-A947-70E740481C1C}">
                          <a14:useLocalDpi xmlns:a14="http://schemas.microsoft.com/office/drawing/2010/main" val="0"/>
                        </a:ext>
                      </a:extLst>
                    </a:blip>
                    <a:stretch>
                      <a:fillRect/>
                    </a:stretch>
                  </pic:blipFill>
                  <pic:spPr>
                    <a:xfrm>
                      <a:off x="0" y="0"/>
                      <a:ext cx="5269042" cy="5638800"/>
                    </a:xfrm>
                    <a:prstGeom prst="rect">
                      <a:avLst/>
                    </a:prstGeom>
                    <a:ln/>
                  </pic:spPr>
                </pic:pic>
              </a:graphicData>
            </a:graphic>
          </wp:inline>
        </w:drawing>
      </w:r>
    </w:p>
    <w:p w14:paraId="77A6E405" w14:textId="61A97706" w:rsidR="001B7A54" w:rsidRPr="00180AEE" w:rsidRDefault="001B7A54" w:rsidP="00180AEE">
      <w:pPr>
        <w:pStyle w:val="2"/>
        <w:spacing w:before="120" w:after="120" w:line="360" w:lineRule="auto"/>
        <w:jc w:val="both"/>
        <w:rPr>
          <w:rFonts w:ascii="Times New Roman" w:hAnsi="Times New Roman" w:cs="Times New Roman"/>
          <w:color w:val="000000" w:themeColor="text1"/>
          <w:sz w:val="24"/>
          <w:szCs w:val="24"/>
        </w:rPr>
      </w:pPr>
      <w:bookmarkStart w:id="14" w:name="_Toc222537055"/>
      <w:r w:rsidRPr="001B7A54">
        <w:rPr>
          <w:rFonts w:ascii="Times New Roman" w:hAnsi="Times New Roman" w:cs="Times New Roman"/>
          <w:b/>
          <w:bCs/>
          <w:color w:val="000000" w:themeColor="text1"/>
          <w:sz w:val="24"/>
          <w:szCs w:val="24"/>
        </w:rPr>
        <w:lastRenderedPageBreak/>
        <w:t xml:space="preserve">Supplementary Figure 6: Regional urban energy resilience regimes in 2020. </w:t>
      </w:r>
      <w:r w:rsidRPr="001B7A54">
        <w:rPr>
          <w:rFonts w:ascii="Times New Roman" w:hAnsi="Times New Roman" w:cs="Times New Roman"/>
          <w:color w:val="000000" w:themeColor="text1"/>
          <w:sz w:val="24"/>
          <w:szCs w:val="24"/>
        </w:rPr>
        <w:t>Cities are mapped by annual mean self-sufficiency (x-axis) and seasonal mismatch (y-axis), defining four quadrants (</w:t>
      </w:r>
      <w:proofErr w:type="spellStart"/>
      <w:r w:rsidRPr="001B7A54">
        <w:rPr>
          <w:rFonts w:ascii="Times New Roman" w:hAnsi="Times New Roman" w:cs="Times New Roman"/>
          <w:color w:val="000000" w:themeColor="text1"/>
          <w:sz w:val="24"/>
          <w:szCs w:val="24"/>
        </w:rPr>
        <w:t>Q1</w:t>
      </w:r>
      <w:proofErr w:type="spellEnd"/>
      <w:r w:rsidRPr="001B7A54">
        <w:rPr>
          <w:rFonts w:ascii="Times New Roman" w:hAnsi="Times New Roman" w:cs="Times New Roman"/>
          <w:color w:val="000000" w:themeColor="text1"/>
          <w:sz w:val="24"/>
          <w:szCs w:val="24"/>
        </w:rPr>
        <w:t>–</w:t>
      </w:r>
      <w:proofErr w:type="spellStart"/>
      <w:r w:rsidRPr="001B7A54">
        <w:rPr>
          <w:rFonts w:ascii="Times New Roman" w:hAnsi="Times New Roman" w:cs="Times New Roman"/>
          <w:color w:val="000000" w:themeColor="text1"/>
          <w:sz w:val="24"/>
          <w:szCs w:val="24"/>
        </w:rPr>
        <w:t>Q4</w:t>
      </w:r>
      <w:proofErr w:type="spellEnd"/>
      <w:r w:rsidRPr="001B7A54">
        <w:rPr>
          <w:rFonts w:ascii="Times New Roman" w:hAnsi="Times New Roman" w:cs="Times New Roman"/>
          <w:color w:val="000000" w:themeColor="text1"/>
          <w:sz w:val="24"/>
          <w:szCs w:val="24"/>
        </w:rPr>
        <w:t xml:space="preserve">) of sufficiency potential and seasonal mismatch.  Seasonal mismatch is defined as the normalized fluctuation between the months of maximum and minimum PV potential to local electricity demand ratios, representing the degree of seasonal imbalance a city faces throughout the year. The donut charts illustrate the share of total annual electricity demand across four urban types–Emerging, </w:t>
      </w:r>
      <w:proofErr w:type="gramStart"/>
      <w:r w:rsidRPr="001B7A54">
        <w:rPr>
          <w:rFonts w:ascii="Times New Roman" w:hAnsi="Times New Roman" w:cs="Times New Roman"/>
          <w:color w:val="000000" w:themeColor="text1"/>
          <w:sz w:val="24"/>
          <w:szCs w:val="24"/>
        </w:rPr>
        <w:t>Rapidly</w:t>
      </w:r>
      <w:proofErr w:type="gramEnd"/>
      <w:r w:rsidRPr="001B7A54">
        <w:rPr>
          <w:rFonts w:ascii="Times New Roman" w:hAnsi="Times New Roman" w:cs="Times New Roman"/>
          <w:color w:val="000000" w:themeColor="text1"/>
          <w:sz w:val="24"/>
          <w:szCs w:val="24"/>
        </w:rPr>
        <w:t xml:space="preserve"> growing, Established, and Large and Megacities–within each of the four resilience regimes. The central value in each donut indicates the total annual electricity demand for the respective region.</w:t>
      </w:r>
      <w:bookmarkEnd w:id="14"/>
      <w:r w:rsidRPr="001B7A54">
        <w:rPr>
          <w:rFonts w:ascii="Times New Roman" w:hAnsi="Times New Roman" w:cs="Times New Roman"/>
          <w:color w:val="000000" w:themeColor="text1"/>
          <w:sz w:val="24"/>
          <w:szCs w:val="24"/>
        </w:rPr>
        <w:t xml:space="preserve"> </w:t>
      </w:r>
    </w:p>
    <w:p w14:paraId="00061C7B" w14:textId="77777777" w:rsidR="00455B7F" w:rsidRDefault="00000000" w:rsidP="001B7A54">
      <w:pPr>
        <w:spacing w:before="160" w:line="360" w:lineRule="auto"/>
        <w:jc w:val="center"/>
        <w:rPr>
          <w:rFonts w:ascii="Times New Roman" w:eastAsia="Times New Roman" w:hAnsi="Times New Roman" w:cs="Times New Roman"/>
          <w:i/>
          <w:iCs/>
        </w:rPr>
      </w:pPr>
      <w:r>
        <w:rPr>
          <w:rFonts w:ascii="Times New Roman" w:eastAsia="Times New Roman" w:hAnsi="Times New Roman" w:cs="Times New Roman"/>
          <w:i/>
          <w:iCs/>
          <w:noProof/>
        </w:rPr>
        <w:drawing>
          <wp:inline distT="114300" distB="114300" distL="114300" distR="114300" wp14:anchorId="2F1FB5A7" wp14:editId="3E6327A1">
            <wp:extent cx="4651200" cy="5760000"/>
            <wp:effectExtent l="0" t="0" r="0" b="0"/>
            <wp:docPr id="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1.png"/>
                    <pic:cNvPicPr preferRelativeResize="0"/>
                  </pic:nvPicPr>
                  <pic:blipFill>
                    <a:blip r:embed="rId11">
                      <a:extLst>
                        <a:ext uri="{28A0092B-C50C-407E-A947-70E740481C1C}">
                          <a14:useLocalDpi xmlns:a14="http://schemas.microsoft.com/office/drawing/2010/main" val="0"/>
                        </a:ext>
                      </a:extLst>
                    </a:blip>
                    <a:srcRect l="22" r="22"/>
                    <a:stretch>
                      <a:fillRect/>
                    </a:stretch>
                  </pic:blipFill>
                  <pic:spPr>
                    <a:xfrm>
                      <a:off x="0" y="0"/>
                      <a:ext cx="4651200" cy="5760000"/>
                    </a:xfrm>
                    <a:prstGeom prst="rect">
                      <a:avLst/>
                    </a:prstGeom>
                    <a:ln/>
                  </pic:spPr>
                </pic:pic>
              </a:graphicData>
            </a:graphic>
          </wp:inline>
        </w:drawing>
      </w:r>
    </w:p>
    <w:p w14:paraId="5835B763" w14:textId="52C5E833" w:rsidR="001B7A54" w:rsidRPr="00180AEE" w:rsidRDefault="001B7A54" w:rsidP="00180AEE">
      <w:pPr>
        <w:pStyle w:val="2"/>
        <w:spacing w:before="120" w:after="120" w:line="360" w:lineRule="auto"/>
        <w:jc w:val="both"/>
        <w:rPr>
          <w:rFonts w:ascii="Times New Roman" w:hAnsi="Times New Roman" w:cs="Times New Roman"/>
          <w:color w:val="000000" w:themeColor="text1"/>
          <w:sz w:val="24"/>
          <w:szCs w:val="24"/>
        </w:rPr>
      </w:pPr>
      <w:bookmarkStart w:id="15" w:name="_Toc222537056"/>
      <w:r w:rsidRPr="001B7A54">
        <w:rPr>
          <w:rFonts w:ascii="Times New Roman" w:hAnsi="Times New Roman" w:cs="Times New Roman"/>
          <w:b/>
          <w:bCs/>
          <w:color w:val="000000" w:themeColor="text1"/>
          <w:sz w:val="24"/>
          <w:szCs w:val="24"/>
        </w:rPr>
        <w:lastRenderedPageBreak/>
        <w:t xml:space="preserve">Supplementary Figure 7: Regional urban energy resilience regimes in Net Zero 2050. </w:t>
      </w:r>
      <w:r w:rsidRPr="001B7A54">
        <w:rPr>
          <w:rFonts w:ascii="Times New Roman" w:hAnsi="Times New Roman" w:cs="Times New Roman"/>
          <w:color w:val="000000" w:themeColor="text1"/>
          <w:sz w:val="24"/>
          <w:szCs w:val="24"/>
        </w:rPr>
        <w:t>Cities are mapped by annual mean self-sufficiency (x-axis) and seasonal mismatch (y-axis), defining four quadrants (</w:t>
      </w:r>
      <w:proofErr w:type="spellStart"/>
      <w:r w:rsidRPr="001B7A54">
        <w:rPr>
          <w:rFonts w:ascii="Times New Roman" w:hAnsi="Times New Roman" w:cs="Times New Roman"/>
          <w:color w:val="000000" w:themeColor="text1"/>
          <w:sz w:val="24"/>
          <w:szCs w:val="24"/>
        </w:rPr>
        <w:t>Q1</w:t>
      </w:r>
      <w:proofErr w:type="spellEnd"/>
      <w:r w:rsidRPr="001B7A54">
        <w:rPr>
          <w:rFonts w:ascii="Times New Roman" w:hAnsi="Times New Roman" w:cs="Times New Roman"/>
          <w:color w:val="000000" w:themeColor="text1"/>
          <w:sz w:val="24"/>
          <w:szCs w:val="24"/>
        </w:rPr>
        <w:t>–</w:t>
      </w:r>
      <w:proofErr w:type="spellStart"/>
      <w:r w:rsidRPr="001B7A54">
        <w:rPr>
          <w:rFonts w:ascii="Times New Roman" w:hAnsi="Times New Roman" w:cs="Times New Roman"/>
          <w:color w:val="000000" w:themeColor="text1"/>
          <w:sz w:val="24"/>
          <w:szCs w:val="24"/>
        </w:rPr>
        <w:t>Q4</w:t>
      </w:r>
      <w:proofErr w:type="spellEnd"/>
      <w:r w:rsidRPr="001B7A54">
        <w:rPr>
          <w:rFonts w:ascii="Times New Roman" w:hAnsi="Times New Roman" w:cs="Times New Roman"/>
          <w:color w:val="000000" w:themeColor="text1"/>
          <w:sz w:val="24"/>
          <w:szCs w:val="24"/>
        </w:rPr>
        <w:t xml:space="preserve">) of sufficiency potential and seasonal mismatch.  Seasonal mismatch is defined as the normalized fluctuation between the months of maximum and minimum PV potential to local electricity demand ratios, representing the degree of seasonal imbalance a city faces throughout the year. The donut charts illustrate the share of total annual electricity demand across four urban types–Emerging, </w:t>
      </w:r>
      <w:proofErr w:type="gramStart"/>
      <w:r w:rsidRPr="001B7A54">
        <w:rPr>
          <w:rFonts w:ascii="Times New Roman" w:hAnsi="Times New Roman" w:cs="Times New Roman"/>
          <w:color w:val="000000" w:themeColor="text1"/>
          <w:sz w:val="24"/>
          <w:szCs w:val="24"/>
        </w:rPr>
        <w:t>Rapidly</w:t>
      </w:r>
      <w:proofErr w:type="gramEnd"/>
      <w:r w:rsidRPr="001B7A54">
        <w:rPr>
          <w:rFonts w:ascii="Times New Roman" w:hAnsi="Times New Roman" w:cs="Times New Roman"/>
          <w:color w:val="000000" w:themeColor="text1"/>
          <w:sz w:val="24"/>
          <w:szCs w:val="24"/>
        </w:rPr>
        <w:t xml:space="preserve"> growing, Established, and Large and Megacities–within each of the four resilience regimes. The central value in each donut indicates the total annual electricity demand for the respective region.</w:t>
      </w:r>
      <w:bookmarkEnd w:id="15"/>
      <w:r w:rsidRPr="001B7A54">
        <w:rPr>
          <w:rFonts w:ascii="Times New Roman" w:hAnsi="Times New Roman" w:cs="Times New Roman"/>
          <w:color w:val="000000" w:themeColor="text1"/>
          <w:sz w:val="24"/>
          <w:szCs w:val="24"/>
        </w:rPr>
        <w:t xml:space="preserve"> </w:t>
      </w:r>
    </w:p>
    <w:p w14:paraId="7CB5F14B" w14:textId="77777777" w:rsidR="00455B7F" w:rsidRDefault="00000000">
      <w:pPr>
        <w:spacing w:before="160" w:line="360" w:lineRule="auto"/>
        <w:jc w:val="both"/>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0A1BF03D" wp14:editId="3B9A743D">
            <wp:extent cx="4708800" cy="5760000"/>
            <wp:effectExtent l="0" t="0" r="3175" b="6350"/>
            <wp:docPr id="11"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3.png"/>
                    <pic:cNvPicPr preferRelativeResize="0"/>
                  </pic:nvPicPr>
                  <pic:blipFill>
                    <a:blip r:embed="rId12">
                      <a:extLst>
                        <a:ext uri="{28A0092B-C50C-407E-A947-70E740481C1C}">
                          <a14:useLocalDpi xmlns:a14="http://schemas.microsoft.com/office/drawing/2010/main" val="0"/>
                        </a:ext>
                      </a:extLst>
                    </a:blip>
                    <a:srcRect t="590" b="590"/>
                    <a:stretch>
                      <a:fillRect/>
                    </a:stretch>
                  </pic:blipFill>
                  <pic:spPr>
                    <a:xfrm>
                      <a:off x="0" y="0"/>
                      <a:ext cx="4708800" cy="5760000"/>
                    </a:xfrm>
                    <a:prstGeom prst="rect">
                      <a:avLst/>
                    </a:prstGeom>
                    <a:ln/>
                  </pic:spPr>
                </pic:pic>
              </a:graphicData>
            </a:graphic>
          </wp:inline>
        </w:drawing>
      </w:r>
    </w:p>
    <w:p w14:paraId="20556CD5" w14:textId="23469A3B" w:rsidR="001B7A54" w:rsidRPr="001B7A54" w:rsidRDefault="001B7A54" w:rsidP="001B7A54">
      <w:pPr>
        <w:pStyle w:val="2"/>
        <w:spacing w:before="120" w:after="120" w:line="360" w:lineRule="auto"/>
        <w:jc w:val="both"/>
        <w:rPr>
          <w:rFonts w:ascii="Times New Roman" w:hAnsi="Times New Roman" w:cs="Times New Roman"/>
          <w:color w:val="000000" w:themeColor="text1"/>
          <w:sz w:val="24"/>
          <w:szCs w:val="24"/>
        </w:rPr>
      </w:pPr>
      <w:bookmarkStart w:id="16" w:name="_Toc222537057"/>
      <w:r w:rsidRPr="001B7A54">
        <w:rPr>
          <w:rFonts w:ascii="Times New Roman" w:hAnsi="Times New Roman" w:cs="Times New Roman"/>
          <w:b/>
          <w:bCs/>
          <w:color w:val="000000" w:themeColor="text1"/>
          <w:sz w:val="24"/>
          <w:szCs w:val="24"/>
        </w:rPr>
        <w:lastRenderedPageBreak/>
        <w:t xml:space="preserve">Supplementary Figure 8: Model performance evaluation against historical benchmarks. </w:t>
      </w:r>
      <w:r w:rsidRPr="001B7A54">
        <w:rPr>
          <w:rFonts w:ascii="Times New Roman" w:hAnsi="Times New Roman" w:cs="Times New Roman"/>
          <w:color w:val="000000" w:themeColor="text1"/>
          <w:sz w:val="24"/>
          <w:szCs w:val="24"/>
        </w:rPr>
        <w:t xml:space="preserve">a, b, Comparison of Regional </w:t>
      </w:r>
      <w:proofErr w:type="spellStart"/>
      <w:r w:rsidRPr="001B7A54">
        <w:rPr>
          <w:rFonts w:ascii="Times New Roman" w:hAnsi="Times New Roman" w:cs="Times New Roman"/>
          <w:color w:val="000000" w:themeColor="text1"/>
          <w:sz w:val="24"/>
          <w:szCs w:val="24"/>
        </w:rPr>
        <w:t>RMSE</w:t>
      </w:r>
      <w:proofErr w:type="spellEnd"/>
      <w:r w:rsidRPr="001B7A54">
        <w:rPr>
          <w:rFonts w:ascii="Times New Roman" w:hAnsi="Times New Roman" w:cs="Times New Roman"/>
          <w:color w:val="000000" w:themeColor="text1"/>
          <w:sz w:val="24"/>
          <w:szCs w:val="24"/>
        </w:rPr>
        <w:t xml:space="preserve"> (GWh) and Regional </w:t>
      </w:r>
      <w:proofErr w:type="spellStart"/>
      <w:r w:rsidRPr="001B7A54">
        <w:rPr>
          <w:rFonts w:ascii="Times New Roman" w:hAnsi="Times New Roman" w:cs="Times New Roman"/>
          <w:color w:val="000000" w:themeColor="text1"/>
          <w:sz w:val="24"/>
          <w:szCs w:val="24"/>
        </w:rPr>
        <w:t>WAPE</w:t>
      </w:r>
      <w:proofErr w:type="spellEnd"/>
      <w:r w:rsidRPr="001B7A54">
        <w:rPr>
          <w:rFonts w:ascii="Times New Roman" w:hAnsi="Times New Roman" w:cs="Times New Roman"/>
          <w:color w:val="000000" w:themeColor="text1"/>
          <w:sz w:val="24"/>
          <w:szCs w:val="24"/>
        </w:rPr>
        <w:t xml:space="preserve"> between the panel model (orange) and the baseline model (blue). d–</w:t>
      </w:r>
      <w:proofErr w:type="spellStart"/>
      <w:r w:rsidRPr="001B7A54">
        <w:rPr>
          <w:rFonts w:ascii="Times New Roman" w:hAnsi="Times New Roman" w:cs="Times New Roman"/>
          <w:color w:val="000000" w:themeColor="text1"/>
          <w:sz w:val="24"/>
          <w:szCs w:val="24"/>
        </w:rPr>
        <w:t>i</w:t>
      </w:r>
      <w:proofErr w:type="spellEnd"/>
      <w:r w:rsidRPr="001B7A54">
        <w:rPr>
          <w:rFonts w:ascii="Times New Roman" w:hAnsi="Times New Roman" w:cs="Times New Roman"/>
          <w:color w:val="000000" w:themeColor="text1"/>
          <w:sz w:val="24"/>
          <w:szCs w:val="24"/>
        </w:rPr>
        <w:t xml:space="preserve">, </w:t>
      </w:r>
      <w:proofErr w:type="gramStart"/>
      <w:r w:rsidRPr="001B7A54">
        <w:rPr>
          <w:rFonts w:ascii="Times New Roman" w:hAnsi="Times New Roman" w:cs="Times New Roman"/>
          <w:color w:val="000000" w:themeColor="text1"/>
          <w:sz w:val="24"/>
          <w:szCs w:val="24"/>
        </w:rPr>
        <w:t>Regional</w:t>
      </w:r>
      <w:proofErr w:type="gramEnd"/>
      <w:r w:rsidRPr="001B7A54">
        <w:rPr>
          <w:rFonts w:ascii="Times New Roman" w:hAnsi="Times New Roman" w:cs="Times New Roman"/>
          <w:color w:val="000000" w:themeColor="text1"/>
          <w:sz w:val="24"/>
          <w:szCs w:val="24"/>
        </w:rPr>
        <w:t xml:space="preserve"> histograms of city-level </w:t>
      </w:r>
      <w:proofErr w:type="spellStart"/>
      <w:r w:rsidRPr="001B7A54">
        <w:rPr>
          <w:rFonts w:ascii="Times New Roman" w:hAnsi="Times New Roman" w:cs="Times New Roman"/>
          <w:color w:val="000000" w:themeColor="text1"/>
          <w:sz w:val="24"/>
          <w:szCs w:val="24"/>
        </w:rPr>
        <w:t>WAPE</w:t>
      </w:r>
      <w:proofErr w:type="spellEnd"/>
      <w:r w:rsidRPr="001B7A54">
        <w:rPr>
          <w:rFonts w:ascii="Times New Roman" w:hAnsi="Times New Roman" w:cs="Times New Roman"/>
          <w:color w:val="000000" w:themeColor="text1"/>
          <w:sz w:val="24"/>
          <w:szCs w:val="24"/>
        </w:rPr>
        <w:t xml:space="preserve"> frequency for Africa, Asia, Europe, South America, North America, and Oceania. Dashed lines indicate the mean city-level </w:t>
      </w:r>
      <w:proofErr w:type="spellStart"/>
      <w:r w:rsidRPr="001B7A54">
        <w:rPr>
          <w:rFonts w:ascii="Times New Roman" w:hAnsi="Times New Roman" w:cs="Times New Roman"/>
          <w:color w:val="000000" w:themeColor="text1"/>
          <w:sz w:val="24"/>
          <w:szCs w:val="24"/>
        </w:rPr>
        <w:t>WAPE</w:t>
      </w:r>
      <w:proofErr w:type="spellEnd"/>
      <w:r w:rsidRPr="001B7A54">
        <w:rPr>
          <w:rFonts w:ascii="Times New Roman" w:hAnsi="Times New Roman" w:cs="Times New Roman"/>
          <w:color w:val="000000" w:themeColor="text1"/>
          <w:sz w:val="24"/>
          <w:szCs w:val="24"/>
        </w:rPr>
        <w:t xml:space="preserve"> for each respective method.</w:t>
      </w:r>
      <w:bookmarkEnd w:id="16"/>
    </w:p>
    <w:p w14:paraId="708A1AF6" w14:textId="77777777" w:rsidR="00455B7F" w:rsidRDefault="00000000" w:rsidP="001B7A54">
      <w:pPr>
        <w:jc w:val="center"/>
        <w:rPr>
          <w:b/>
          <w:bCs/>
          <w:color w:val="222222"/>
          <w:highlight w:val="white"/>
        </w:rPr>
      </w:pPr>
      <w:bookmarkStart w:id="17" w:name="_oci46alqr8v4" w:colFirst="0" w:colLast="0"/>
      <w:bookmarkEnd w:id="17"/>
      <w:r>
        <w:rPr>
          <w:b/>
          <w:bCs/>
          <w:noProof/>
          <w:color w:val="222222"/>
        </w:rPr>
        <w:drawing>
          <wp:inline distT="0" distB="0" distL="0" distR="0" wp14:anchorId="51937913" wp14:editId="41C7AFD5">
            <wp:extent cx="5259600" cy="7200000"/>
            <wp:effectExtent l="0" t="0" r="0" b="1270"/>
            <wp:docPr id="6" name="image9.png" descr="图片包含 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descr="图片包含 图表&#10;&#10;描述已自动生成"/>
                    <pic:cNvPicPr preferRelativeResize="0"/>
                  </pic:nvPicPr>
                  <pic:blipFill>
                    <a:blip r:embed="rId13"/>
                    <a:srcRect/>
                    <a:stretch>
                      <a:fillRect/>
                    </a:stretch>
                  </pic:blipFill>
                  <pic:spPr>
                    <a:xfrm>
                      <a:off x="0" y="0"/>
                      <a:ext cx="5259600" cy="7200000"/>
                    </a:xfrm>
                    <a:prstGeom prst="rect">
                      <a:avLst/>
                    </a:prstGeom>
                    <a:ln/>
                  </pic:spPr>
                </pic:pic>
              </a:graphicData>
            </a:graphic>
          </wp:inline>
        </w:drawing>
      </w:r>
    </w:p>
    <w:sectPr w:rsidR="00455B7F">
      <w:pgSz w:w="11906" w:h="16838"/>
      <w:pgMar w:top="1440" w:right="1800" w:bottom="1440" w:left="1800" w:header="851" w:footer="992" w:gutter="0"/>
      <w:lnNumType w:countBy="1" w:restart="continuous"/>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Noto Sans Symbols">
    <w:panose1 w:val="020B0604020202020204"/>
    <w:charset w:val="00"/>
    <w:family w:val="auto"/>
    <w:pitch w:val="default"/>
    <w:embedRegular r:id="rId1" w:fontKey="{78E485C9-7C22-6046-B379-7B8A0571CA55}"/>
  </w:font>
  <w:font w:name="宋体">
    <w:altName w:val="SimSun"/>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embedRegular r:id="rId2" w:fontKey="{D1581755-318F-874A-9665-3FF65977F6C7}"/>
    <w:embedBold r:id="rId3" w:fontKey="{5D855580-E6BE-6D4F-A517-B3E150EA2269}"/>
    <w:embedItalic r:id="rId4" w:fontKey="{A91CF43F-4685-A84C-9C20-694A68E41C6D}"/>
    <w:embedBoldItalic r:id="rId5" w:fontKey="{1BC28B30-A7E2-1D4D-83EF-6B09424369E2}"/>
  </w:font>
  <w:font w:name="等线 Light">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200247B" w:usb2="00000009" w:usb3="00000000" w:csb0="000001FF" w:csb1="00000000"/>
    <w:embedRegular r:id="rId6" w:fontKey="{E1488763-8070-954B-B4CA-EF0E89C43E11}"/>
    <w:embedBold r:id="rId7" w:fontKey="{71BB195F-CA00-6D45-A58B-51903599ACC3}"/>
  </w:font>
  <w:font w:name="Cambria">
    <w:panose1 w:val="02040503050406030204"/>
    <w:charset w:val="00"/>
    <w:family w:val="roman"/>
    <w:pitch w:val="variable"/>
    <w:sig w:usb0="E00006FF" w:usb1="420024FF" w:usb2="02000000" w:usb3="00000000" w:csb0="0000019F" w:csb1="00000000"/>
    <w:embedRegular r:id="rId8" w:fontKey="{095A9A19-1733-354F-8AAA-73E4FC2AEB09}"/>
    <w:embedBold r:id="rId9" w:fontKey="{9F559EBF-E74C-9C45-ACDC-9F88DA1C5598}"/>
    <w:embedBoldItalic r:id="rId10" w:fontKey="{1EAB8FD7-F625-D647-9B57-DEA835B95F61}"/>
  </w:font>
  <w:font w:name="DengXian">
    <w:altName w:val="等线"/>
    <w:panose1 w:val="02010600030101010101"/>
    <w:charset w:val="86"/>
    <w:family w:val="auto"/>
    <w:pitch w:val="variable"/>
    <w:sig w:usb0="A00002BF" w:usb1="38CF7CFA" w:usb2="00000016" w:usb3="00000000" w:csb0="0004000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A8B432E"/>
    <w:multiLevelType w:val="multilevel"/>
    <w:tmpl w:val="1DDE128A"/>
    <w:lvl w:ilvl="0">
      <w:start w:val="1"/>
      <w:numFmt w:val="bullet"/>
      <w:lvlText w:val="●"/>
      <w:lvlJc w:val="left"/>
      <w:pPr>
        <w:ind w:left="680" w:hanging="440"/>
      </w:pPr>
      <w:rPr>
        <w:rFonts w:ascii="Noto Sans Symbols" w:eastAsia="Noto Sans Symbols" w:hAnsi="Noto Sans Symbols" w:cs="Noto Sans Symbols"/>
      </w:rPr>
    </w:lvl>
    <w:lvl w:ilvl="1">
      <w:start w:val="1"/>
      <w:numFmt w:val="bullet"/>
      <w:lvlText w:val="■"/>
      <w:lvlJc w:val="left"/>
      <w:pPr>
        <w:ind w:left="1120" w:hanging="440"/>
      </w:pPr>
      <w:rPr>
        <w:rFonts w:ascii="Noto Sans Symbols" w:eastAsia="Noto Sans Symbols" w:hAnsi="Noto Sans Symbols" w:cs="Noto Sans Symbols"/>
      </w:rPr>
    </w:lvl>
    <w:lvl w:ilvl="2">
      <w:start w:val="1"/>
      <w:numFmt w:val="bullet"/>
      <w:lvlText w:val="◆"/>
      <w:lvlJc w:val="left"/>
      <w:pPr>
        <w:ind w:left="1560" w:hanging="440"/>
      </w:pPr>
      <w:rPr>
        <w:rFonts w:ascii="Noto Sans Symbols" w:eastAsia="Noto Sans Symbols" w:hAnsi="Noto Sans Symbols" w:cs="Noto Sans Symbols"/>
      </w:rPr>
    </w:lvl>
    <w:lvl w:ilvl="3">
      <w:start w:val="1"/>
      <w:numFmt w:val="bullet"/>
      <w:lvlText w:val="●"/>
      <w:lvlJc w:val="left"/>
      <w:pPr>
        <w:ind w:left="2000" w:hanging="440"/>
      </w:pPr>
      <w:rPr>
        <w:rFonts w:ascii="Noto Sans Symbols" w:eastAsia="Noto Sans Symbols" w:hAnsi="Noto Sans Symbols" w:cs="Noto Sans Symbols"/>
      </w:rPr>
    </w:lvl>
    <w:lvl w:ilvl="4">
      <w:start w:val="1"/>
      <w:numFmt w:val="bullet"/>
      <w:lvlText w:val="■"/>
      <w:lvlJc w:val="left"/>
      <w:pPr>
        <w:ind w:left="2440" w:hanging="440"/>
      </w:pPr>
      <w:rPr>
        <w:rFonts w:ascii="Noto Sans Symbols" w:eastAsia="Noto Sans Symbols" w:hAnsi="Noto Sans Symbols" w:cs="Noto Sans Symbols"/>
      </w:rPr>
    </w:lvl>
    <w:lvl w:ilvl="5">
      <w:start w:val="1"/>
      <w:numFmt w:val="bullet"/>
      <w:lvlText w:val="◆"/>
      <w:lvlJc w:val="left"/>
      <w:pPr>
        <w:ind w:left="2880" w:hanging="440"/>
      </w:pPr>
      <w:rPr>
        <w:rFonts w:ascii="Noto Sans Symbols" w:eastAsia="Noto Sans Symbols" w:hAnsi="Noto Sans Symbols" w:cs="Noto Sans Symbols"/>
      </w:rPr>
    </w:lvl>
    <w:lvl w:ilvl="6">
      <w:start w:val="1"/>
      <w:numFmt w:val="bullet"/>
      <w:lvlText w:val="●"/>
      <w:lvlJc w:val="left"/>
      <w:pPr>
        <w:ind w:left="3320" w:hanging="440"/>
      </w:pPr>
      <w:rPr>
        <w:rFonts w:ascii="Noto Sans Symbols" w:eastAsia="Noto Sans Symbols" w:hAnsi="Noto Sans Symbols" w:cs="Noto Sans Symbols"/>
      </w:rPr>
    </w:lvl>
    <w:lvl w:ilvl="7">
      <w:start w:val="1"/>
      <w:numFmt w:val="bullet"/>
      <w:lvlText w:val="■"/>
      <w:lvlJc w:val="left"/>
      <w:pPr>
        <w:ind w:left="3760" w:hanging="440"/>
      </w:pPr>
      <w:rPr>
        <w:rFonts w:ascii="Noto Sans Symbols" w:eastAsia="Noto Sans Symbols" w:hAnsi="Noto Sans Symbols" w:cs="Noto Sans Symbols"/>
      </w:rPr>
    </w:lvl>
    <w:lvl w:ilvl="8">
      <w:start w:val="1"/>
      <w:numFmt w:val="bullet"/>
      <w:lvlText w:val="◆"/>
      <w:lvlJc w:val="left"/>
      <w:pPr>
        <w:ind w:left="4200" w:hanging="440"/>
      </w:pPr>
      <w:rPr>
        <w:rFonts w:ascii="Noto Sans Symbols" w:eastAsia="Noto Sans Symbols" w:hAnsi="Noto Sans Symbols" w:cs="Noto Sans Symbols"/>
      </w:rPr>
    </w:lvl>
  </w:abstractNum>
  <w:abstractNum w:abstractNumId="1" w15:restartNumberingAfterBreak="0">
    <w:nsid w:val="35AE15FB"/>
    <w:multiLevelType w:val="multilevel"/>
    <w:tmpl w:val="FD320614"/>
    <w:lvl w:ilvl="0">
      <w:start w:val="1"/>
      <w:numFmt w:val="decimal"/>
      <w:lvlText w:val="%1."/>
      <w:lvlJc w:val="left"/>
      <w:pPr>
        <w:ind w:left="440" w:hanging="440"/>
      </w:p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2" w15:restartNumberingAfterBreak="0">
    <w:nsid w:val="5C766D69"/>
    <w:multiLevelType w:val="multilevel"/>
    <w:tmpl w:val="6134627C"/>
    <w:lvl w:ilvl="0">
      <w:start w:val="1"/>
      <w:numFmt w:val="decimal"/>
      <w:lvlText w:val="%1."/>
      <w:lvlJc w:val="left"/>
      <w:pPr>
        <w:ind w:left="440" w:hanging="440"/>
      </w:p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num w:numId="1" w16cid:durableId="13965464">
    <w:abstractNumId w:val="0"/>
  </w:num>
  <w:num w:numId="2" w16cid:durableId="675621273">
    <w:abstractNumId w:val="1"/>
  </w:num>
  <w:num w:numId="3" w16cid:durableId="40268018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3"/>
  <w:embedTrueTypeFonts/>
  <w:bordersDoNotSurroundHeader/>
  <w:bordersDoNotSurroundFooter/>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55B7F"/>
    <w:rsid w:val="00180AEE"/>
    <w:rsid w:val="001B7A54"/>
    <w:rsid w:val="002C1E67"/>
    <w:rsid w:val="00455B7F"/>
    <w:rsid w:val="005D7B2D"/>
    <w:rsid w:val="009065FC"/>
    <w:rsid w:val="00AA419F"/>
    <w:rsid w:val="00B016A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166549"/>
  <w14:defaultImageDpi w14:val="32767"/>
  <w15:docId w15:val="{57DF96E4-DB9F-3248-AF2F-98FFE35ACD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宋体" w:eastAsia="宋体" w:hAnsi="宋体" w:cs="宋体"/>
        <w:sz w:val="24"/>
        <w:szCs w:val="24"/>
        <w:lang w:val="en"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uiPriority w:val="9"/>
    <w:qFormat/>
    <w:pPr>
      <w:keepNext/>
      <w:keepLines/>
      <w:spacing w:line="276" w:lineRule="auto"/>
      <w:jc w:val="both"/>
      <w:outlineLvl w:val="0"/>
    </w:pPr>
    <w:rPr>
      <w:rFonts w:ascii="Times New Roman" w:eastAsia="Times New Roman" w:hAnsi="Times New Roman" w:cs="Times New Roman"/>
      <w:b/>
      <w:bCs/>
      <w:color w:val="0E0E0E"/>
    </w:rPr>
  </w:style>
  <w:style w:type="paragraph" w:styleId="2">
    <w:name w:val="heading 2"/>
    <w:basedOn w:val="a"/>
    <w:next w:val="a"/>
    <w:uiPriority w:val="9"/>
    <w:unhideWhenUsed/>
    <w:qFormat/>
    <w:pPr>
      <w:keepNext/>
      <w:keepLines/>
      <w:spacing w:before="160" w:after="80"/>
      <w:outlineLvl w:val="1"/>
    </w:pPr>
    <w:rPr>
      <w:rFonts w:ascii="等线 Light" w:eastAsia="等线 Light" w:hAnsi="等线 Light" w:cs="等线 Light"/>
      <w:color w:val="0F4761"/>
      <w:sz w:val="40"/>
      <w:szCs w:val="40"/>
    </w:rPr>
  </w:style>
  <w:style w:type="paragraph" w:styleId="3">
    <w:name w:val="heading 3"/>
    <w:basedOn w:val="a"/>
    <w:next w:val="a"/>
    <w:uiPriority w:val="9"/>
    <w:semiHidden/>
    <w:unhideWhenUsed/>
    <w:qFormat/>
    <w:pPr>
      <w:keepNext/>
      <w:keepLines/>
      <w:spacing w:before="160" w:after="80"/>
      <w:outlineLvl w:val="2"/>
    </w:pPr>
    <w:rPr>
      <w:rFonts w:ascii="等线 Light" w:eastAsia="等线 Light" w:hAnsi="等线 Light" w:cs="等线 Light"/>
      <w:color w:val="0F4761"/>
      <w:sz w:val="32"/>
      <w:szCs w:val="32"/>
    </w:rPr>
  </w:style>
  <w:style w:type="paragraph" w:styleId="4">
    <w:name w:val="heading 4"/>
    <w:basedOn w:val="a"/>
    <w:next w:val="a"/>
    <w:uiPriority w:val="9"/>
    <w:semiHidden/>
    <w:unhideWhenUsed/>
    <w:qFormat/>
    <w:pPr>
      <w:keepNext/>
      <w:keepLines/>
      <w:spacing w:before="80" w:after="40"/>
      <w:outlineLvl w:val="3"/>
    </w:pPr>
    <w:rPr>
      <w:color w:val="0F4761"/>
      <w:sz w:val="28"/>
      <w:szCs w:val="28"/>
    </w:rPr>
  </w:style>
  <w:style w:type="paragraph" w:styleId="5">
    <w:name w:val="heading 5"/>
    <w:basedOn w:val="a"/>
    <w:next w:val="a"/>
    <w:uiPriority w:val="9"/>
    <w:semiHidden/>
    <w:unhideWhenUsed/>
    <w:qFormat/>
    <w:pPr>
      <w:keepNext/>
      <w:keepLines/>
      <w:spacing w:before="80" w:after="40"/>
      <w:outlineLvl w:val="4"/>
    </w:pPr>
    <w:rPr>
      <w:color w:val="0F4761"/>
    </w:rPr>
  </w:style>
  <w:style w:type="paragraph" w:styleId="6">
    <w:name w:val="heading 6"/>
    <w:basedOn w:val="a"/>
    <w:next w:val="a"/>
    <w:uiPriority w:val="9"/>
    <w:semiHidden/>
    <w:unhideWhenUsed/>
    <w:qFormat/>
    <w:pPr>
      <w:keepNext/>
      <w:keepLines/>
      <w:spacing w:before="40"/>
      <w:outlineLvl w:val="5"/>
    </w:pPr>
    <w:rPr>
      <w:b/>
      <w:bCs/>
      <w:color w:val="0F476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a3">
    <w:name w:val="Title"/>
    <w:basedOn w:val="a"/>
    <w:next w:val="a"/>
    <w:uiPriority w:val="10"/>
    <w:qFormat/>
    <w:pPr>
      <w:spacing w:after="80"/>
      <w:jc w:val="center"/>
    </w:pPr>
    <w:rPr>
      <w:rFonts w:ascii="等线 Light" w:eastAsia="等线 Light" w:hAnsi="等线 Light" w:cs="等线 Light"/>
      <w:sz w:val="56"/>
      <w:szCs w:val="56"/>
    </w:rPr>
  </w:style>
  <w:style w:type="paragraph" w:styleId="a4">
    <w:name w:val="Subtitle"/>
    <w:basedOn w:val="a"/>
    <w:next w:val="a"/>
    <w:uiPriority w:val="11"/>
    <w:qFormat/>
    <w:pPr>
      <w:jc w:val="center"/>
    </w:pPr>
    <w:rPr>
      <w:rFonts w:ascii="等线 Light" w:eastAsia="等线 Light" w:hAnsi="等线 Light" w:cs="等线 Light"/>
      <w:color w:val="595959"/>
      <w:sz w:val="28"/>
      <w:szCs w:val="28"/>
    </w:rPr>
  </w:style>
  <w:style w:type="table" w:customStyle="1" w:styleId="a5">
    <w:basedOn w:val="TableNormal"/>
    <w:tblPr>
      <w:tblStyleRowBandSize w:val="1"/>
      <w:tblStyleColBandSize w:val="1"/>
    </w:tblPr>
  </w:style>
  <w:style w:type="table" w:customStyle="1" w:styleId="a6">
    <w:basedOn w:val="TableNormal"/>
    <w:tblPr>
      <w:tblStyleRowBandSize w:val="1"/>
      <w:tblStyleColBandSize w:val="1"/>
      <w:tblCellMar>
        <w:top w:w="0" w:type="dxa"/>
        <w:left w:w="108" w:type="dxa"/>
        <w:bottom w:w="0" w:type="dxa"/>
        <w:right w:w="108" w:type="dxa"/>
      </w:tblCellMar>
    </w:tblPr>
  </w:style>
  <w:style w:type="table" w:customStyle="1" w:styleId="a7">
    <w:basedOn w:val="TableNormal"/>
    <w:tblPr>
      <w:tblStyleRowBandSize w:val="1"/>
      <w:tblStyleColBandSize w:val="1"/>
      <w:tblCellMar>
        <w:top w:w="0" w:type="dxa"/>
        <w:left w:w="108" w:type="dxa"/>
        <w:bottom w:w="0" w:type="dxa"/>
        <w:right w:w="108" w:type="dxa"/>
      </w:tblCellMar>
    </w:tblPr>
  </w:style>
  <w:style w:type="table" w:customStyle="1" w:styleId="a8">
    <w:basedOn w:val="TableNormal"/>
    <w:tblPr>
      <w:tblStyleRowBandSize w:val="1"/>
      <w:tblStyleColBandSize w:val="1"/>
      <w:tblCellMar>
        <w:top w:w="0" w:type="dxa"/>
        <w:left w:w="108" w:type="dxa"/>
        <w:bottom w:w="0" w:type="dxa"/>
        <w:right w:w="108" w:type="dxa"/>
      </w:tblCellMar>
    </w:tblPr>
  </w:style>
  <w:style w:type="table" w:customStyle="1" w:styleId="a9">
    <w:basedOn w:val="TableNormal"/>
    <w:tblPr>
      <w:tblStyleRowBandSize w:val="1"/>
      <w:tblStyleColBandSize w:val="1"/>
      <w:tblCellMar>
        <w:top w:w="0" w:type="dxa"/>
        <w:left w:w="108" w:type="dxa"/>
        <w:bottom w:w="0" w:type="dxa"/>
        <w:right w:w="108" w:type="dxa"/>
      </w:tblCellMar>
    </w:tblPr>
  </w:style>
  <w:style w:type="table" w:customStyle="1" w:styleId="aa">
    <w:basedOn w:val="TableNormal"/>
    <w:tblPr>
      <w:tblStyleRowBandSize w:val="1"/>
      <w:tblStyleColBandSize w:val="1"/>
      <w:tblCellMar>
        <w:top w:w="0" w:type="dxa"/>
        <w:left w:w="108" w:type="dxa"/>
        <w:bottom w:w="0" w:type="dxa"/>
        <w:right w:w="108" w:type="dxa"/>
      </w:tblCellMar>
    </w:tblPr>
  </w:style>
  <w:style w:type="table" w:customStyle="1" w:styleId="ab">
    <w:basedOn w:val="TableNormal"/>
    <w:tblPr>
      <w:tblStyleRowBandSize w:val="1"/>
      <w:tblStyleColBandSize w:val="1"/>
      <w:tblCellMar>
        <w:top w:w="0" w:type="dxa"/>
        <w:left w:w="108" w:type="dxa"/>
        <w:bottom w:w="0" w:type="dxa"/>
        <w:right w:w="108" w:type="dxa"/>
      </w:tblCellMar>
    </w:tblPr>
  </w:style>
  <w:style w:type="paragraph" w:styleId="ac">
    <w:name w:val="annotation text"/>
    <w:basedOn w:val="a"/>
    <w:link w:val="ad"/>
    <w:uiPriority w:val="99"/>
    <w:semiHidden/>
    <w:unhideWhenUsed/>
  </w:style>
  <w:style w:type="character" w:customStyle="1" w:styleId="ad">
    <w:name w:val="批注文字 字符"/>
    <w:basedOn w:val="a0"/>
    <w:link w:val="ac"/>
    <w:uiPriority w:val="99"/>
    <w:semiHidden/>
  </w:style>
  <w:style w:type="character" w:styleId="ae">
    <w:name w:val="annotation reference"/>
    <w:basedOn w:val="a0"/>
    <w:uiPriority w:val="99"/>
    <w:semiHidden/>
    <w:unhideWhenUsed/>
    <w:rPr>
      <w:sz w:val="21"/>
      <w:szCs w:val="21"/>
    </w:rPr>
  </w:style>
  <w:style w:type="character" w:styleId="af">
    <w:name w:val="line number"/>
    <w:basedOn w:val="a0"/>
    <w:uiPriority w:val="99"/>
    <w:semiHidden/>
    <w:unhideWhenUsed/>
    <w:rsid w:val="001B7A54"/>
  </w:style>
  <w:style w:type="paragraph" w:styleId="TOC">
    <w:name w:val="TOC Heading"/>
    <w:basedOn w:val="1"/>
    <w:next w:val="a"/>
    <w:uiPriority w:val="39"/>
    <w:unhideWhenUsed/>
    <w:qFormat/>
    <w:rsid w:val="00AA419F"/>
    <w:pPr>
      <w:spacing w:before="480"/>
      <w:jc w:val="left"/>
      <w:outlineLvl w:val="9"/>
    </w:pPr>
    <w:rPr>
      <w:rFonts w:asciiTheme="majorHAnsi" w:eastAsiaTheme="majorEastAsia" w:hAnsiTheme="majorHAnsi" w:cstheme="majorBidi"/>
      <w:color w:val="365F91" w:themeColor="accent1" w:themeShade="BF"/>
      <w:sz w:val="28"/>
      <w:szCs w:val="28"/>
      <w:lang w:val="en-US"/>
    </w:rPr>
  </w:style>
  <w:style w:type="paragraph" w:styleId="TOC1">
    <w:name w:val="toc 1"/>
    <w:basedOn w:val="a"/>
    <w:next w:val="a"/>
    <w:autoRedefine/>
    <w:uiPriority w:val="39"/>
    <w:unhideWhenUsed/>
    <w:rsid w:val="00AA419F"/>
    <w:pPr>
      <w:spacing w:before="120"/>
    </w:pPr>
    <w:rPr>
      <w:rFonts w:asciiTheme="minorHAnsi" w:hAnsiTheme="minorHAnsi"/>
      <w:b/>
      <w:bCs/>
      <w:i/>
      <w:iCs/>
    </w:rPr>
  </w:style>
  <w:style w:type="paragraph" w:styleId="TOC2">
    <w:name w:val="toc 2"/>
    <w:basedOn w:val="a"/>
    <w:next w:val="a"/>
    <w:autoRedefine/>
    <w:uiPriority w:val="39"/>
    <w:unhideWhenUsed/>
    <w:rsid w:val="00AA419F"/>
    <w:pPr>
      <w:spacing w:before="120"/>
      <w:ind w:left="240"/>
    </w:pPr>
    <w:rPr>
      <w:rFonts w:asciiTheme="minorHAnsi" w:hAnsiTheme="minorHAnsi"/>
      <w:b/>
      <w:bCs/>
      <w:sz w:val="22"/>
      <w:szCs w:val="22"/>
    </w:rPr>
  </w:style>
  <w:style w:type="character" w:styleId="af0">
    <w:name w:val="Hyperlink"/>
    <w:basedOn w:val="a0"/>
    <w:uiPriority w:val="99"/>
    <w:unhideWhenUsed/>
    <w:rsid w:val="00AA419F"/>
    <w:rPr>
      <w:color w:val="0000FF" w:themeColor="hyperlink"/>
      <w:u w:val="single"/>
    </w:rPr>
  </w:style>
  <w:style w:type="paragraph" w:styleId="TOC3">
    <w:name w:val="toc 3"/>
    <w:basedOn w:val="a"/>
    <w:next w:val="a"/>
    <w:autoRedefine/>
    <w:uiPriority w:val="39"/>
    <w:unhideWhenUsed/>
    <w:rsid w:val="00AA419F"/>
    <w:pPr>
      <w:ind w:left="480"/>
    </w:pPr>
    <w:rPr>
      <w:rFonts w:asciiTheme="minorHAnsi" w:hAnsiTheme="minorHAnsi"/>
      <w:sz w:val="20"/>
      <w:szCs w:val="20"/>
    </w:rPr>
  </w:style>
  <w:style w:type="paragraph" w:styleId="TOC4">
    <w:name w:val="toc 4"/>
    <w:basedOn w:val="a"/>
    <w:next w:val="a"/>
    <w:autoRedefine/>
    <w:uiPriority w:val="39"/>
    <w:semiHidden/>
    <w:unhideWhenUsed/>
    <w:rsid w:val="00AA419F"/>
    <w:pPr>
      <w:ind w:left="720"/>
    </w:pPr>
    <w:rPr>
      <w:rFonts w:asciiTheme="minorHAnsi" w:hAnsiTheme="minorHAnsi"/>
      <w:sz w:val="20"/>
      <w:szCs w:val="20"/>
    </w:rPr>
  </w:style>
  <w:style w:type="paragraph" w:styleId="TOC5">
    <w:name w:val="toc 5"/>
    <w:basedOn w:val="a"/>
    <w:next w:val="a"/>
    <w:autoRedefine/>
    <w:uiPriority w:val="39"/>
    <w:semiHidden/>
    <w:unhideWhenUsed/>
    <w:rsid w:val="00AA419F"/>
    <w:pPr>
      <w:ind w:left="960"/>
    </w:pPr>
    <w:rPr>
      <w:rFonts w:asciiTheme="minorHAnsi" w:hAnsiTheme="minorHAnsi"/>
      <w:sz w:val="20"/>
      <w:szCs w:val="20"/>
    </w:rPr>
  </w:style>
  <w:style w:type="paragraph" w:styleId="TOC6">
    <w:name w:val="toc 6"/>
    <w:basedOn w:val="a"/>
    <w:next w:val="a"/>
    <w:autoRedefine/>
    <w:uiPriority w:val="39"/>
    <w:semiHidden/>
    <w:unhideWhenUsed/>
    <w:rsid w:val="00AA419F"/>
    <w:pPr>
      <w:ind w:left="1200"/>
    </w:pPr>
    <w:rPr>
      <w:rFonts w:asciiTheme="minorHAnsi" w:hAnsiTheme="minorHAnsi"/>
      <w:sz w:val="20"/>
      <w:szCs w:val="20"/>
    </w:rPr>
  </w:style>
  <w:style w:type="paragraph" w:styleId="TOC7">
    <w:name w:val="toc 7"/>
    <w:basedOn w:val="a"/>
    <w:next w:val="a"/>
    <w:autoRedefine/>
    <w:uiPriority w:val="39"/>
    <w:semiHidden/>
    <w:unhideWhenUsed/>
    <w:rsid w:val="00AA419F"/>
    <w:pPr>
      <w:ind w:left="1440"/>
    </w:pPr>
    <w:rPr>
      <w:rFonts w:asciiTheme="minorHAnsi" w:hAnsiTheme="minorHAnsi"/>
      <w:sz w:val="20"/>
      <w:szCs w:val="20"/>
    </w:rPr>
  </w:style>
  <w:style w:type="paragraph" w:styleId="TOC8">
    <w:name w:val="toc 8"/>
    <w:basedOn w:val="a"/>
    <w:next w:val="a"/>
    <w:autoRedefine/>
    <w:uiPriority w:val="39"/>
    <w:semiHidden/>
    <w:unhideWhenUsed/>
    <w:rsid w:val="00AA419F"/>
    <w:pPr>
      <w:ind w:left="1680"/>
    </w:pPr>
    <w:rPr>
      <w:rFonts w:asciiTheme="minorHAnsi" w:hAnsiTheme="minorHAnsi"/>
      <w:sz w:val="20"/>
      <w:szCs w:val="20"/>
    </w:rPr>
  </w:style>
  <w:style w:type="paragraph" w:styleId="TOC9">
    <w:name w:val="toc 9"/>
    <w:basedOn w:val="a"/>
    <w:next w:val="a"/>
    <w:autoRedefine/>
    <w:uiPriority w:val="39"/>
    <w:semiHidden/>
    <w:unhideWhenUsed/>
    <w:rsid w:val="00AA419F"/>
    <w:pPr>
      <w:ind w:left="1920"/>
    </w:pPr>
    <w:rPr>
      <w:rFonts w:asciiTheme="minorHAnsi" w:hAnsi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image" Target="media/image7.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BD17CD-F08E-AB4D-8D90-71D5840077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TotalTime>
  <Pages>11</Pages>
  <Words>1244</Words>
  <Characters>7717</Characters>
  <Application>Microsoft Office Word</Application>
  <DocSecurity>0</DocSecurity>
  <Lines>130</Lines>
  <Paragraphs>34</Paragraphs>
  <ScaleCrop>false</ScaleCrop>
  <Company/>
  <LinksUpToDate>false</LinksUpToDate>
  <CharactersWithSpaces>8927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zhangzhixin</cp:lastModifiedBy>
  <cp:revision>7</cp:revision>
  <dcterms:created xsi:type="dcterms:W3CDTF">2026-02-21T02:13:00Z</dcterms:created>
  <dcterms:modified xsi:type="dcterms:W3CDTF">2026-02-25T20:37:00Z</dcterms:modified>
</cp:coreProperties>
</file>