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7CF6" w:rsidRDefault="00B57CF6" w:rsidP="00EB6FD3">
      <w:pPr>
        <w:autoSpaceDE w:val="0"/>
        <w:autoSpaceDN w:val="0"/>
        <w:adjustRightInd w:val="0"/>
        <w:jc w:val="left"/>
        <w:rPr>
          <w:rFonts w:ascii="Times New Roman" w:hAnsi="Times New Roman" w:cs="Times New Roman"/>
          <w:b/>
          <w:kern w:val="2"/>
          <w:szCs w:val="22"/>
        </w:rPr>
      </w:pPr>
      <w:r w:rsidRPr="005161A3">
        <w:rPr>
          <w:rFonts w:ascii="Times New Roman" w:hAnsi="Times New Roman" w:cs="Times New Roman"/>
          <w:b/>
          <w:kern w:val="2"/>
          <w:szCs w:val="22"/>
        </w:rPr>
        <w:t xml:space="preserve">Supplementary appendix </w:t>
      </w:r>
    </w:p>
    <w:p w:rsidR="00B57CF6" w:rsidRDefault="00B57CF6" w:rsidP="00EB6FD3">
      <w:pPr>
        <w:autoSpaceDE w:val="0"/>
        <w:autoSpaceDN w:val="0"/>
        <w:adjustRightInd w:val="0"/>
        <w:jc w:val="left"/>
        <w:rPr>
          <w:rFonts w:ascii="Times New Roman" w:hAnsi="Times New Roman" w:cs="Times New Roman"/>
          <w:b/>
          <w:kern w:val="2"/>
          <w:szCs w:val="22"/>
        </w:rPr>
      </w:pPr>
    </w:p>
    <w:p w:rsidR="00B57CF6" w:rsidRDefault="00B57CF6" w:rsidP="00EB6FD3">
      <w:pPr>
        <w:autoSpaceDE w:val="0"/>
        <w:autoSpaceDN w:val="0"/>
        <w:adjustRightInd w:val="0"/>
        <w:jc w:val="left"/>
        <w:rPr>
          <w:rFonts w:ascii="Times New Roman" w:hAnsi="Times New Roman" w:cs="Times New Roman"/>
          <w:b/>
          <w:kern w:val="2"/>
          <w:szCs w:val="22"/>
        </w:rPr>
      </w:pPr>
      <w:r w:rsidRPr="008C3461">
        <w:rPr>
          <w:rFonts w:ascii="Times New Roman" w:hAnsi="Times New Roman" w:cs="Times New Roman"/>
          <w:b/>
          <w:kern w:val="2"/>
          <w:szCs w:val="22"/>
        </w:rPr>
        <w:t>Supplementary tables</w:t>
      </w:r>
    </w:p>
    <w:p w:rsidR="00B57CF6" w:rsidRDefault="00B57CF6" w:rsidP="00EB6FD3">
      <w:pPr>
        <w:autoSpaceDE w:val="0"/>
        <w:autoSpaceDN w:val="0"/>
        <w:adjustRightInd w:val="0"/>
        <w:jc w:val="left"/>
        <w:rPr>
          <w:rFonts w:ascii="Times New Roman" w:hAnsi="Times New Roman" w:cs="Times New Roman"/>
          <w:kern w:val="2"/>
          <w:szCs w:val="22"/>
        </w:rPr>
      </w:pPr>
      <w:r w:rsidRPr="009E3E97">
        <w:rPr>
          <w:rFonts w:ascii="Times New Roman" w:hAnsi="Times New Roman" w:cs="Times New Roman"/>
          <w:b/>
          <w:kern w:val="2"/>
          <w:szCs w:val="22"/>
        </w:rPr>
        <w:t xml:space="preserve">Table S1 </w:t>
      </w:r>
      <w:r w:rsidRPr="009E3E97">
        <w:rPr>
          <w:rFonts w:ascii="Times New Roman" w:hAnsi="Times New Roman" w:cs="Times New Roman"/>
          <w:kern w:val="2"/>
          <w:szCs w:val="22"/>
        </w:rPr>
        <w:t>Sensitivity analysis between patients with or without biomarker data.</w:t>
      </w:r>
    </w:p>
    <w:p w:rsidR="00B57CF6" w:rsidRPr="00521CDF" w:rsidRDefault="00B57CF6" w:rsidP="00EB6FD3">
      <w:pPr>
        <w:rPr>
          <w:rFonts w:ascii="Times New Roman" w:hAnsi="Times New Roman" w:cs="Times New Roman"/>
          <w:b/>
          <w:kern w:val="2"/>
          <w:szCs w:val="22"/>
        </w:rPr>
      </w:pPr>
      <w:r w:rsidRPr="00521CDF">
        <w:rPr>
          <w:rFonts w:ascii="Times New Roman" w:hAnsi="Times New Roman" w:cs="Times New Roman"/>
          <w:b/>
          <w:bCs/>
          <w:kern w:val="2"/>
          <w:szCs w:val="22"/>
        </w:rPr>
        <w:t xml:space="preserve">Table </w:t>
      </w:r>
      <w:r>
        <w:rPr>
          <w:rFonts w:ascii="Times New Roman" w:hAnsi="Times New Roman" w:cs="Times New Roman" w:hint="eastAsia"/>
          <w:b/>
          <w:bCs/>
          <w:kern w:val="2"/>
          <w:szCs w:val="22"/>
        </w:rPr>
        <w:t>S</w:t>
      </w:r>
      <w:r w:rsidRPr="00521CDF">
        <w:rPr>
          <w:rFonts w:ascii="Times New Roman" w:hAnsi="Times New Roman" w:cs="Times New Roman"/>
          <w:b/>
          <w:bCs/>
          <w:kern w:val="2"/>
          <w:szCs w:val="22"/>
        </w:rPr>
        <w:t>2</w:t>
      </w:r>
      <w:r w:rsidRPr="00521CDF">
        <w:rPr>
          <w:rFonts w:ascii="Times New Roman" w:hAnsi="Times New Roman" w:cs="Times New Roman"/>
          <w:b/>
          <w:kern w:val="2"/>
          <w:szCs w:val="22"/>
        </w:rPr>
        <w:t xml:space="preserve"> </w:t>
      </w:r>
      <w:r w:rsidRPr="00521CDF">
        <w:rPr>
          <w:rFonts w:ascii="Times New Roman" w:hAnsi="Times New Roman" w:cs="Times New Roman"/>
          <w:kern w:val="2"/>
        </w:rPr>
        <w:t>Diagnostic accuracy of different cutoff values of biomarkers (n = 2349).</w:t>
      </w:r>
    </w:p>
    <w:p w:rsidR="00B57CF6" w:rsidRPr="009E3E97" w:rsidRDefault="00B57CF6" w:rsidP="00EB6FD3">
      <w:pPr>
        <w:rPr>
          <w:rFonts w:ascii="Times New Roman" w:hAnsi="Times New Roman" w:cs="Times New Roman"/>
          <w:kern w:val="2"/>
          <w:szCs w:val="22"/>
        </w:rPr>
      </w:pPr>
      <w:r w:rsidRPr="009E3E97">
        <w:rPr>
          <w:rFonts w:ascii="Times New Roman" w:hAnsi="Times New Roman" w:cs="Times New Roman"/>
          <w:b/>
          <w:bCs/>
          <w:kern w:val="2"/>
          <w:szCs w:val="22"/>
        </w:rPr>
        <w:t>Table S</w:t>
      </w:r>
      <w:r>
        <w:rPr>
          <w:rFonts w:ascii="Times New Roman" w:hAnsi="Times New Roman" w:cs="Times New Roman"/>
          <w:b/>
          <w:bCs/>
          <w:kern w:val="2"/>
          <w:szCs w:val="22"/>
        </w:rPr>
        <w:t>3</w:t>
      </w:r>
      <w:r w:rsidRPr="009E3E97">
        <w:rPr>
          <w:rFonts w:ascii="Times New Roman" w:hAnsi="Times New Roman" w:cs="Times New Roman"/>
          <w:b/>
          <w:bCs/>
          <w:kern w:val="2"/>
          <w:szCs w:val="22"/>
        </w:rPr>
        <w:t xml:space="preserve"> </w:t>
      </w:r>
      <w:r w:rsidRPr="009E3E97">
        <w:rPr>
          <w:rFonts w:ascii="Times New Roman" w:hAnsi="Times New Roman" w:cs="Times New Roman"/>
          <w:kern w:val="2"/>
          <w:szCs w:val="22"/>
        </w:rPr>
        <w:t>Diagnostic accuracy of different combinations of two biomarkers</w:t>
      </w:r>
      <w:r w:rsidRPr="009E3E97">
        <w:rPr>
          <w:rFonts w:ascii="Times New Roman" w:hAnsi="Times New Roman" w:cs="Times New Roman"/>
        </w:rPr>
        <w:t xml:space="preserve"> </w:t>
      </w:r>
      <w:r w:rsidRPr="009E3E97">
        <w:rPr>
          <w:rFonts w:ascii="Times New Roman" w:hAnsi="Times New Roman" w:cs="Times New Roman"/>
          <w:kern w:val="2"/>
          <w:szCs w:val="22"/>
        </w:rPr>
        <w:t>(n = 2349).</w:t>
      </w:r>
    </w:p>
    <w:p w:rsidR="00B57CF6" w:rsidRPr="00521CDF" w:rsidRDefault="00B57CF6" w:rsidP="00EB6FD3">
      <w:pPr>
        <w:rPr>
          <w:rFonts w:ascii="Times New Roman" w:hAnsi="Times New Roman" w:cs="Times New Roman"/>
          <w:kern w:val="2"/>
          <w:szCs w:val="22"/>
        </w:rPr>
      </w:pPr>
      <w:r w:rsidRPr="00521CDF">
        <w:rPr>
          <w:rFonts w:ascii="Times New Roman" w:hAnsi="Times New Roman" w:cs="Times New Roman"/>
          <w:b/>
          <w:kern w:val="2"/>
          <w:szCs w:val="22"/>
        </w:rPr>
        <w:t xml:space="preserve">Table </w:t>
      </w:r>
      <w:r>
        <w:rPr>
          <w:rFonts w:ascii="Times New Roman" w:hAnsi="Times New Roman" w:cs="Times New Roman" w:hint="eastAsia"/>
          <w:b/>
          <w:kern w:val="2"/>
          <w:szCs w:val="22"/>
        </w:rPr>
        <w:t>S</w:t>
      </w:r>
      <w:r w:rsidRPr="00521CDF">
        <w:rPr>
          <w:rFonts w:ascii="Times New Roman" w:hAnsi="Times New Roman" w:cs="Times New Roman"/>
          <w:b/>
          <w:kern w:val="2"/>
          <w:szCs w:val="22"/>
        </w:rPr>
        <w:t xml:space="preserve">4 </w:t>
      </w:r>
      <w:r w:rsidRPr="009516A0">
        <w:rPr>
          <w:rFonts w:ascii="Times New Roman" w:hAnsi="Times New Roman" w:cs="Times New Roman"/>
          <w:kern w:val="2"/>
          <w:szCs w:val="22"/>
        </w:rPr>
        <w:t>Diagnostic accuracy of simultaneously elevated biomarkers</w:t>
      </w:r>
      <w:r>
        <w:rPr>
          <w:rFonts w:ascii="Times New Roman" w:hAnsi="Times New Roman" w:cs="Times New Roman"/>
          <w:kern w:val="2"/>
          <w:szCs w:val="22"/>
        </w:rPr>
        <w:t>.</w:t>
      </w:r>
    </w:p>
    <w:p w:rsidR="00B57CF6" w:rsidRPr="00284A16" w:rsidRDefault="00B57CF6" w:rsidP="00EB6FD3">
      <w:pPr>
        <w:widowControl/>
        <w:jc w:val="left"/>
        <w:rPr>
          <w:rFonts w:ascii="Times New Roman" w:hAnsi="Times New Roman" w:cs="Times New Roman"/>
          <w:kern w:val="2"/>
          <w:szCs w:val="22"/>
        </w:rPr>
      </w:pPr>
      <w:r w:rsidRPr="00284A16">
        <w:rPr>
          <w:rFonts w:ascii="Times New Roman" w:hAnsi="Times New Roman" w:cs="Times New Roman"/>
          <w:b/>
          <w:kern w:val="2"/>
          <w:szCs w:val="22"/>
        </w:rPr>
        <w:t>Table S</w:t>
      </w:r>
      <w:r>
        <w:rPr>
          <w:rFonts w:ascii="Times New Roman" w:hAnsi="Times New Roman" w:cs="Times New Roman"/>
          <w:b/>
          <w:kern w:val="2"/>
          <w:szCs w:val="22"/>
        </w:rPr>
        <w:t>5</w:t>
      </w:r>
      <w:r w:rsidRPr="00284A16">
        <w:rPr>
          <w:rFonts w:ascii="Times New Roman" w:hAnsi="Times New Roman" w:cs="Times New Roman"/>
          <w:b/>
          <w:kern w:val="2"/>
          <w:szCs w:val="22"/>
        </w:rPr>
        <w:t xml:space="preserve"> </w:t>
      </w:r>
      <w:r w:rsidRPr="00284A16">
        <w:rPr>
          <w:rFonts w:ascii="Times New Roman" w:hAnsi="Times New Roman" w:cs="Times New Roman"/>
          <w:kern w:val="2"/>
          <w:szCs w:val="22"/>
        </w:rPr>
        <w:t xml:space="preserve">Diagnostic accuracy of the combination of </w:t>
      </w:r>
      <w:proofErr w:type="spellStart"/>
      <w:r w:rsidRPr="00284A16">
        <w:rPr>
          <w:rFonts w:ascii="Times New Roman" w:hAnsi="Times New Roman" w:cs="Times New Roman"/>
          <w:kern w:val="2"/>
          <w:szCs w:val="22"/>
        </w:rPr>
        <w:t>FeNO</w:t>
      </w:r>
      <w:proofErr w:type="spellEnd"/>
      <w:r w:rsidRPr="00284A16">
        <w:rPr>
          <w:rFonts w:ascii="Times New Roman" w:hAnsi="Times New Roman" w:cs="Times New Roman"/>
          <w:kern w:val="2"/>
          <w:szCs w:val="22"/>
        </w:rPr>
        <w:t xml:space="preserve"> and B-Eos count for asthma</w:t>
      </w:r>
      <w:r w:rsidRPr="00284A16">
        <w:rPr>
          <w:rFonts w:cs="Times New Roman"/>
        </w:rPr>
        <w:t xml:space="preserve"> </w:t>
      </w:r>
      <w:r w:rsidRPr="00284A16">
        <w:rPr>
          <w:rFonts w:ascii="Times New Roman" w:hAnsi="Times New Roman" w:cs="Times New Roman"/>
          <w:kern w:val="2"/>
          <w:szCs w:val="22"/>
        </w:rPr>
        <w:t>in randomly selected verification cohorts.</w:t>
      </w:r>
    </w:p>
    <w:p w:rsidR="00B57CF6" w:rsidRDefault="00B57CF6" w:rsidP="00EB6FD3">
      <w:pPr>
        <w:widowControl/>
        <w:jc w:val="left"/>
        <w:rPr>
          <w:rFonts w:ascii="Times New Roman" w:hAnsi="Times New Roman" w:cs="Times New Roman"/>
          <w:b/>
          <w:kern w:val="2"/>
          <w:szCs w:val="22"/>
        </w:rPr>
      </w:pPr>
      <w:r>
        <w:rPr>
          <w:rFonts w:ascii="Times New Roman" w:hAnsi="Times New Roman" w:cs="Times New Roman"/>
          <w:b/>
          <w:kern w:val="2"/>
          <w:szCs w:val="22"/>
        </w:rPr>
        <w:t xml:space="preserve">Table S6 </w:t>
      </w:r>
      <w:r>
        <w:rPr>
          <w:rFonts w:ascii="Times New Roman" w:hAnsi="Times New Roman" w:cs="Times New Roman"/>
          <w:kern w:val="2"/>
          <w:szCs w:val="22"/>
        </w:rPr>
        <w:t>STARD 2015 guidelines checklist.</w:t>
      </w:r>
    </w:p>
    <w:p w:rsidR="00B57CF6" w:rsidRPr="005161A3" w:rsidRDefault="00B57CF6" w:rsidP="00EB6FD3">
      <w:pPr>
        <w:autoSpaceDE w:val="0"/>
        <w:autoSpaceDN w:val="0"/>
        <w:adjustRightInd w:val="0"/>
        <w:jc w:val="left"/>
        <w:rPr>
          <w:rFonts w:ascii="Times New Roman" w:hAnsi="Times New Roman" w:cs="Times New Roman"/>
          <w:b/>
          <w:kern w:val="2"/>
          <w:szCs w:val="22"/>
        </w:rPr>
      </w:pPr>
    </w:p>
    <w:p w:rsidR="00B57CF6" w:rsidRDefault="00B57CF6" w:rsidP="00EB6FD3">
      <w:pPr>
        <w:autoSpaceDE w:val="0"/>
        <w:autoSpaceDN w:val="0"/>
        <w:adjustRightInd w:val="0"/>
        <w:jc w:val="left"/>
        <w:rPr>
          <w:rFonts w:ascii="Times New Roman" w:hAnsi="Times New Roman" w:cs="Times New Roman"/>
          <w:b/>
          <w:kern w:val="2"/>
          <w:szCs w:val="22"/>
        </w:rPr>
      </w:pPr>
      <w:r w:rsidRPr="005161A3">
        <w:rPr>
          <w:rFonts w:ascii="Times New Roman" w:hAnsi="Times New Roman" w:cs="Times New Roman"/>
          <w:b/>
          <w:kern w:val="2"/>
          <w:szCs w:val="22"/>
        </w:rPr>
        <w:t>Supplementary figures</w:t>
      </w:r>
    </w:p>
    <w:p w:rsidR="00B57CF6" w:rsidRPr="009E3E97" w:rsidRDefault="00B57CF6" w:rsidP="00EB6FD3">
      <w:pPr>
        <w:jc w:val="left"/>
        <w:rPr>
          <w:rFonts w:ascii="Times New Roman" w:hAnsi="Times New Roman" w:cs="Times New Roman"/>
          <w:kern w:val="2"/>
          <w:szCs w:val="22"/>
        </w:rPr>
      </w:pPr>
      <w:r w:rsidRPr="009E3E97">
        <w:rPr>
          <w:rFonts w:ascii="Times New Roman" w:hAnsi="Times New Roman" w:cs="Times New Roman"/>
          <w:b/>
          <w:kern w:val="2"/>
          <w:szCs w:val="22"/>
        </w:rPr>
        <w:t xml:space="preserve">Figure S1 </w:t>
      </w:r>
      <w:r w:rsidRPr="009E3E97">
        <w:rPr>
          <w:rFonts w:ascii="Times New Roman" w:hAnsi="Times New Roman" w:cs="Times New Roman"/>
          <w:kern w:val="2"/>
          <w:szCs w:val="22"/>
        </w:rPr>
        <w:t>Scatter plots of biomarkers in different categories.</w:t>
      </w:r>
    </w:p>
    <w:p w:rsidR="00B57CF6" w:rsidRDefault="00B57CF6" w:rsidP="00EB6FD3">
      <w:pPr>
        <w:autoSpaceDE w:val="0"/>
        <w:autoSpaceDN w:val="0"/>
        <w:adjustRightInd w:val="0"/>
        <w:jc w:val="left"/>
        <w:rPr>
          <w:rFonts w:ascii="Times New Roman" w:hAnsi="Times New Roman" w:cs="Times New Roman"/>
          <w:kern w:val="2"/>
          <w:szCs w:val="22"/>
        </w:rPr>
      </w:pPr>
      <w:r w:rsidRPr="009E3E97">
        <w:rPr>
          <w:rFonts w:ascii="Times New Roman" w:hAnsi="Times New Roman" w:cs="Times New Roman"/>
          <w:b/>
          <w:kern w:val="2"/>
          <w:szCs w:val="22"/>
        </w:rPr>
        <w:t xml:space="preserve">Figure S2 </w:t>
      </w:r>
      <w:r w:rsidRPr="009E3E97">
        <w:rPr>
          <w:rFonts w:ascii="Times New Roman" w:hAnsi="Times New Roman" w:cs="Times New Roman"/>
          <w:kern w:val="2"/>
          <w:szCs w:val="22"/>
        </w:rPr>
        <w:t>ROC curves of biomarkers for asthma diagnosis in different categories.</w:t>
      </w:r>
    </w:p>
    <w:p w:rsidR="00B57CF6" w:rsidRDefault="00B57CF6" w:rsidP="00EB6FD3">
      <w:pPr>
        <w:autoSpaceDE w:val="0"/>
        <w:autoSpaceDN w:val="0"/>
        <w:adjustRightInd w:val="0"/>
        <w:jc w:val="left"/>
        <w:rPr>
          <w:rFonts w:ascii="Times New Roman" w:hAnsi="Times New Roman" w:cs="Times New Roman"/>
          <w:kern w:val="2"/>
          <w:szCs w:val="22"/>
        </w:rPr>
      </w:pPr>
      <w:r w:rsidRPr="009E3E97">
        <w:rPr>
          <w:rFonts w:ascii="Times New Roman" w:hAnsi="Times New Roman" w:cs="Times New Roman"/>
          <w:b/>
          <w:kern w:val="2"/>
          <w:szCs w:val="22"/>
        </w:rPr>
        <w:t>Figure S3</w:t>
      </w:r>
      <w:r w:rsidRPr="009E3E97">
        <w:rPr>
          <w:rFonts w:ascii="Times New Roman" w:hAnsi="Times New Roman" w:cs="Times New Roman"/>
          <w:kern w:val="2"/>
          <w:szCs w:val="22"/>
        </w:rPr>
        <w:t xml:space="preserve"> Adjusted odds ratios of having asthma or decreased FEV</w:t>
      </w:r>
      <w:r w:rsidRPr="009E3E97">
        <w:rPr>
          <w:rFonts w:ascii="Times New Roman" w:hAnsi="Times New Roman" w:cs="Times New Roman"/>
          <w:kern w:val="2"/>
          <w:szCs w:val="22"/>
          <w:vertAlign w:val="subscript"/>
        </w:rPr>
        <w:t>1</w:t>
      </w:r>
      <w:r w:rsidRPr="009E3E97">
        <w:rPr>
          <w:rFonts w:ascii="Times New Roman" w:hAnsi="Times New Roman" w:cs="Times New Roman"/>
          <w:kern w:val="2"/>
          <w:szCs w:val="22"/>
        </w:rPr>
        <w:t xml:space="preserve"> in different categories when including patients with incomplete data.</w:t>
      </w:r>
    </w:p>
    <w:p w:rsidR="00B57CF6" w:rsidRDefault="00B57CF6">
      <w:pPr>
        <w:widowControl/>
        <w:jc w:val="left"/>
        <w:rPr>
          <w:rFonts w:ascii="Times New Roman" w:hAnsi="Times New Roman" w:cs="Times New Roman"/>
          <w:kern w:val="2"/>
          <w:szCs w:val="22"/>
        </w:rPr>
      </w:pPr>
      <w:r>
        <w:rPr>
          <w:rFonts w:ascii="Times New Roman" w:hAnsi="Times New Roman" w:cs="Times New Roman"/>
          <w:kern w:val="2"/>
          <w:szCs w:val="22"/>
        </w:rPr>
        <w:br w:type="page"/>
      </w:r>
    </w:p>
    <w:p w:rsidR="00B57CF6" w:rsidRPr="009E3E97" w:rsidRDefault="00B57CF6" w:rsidP="00EB6FD3">
      <w:pPr>
        <w:autoSpaceDE w:val="0"/>
        <w:autoSpaceDN w:val="0"/>
        <w:adjustRightInd w:val="0"/>
        <w:jc w:val="left"/>
        <w:rPr>
          <w:rFonts w:ascii="Times New Roman" w:hAnsi="Times New Roman" w:cs="Times New Roman"/>
          <w:b/>
          <w:kern w:val="2"/>
          <w:szCs w:val="22"/>
        </w:rPr>
      </w:pPr>
      <w:r w:rsidRPr="009E3E97">
        <w:rPr>
          <w:rFonts w:ascii="Times New Roman" w:hAnsi="Times New Roman" w:cs="Times New Roman"/>
          <w:b/>
          <w:kern w:val="2"/>
          <w:szCs w:val="22"/>
        </w:rPr>
        <w:lastRenderedPageBreak/>
        <w:t xml:space="preserve">Table S1 </w:t>
      </w:r>
      <w:r w:rsidRPr="009E3E97">
        <w:rPr>
          <w:rFonts w:ascii="Times New Roman" w:hAnsi="Times New Roman" w:cs="Times New Roman"/>
          <w:kern w:val="2"/>
          <w:szCs w:val="22"/>
        </w:rPr>
        <w:t>Sensitivity analysis between patients with or without biomarker data.</w:t>
      </w:r>
    </w:p>
    <w:tbl>
      <w:tblPr>
        <w:tblW w:w="9691" w:type="dxa"/>
        <w:tblLook w:val="04A0" w:firstRow="1" w:lastRow="0" w:firstColumn="1" w:lastColumn="0" w:noHBand="0" w:noVBand="1"/>
      </w:tblPr>
      <w:tblGrid>
        <w:gridCol w:w="2919"/>
        <w:gridCol w:w="2919"/>
        <w:gridCol w:w="2919"/>
        <w:gridCol w:w="934"/>
      </w:tblGrid>
      <w:tr w:rsidR="00B57CF6" w:rsidRPr="009E3E97" w:rsidTr="00EB6FD3">
        <w:trPr>
          <w:trHeight w:val="733"/>
        </w:trPr>
        <w:tc>
          <w:tcPr>
            <w:tcW w:w="2919" w:type="dxa"/>
            <w:tcBorders>
              <w:top w:val="single" w:sz="4" w:space="0" w:color="auto"/>
              <w:left w:val="nil"/>
              <w:bottom w:val="single" w:sz="4" w:space="0" w:color="auto"/>
              <w:right w:val="nil"/>
            </w:tcBorders>
            <w:noWrap/>
            <w:vAlign w:val="center"/>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Characteristics</w:t>
            </w:r>
          </w:p>
        </w:tc>
        <w:tc>
          <w:tcPr>
            <w:tcW w:w="2919" w:type="dxa"/>
            <w:tcBorders>
              <w:top w:val="single" w:sz="4" w:space="0" w:color="auto"/>
              <w:left w:val="nil"/>
              <w:bottom w:val="single" w:sz="4" w:space="0" w:color="auto"/>
              <w:right w:val="nil"/>
            </w:tcBorders>
            <w:vAlign w:val="center"/>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Patients without </w:t>
            </w:r>
            <w:proofErr w:type="spellStart"/>
            <w:r w:rsidRPr="009E3E97">
              <w:rPr>
                <w:rFonts w:ascii="Times New Roman" w:eastAsia="等线" w:hAnsi="Times New Roman" w:cs="Times New Roman"/>
                <w:sz w:val="16"/>
                <w:szCs w:val="16"/>
              </w:rPr>
              <w:t>FeNO</w:t>
            </w:r>
            <w:proofErr w:type="spellEnd"/>
            <w:r w:rsidRPr="009E3E97">
              <w:rPr>
                <w:rFonts w:ascii="Times New Roman" w:eastAsia="等线" w:hAnsi="Times New Roman" w:cs="Times New Roman"/>
                <w:sz w:val="16"/>
                <w:szCs w:val="16"/>
              </w:rPr>
              <w:br/>
              <w:t>or B-Eos data</w:t>
            </w:r>
            <w:r w:rsidRPr="009E3E97">
              <w:rPr>
                <w:rFonts w:ascii="Times New Roman" w:eastAsia="等线" w:hAnsi="Times New Roman" w:cs="Times New Roman"/>
                <w:sz w:val="16"/>
                <w:szCs w:val="16"/>
              </w:rPr>
              <w:br/>
              <w:t>(n = 5114)</w:t>
            </w:r>
          </w:p>
        </w:tc>
        <w:tc>
          <w:tcPr>
            <w:tcW w:w="2919" w:type="dxa"/>
            <w:tcBorders>
              <w:top w:val="single" w:sz="4" w:space="0" w:color="auto"/>
              <w:left w:val="nil"/>
              <w:bottom w:val="single" w:sz="4" w:space="0" w:color="auto"/>
              <w:right w:val="nil"/>
            </w:tcBorders>
            <w:vAlign w:val="center"/>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Patients with </w:t>
            </w:r>
            <w:proofErr w:type="spellStart"/>
            <w:r w:rsidRPr="009E3E97">
              <w:rPr>
                <w:rFonts w:ascii="Times New Roman" w:eastAsia="等线" w:hAnsi="Times New Roman" w:cs="Times New Roman"/>
                <w:sz w:val="16"/>
                <w:szCs w:val="16"/>
              </w:rPr>
              <w:t>FeNO</w:t>
            </w:r>
            <w:proofErr w:type="spellEnd"/>
            <w:r w:rsidRPr="009E3E97">
              <w:rPr>
                <w:rFonts w:ascii="Times New Roman" w:eastAsia="等线" w:hAnsi="Times New Roman" w:cs="Times New Roman"/>
                <w:sz w:val="16"/>
                <w:szCs w:val="16"/>
              </w:rPr>
              <w:br/>
              <w:t>and B-Eos data</w:t>
            </w:r>
            <w:r w:rsidRPr="009E3E97">
              <w:rPr>
                <w:rFonts w:ascii="Times New Roman" w:eastAsia="等线" w:hAnsi="Times New Roman" w:cs="Times New Roman"/>
                <w:sz w:val="16"/>
                <w:szCs w:val="16"/>
              </w:rPr>
              <w:br/>
              <w:t>(n = 2349)</w:t>
            </w:r>
          </w:p>
        </w:tc>
        <w:tc>
          <w:tcPr>
            <w:tcW w:w="934" w:type="dxa"/>
            <w:tcBorders>
              <w:top w:val="single" w:sz="4" w:space="0" w:color="auto"/>
              <w:left w:val="nil"/>
              <w:bottom w:val="single" w:sz="4" w:space="0" w:color="auto"/>
              <w:right w:val="nil"/>
            </w:tcBorders>
            <w:noWrap/>
            <w:vAlign w:val="center"/>
          </w:tcPr>
          <w:p w:rsidR="00B57CF6" w:rsidRPr="009E3E97" w:rsidRDefault="00B57CF6" w:rsidP="00EB6FD3">
            <w:pPr>
              <w:widowControl/>
              <w:jc w:val="left"/>
              <w:rPr>
                <w:rFonts w:ascii="Times New Roman" w:eastAsia="等线" w:hAnsi="Times New Roman" w:cs="Times New Roman"/>
                <w:i/>
                <w:iCs/>
                <w:sz w:val="16"/>
                <w:szCs w:val="16"/>
              </w:rPr>
            </w:pPr>
            <w:r w:rsidRPr="009E3E97">
              <w:rPr>
                <w:rFonts w:ascii="Times New Roman" w:eastAsia="等线" w:hAnsi="Times New Roman" w:cs="Times New Roman"/>
                <w:i/>
                <w:iCs/>
                <w:sz w:val="16"/>
                <w:szCs w:val="16"/>
              </w:rPr>
              <w:t>P</w:t>
            </w:r>
            <w:r w:rsidRPr="009E3E97">
              <w:rPr>
                <w:rFonts w:ascii="Times New Roman" w:eastAsia="等线" w:hAnsi="Times New Roman" w:cs="Times New Roman"/>
                <w:sz w:val="16"/>
                <w:szCs w:val="16"/>
              </w:rPr>
              <w:t xml:space="preserve"> value</w:t>
            </w:r>
          </w:p>
        </w:tc>
      </w:tr>
      <w:tr w:rsidR="00B57CF6" w:rsidRPr="009E3E97" w:rsidTr="00EB6FD3">
        <w:trPr>
          <w:trHeight w:val="296"/>
        </w:trPr>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Age (years)*</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47 (35–55)</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46 (35–54)</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0.312 </w:t>
            </w:r>
          </w:p>
        </w:tc>
      </w:tr>
      <w:tr w:rsidR="00B57CF6" w:rsidRPr="009E3E97" w:rsidTr="00EB6FD3">
        <w:trPr>
          <w:trHeight w:val="296"/>
        </w:trPr>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Height (cm)*</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159 (153–165)</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159 (153–165)</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0.649 </w:t>
            </w:r>
          </w:p>
        </w:tc>
      </w:tr>
      <w:tr w:rsidR="00B57CF6" w:rsidRPr="009E3E97" w:rsidTr="00EB6FD3">
        <w:trPr>
          <w:trHeight w:val="296"/>
        </w:trPr>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Weight (kg)*</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59 (52–66)</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59 (53–67)</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0.858 </w:t>
            </w:r>
          </w:p>
        </w:tc>
      </w:tr>
      <w:tr w:rsidR="00B57CF6" w:rsidRPr="009E3E97" w:rsidTr="00EB6FD3">
        <w:trPr>
          <w:trHeight w:val="296"/>
        </w:trPr>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BMI (kg/m</w:t>
            </w:r>
            <w:r w:rsidRPr="009E3E97">
              <w:rPr>
                <w:rFonts w:ascii="Times New Roman" w:eastAsia="等线" w:hAnsi="Times New Roman" w:cs="Times New Roman"/>
                <w:sz w:val="16"/>
                <w:szCs w:val="16"/>
                <w:vertAlign w:val="superscript"/>
              </w:rPr>
              <w:t>2</w:t>
            </w:r>
            <w:r w:rsidRPr="009E3E97">
              <w:rPr>
                <w:rFonts w:ascii="Times New Roman" w:eastAsia="等线" w:hAnsi="Times New Roman" w:cs="Times New Roman"/>
                <w:sz w:val="16"/>
                <w:szCs w:val="16"/>
              </w:rPr>
              <w:t>)*</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23.44 (21.1–25.81)</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23.43 (21.22–25.81)</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0.991 </w:t>
            </w:r>
          </w:p>
        </w:tc>
      </w:tr>
      <w:tr w:rsidR="00B57CF6" w:rsidRPr="009E3E97" w:rsidTr="00EB6FD3">
        <w:trPr>
          <w:trHeight w:val="296"/>
        </w:trPr>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FVC (predicted %)*</w:t>
            </w:r>
          </w:p>
        </w:tc>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94.3 (83.9–105.34)</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95.4 (85.25–106)</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0.004 </w:t>
            </w:r>
          </w:p>
        </w:tc>
      </w:tr>
      <w:tr w:rsidR="00B57CF6" w:rsidRPr="009E3E97" w:rsidTr="00EB6FD3">
        <w:trPr>
          <w:trHeight w:val="296"/>
        </w:trPr>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FEV</w:t>
            </w:r>
            <w:r w:rsidRPr="009E3E97">
              <w:rPr>
                <w:rFonts w:ascii="Times New Roman" w:eastAsia="等线" w:hAnsi="Times New Roman" w:cs="Times New Roman"/>
                <w:sz w:val="16"/>
                <w:szCs w:val="16"/>
                <w:vertAlign w:val="subscript"/>
              </w:rPr>
              <w:t>1</w:t>
            </w:r>
            <w:r w:rsidRPr="009E3E97">
              <w:rPr>
                <w:rFonts w:ascii="Times New Roman" w:eastAsia="等线" w:hAnsi="Times New Roman" w:cs="Times New Roman"/>
                <w:sz w:val="16"/>
                <w:szCs w:val="16"/>
              </w:rPr>
              <w:t xml:space="preserve"> (predicted %)*</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86.8 (68.4–98.9)</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88 (72.6–100.6)</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0.001 </w:t>
            </w:r>
          </w:p>
        </w:tc>
      </w:tr>
      <w:tr w:rsidR="00B57CF6" w:rsidRPr="009E3E97" w:rsidTr="00EB6FD3">
        <w:trPr>
          <w:trHeight w:val="296"/>
        </w:trPr>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FEV</w:t>
            </w:r>
            <w:r w:rsidRPr="009E3E97">
              <w:rPr>
                <w:rFonts w:ascii="Times New Roman" w:eastAsia="等线" w:hAnsi="Times New Roman" w:cs="Times New Roman"/>
                <w:sz w:val="16"/>
                <w:szCs w:val="16"/>
                <w:vertAlign w:val="subscript"/>
              </w:rPr>
              <w:t>1</w:t>
            </w:r>
            <w:r w:rsidRPr="009E3E97">
              <w:rPr>
                <w:rFonts w:ascii="Times New Roman" w:eastAsia="等线" w:hAnsi="Times New Roman" w:cs="Times New Roman"/>
                <w:sz w:val="16"/>
                <w:szCs w:val="16"/>
              </w:rPr>
              <w:t>/FVC (%)*</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76.64 (64.35–83.2)</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77.4 (66.67–83.4)</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0.009 </w:t>
            </w:r>
          </w:p>
        </w:tc>
      </w:tr>
      <w:tr w:rsidR="00B57CF6" w:rsidRPr="009E3E97" w:rsidTr="00EB6FD3">
        <w:trPr>
          <w:trHeight w:val="437"/>
        </w:trPr>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WBC count (×10</w:t>
            </w:r>
            <w:r w:rsidRPr="009E3E97">
              <w:rPr>
                <w:rFonts w:ascii="Times New Roman" w:eastAsia="等线" w:hAnsi="Times New Roman" w:cs="Times New Roman"/>
                <w:sz w:val="16"/>
                <w:szCs w:val="16"/>
                <w:vertAlign w:val="superscript"/>
              </w:rPr>
              <w:t>9</w:t>
            </w:r>
            <w:r w:rsidRPr="009E3E97">
              <w:rPr>
                <w:rFonts w:ascii="Times New Roman" w:eastAsia="等线" w:hAnsi="Times New Roman" w:cs="Times New Roman"/>
                <w:sz w:val="16"/>
                <w:szCs w:val="16"/>
              </w:rPr>
              <w:t>/L)*</w:t>
            </w:r>
          </w:p>
        </w:tc>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7.33 (6.07–8.93)</w:t>
            </w:r>
            <w:r w:rsidRPr="009E3E97">
              <w:rPr>
                <w:rFonts w:ascii="Times New Roman" w:eastAsia="等线" w:hAnsi="Times New Roman" w:cs="Times New Roman"/>
                <w:sz w:val="16"/>
                <w:szCs w:val="16"/>
              </w:rPr>
              <w:br/>
              <w:t>(n = 579)</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7.13 (5.93–8.75)</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0.062 </w:t>
            </w:r>
          </w:p>
        </w:tc>
      </w:tr>
      <w:tr w:rsidR="00B57CF6" w:rsidRPr="009E3E97" w:rsidTr="00EB6FD3">
        <w:trPr>
          <w:trHeight w:val="437"/>
        </w:trPr>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w:t>
            </w:r>
            <w:proofErr w:type="spellStart"/>
            <w:r w:rsidRPr="009E3E97">
              <w:rPr>
                <w:rFonts w:ascii="Times New Roman" w:eastAsia="等线" w:hAnsi="Times New Roman" w:cs="Times New Roman"/>
                <w:sz w:val="16"/>
                <w:szCs w:val="16"/>
              </w:rPr>
              <w:t>Neu</w:t>
            </w:r>
            <w:proofErr w:type="spellEnd"/>
            <w:r w:rsidRPr="009E3E97">
              <w:rPr>
                <w:rFonts w:ascii="Times New Roman" w:eastAsia="等线" w:hAnsi="Times New Roman" w:cs="Times New Roman"/>
                <w:sz w:val="16"/>
                <w:szCs w:val="16"/>
              </w:rPr>
              <w:t xml:space="preserve"> (%)*</w:t>
            </w:r>
          </w:p>
        </w:tc>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62.2 (56.2–68.9)</w:t>
            </w:r>
            <w:r w:rsidRPr="009E3E97">
              <w:rPr>
                <w:rFonts w:ascii="Times New Roman" w:eastAsia="等线" w:hAnsi="Times New Roman" w:cs="Times New Roman"/>
                <w:sz w:val="16"/>
                <w:szCs w:val="16"/>
              </w:rPr>
              <w:br/>
              <w:t>(n = 579)</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61.1 (54.2–67.8)</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0.006 </w:t>
            </w:r>
          </w:p>
        </w:tc>
      </w:tr>
      <w:tr w:rsidR="00B57CF6" w:rsidRPr="009E3E97" w:rsidTr="00EB6FD3">
        <w:trPr>
          <w:trHeight w:val="437"/>
        </w:trPr>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B-Eos count (cells/</w:t>
            </w:r>
            <w:proofErr w:type="spellStart"/>
            <w:r w:rsidRPr="009E3E97">
              <w:rPr>
                <w:rFonts w:ascii="Times New Roman" w:eastAsia="等线" w:hAnsi="Times New Roman" w:cs="Times New Roman"/>
                <w:sz w:val="16"/>
                <w:szCs w:val="16"/>
              </w:rPr>
              <w:t>μl</w:t>
            </w:r>
            <w:proofErr w:type="spellEnd"/>
            <w:r w:rsidRPr="009E3E97">
              <w:rPr>
                <w:rFonts w:ascii="Times New Roman" w:eastAsia="等线" w:hAnsi="Times New Roman" w:cs="Times New Roman"/>
                <w:sz w:val="16"/>
                <w:szCs w:val="16"/>
              </w:rPr>
              <w:t>)*</w:t>
            </w:r>
          </w:p>
        </w:tc>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182 (99–319)</w:t>
            </w:r>
            <w:r w:rsidRPr="009E3E97">
              <w:rPr>
                <w:rFonts w:ascii="Times New Roman" w:eastAsia="等线" w:hAnsi="Times New Roman" w:cs="Times New Roman"/>
                <w:sz w:val="16"/>
                <w:szCs w:val="16"/>
              </w:rPr>
              <w:br/>
              <w:t>(n = 579)</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170 (81–350)</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0.471 </w:t>
            </w:r>
          </w:p>
        </w:tc>
      </w:tr>
      <w:tr w:rsidR="00B57CF6" w:rsidRPr="009E3E97" w:rsidTr="00EB6FD3">
        <w:trPr>
          <w:trHeight w:val="437"/>
        </w:trPr>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%B-Eos (%)*</w:t>
            </w:r>
          </w:p>
        </w:tc>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2.6 (1.3–4.4)</w:t>
            </w:r>
            <w:r w:rsidRPr="009E3E97">
              <w:rPr>
                <w:rFonts w:ascii="Times New Roman" w:eastAsia="等线" w:hAnsi="Times New Roman" w:cs="Times New Roman"/>
                <w:sz w:val="16"/>
                <w:szCs w:val="16"/>
              </w:rPr>
              <w:br/>
              <w:t>(n = 579)</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2.4 (1.2–5)</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0.976 </w:t>
            </w:r>
          </w:p>
        </w:tc>
      </w:tr>
      <w:tr w:rsidR="00B57CF6" w:rsidRPr="009E3E97" w:rsidTr="00EB6FD3">
        <w:trPr>
          <w:trHeight w:val="437"/>
        </w:trPr>
        <w:tc>
          <w:tcPr>
            <w:tcW w:w="2919" w:type="dxa"/>
          </w:tcPr>
          <w:p w:rsidR="00B57CF6" w:rsidRPr="009E3E97" w:rsidRDefault="00B57CF6" w:rsidP="00EB6FD3">
            <w:pPr>
              <w:widowControl/>
              <w:jc w:val="left"/>
              <w:rPr>
                <w:rFonts w:ascii="Times New Roman" w:eastAsia="等线" w:hAnsi="Times New Roman" w:cs="Times New Roman"/>
                <w:sz w:val="16"/>
                <w:szCs w:val="16"/>
              </w:rPr>
            </w:pPr>
            <w:proofErr w:type="spellStart"/>
            <w:r w:rsidRPr="009E3E97">
              <w:rPr>
                <w:rFonts w:ascii="Times New Roman" w:eastAsia="等线" w:hAnsi="Times New Roman" w:cs="Times New Roman"/>
                <w:sz w:val="16"/>
                <w:szCs w:val="16"/>
              </w:rPr>
              <w:t>FeNO</w:t>
            </w:r>
            <w:proofErr w:type="spellEnd"/>
            <w:r w:rsidRPr="009E3E97">
              <w:rPr>
                <w:rFonts w:ascii="Times New Roman" w:eastAsia="等线" w:hAnsi="Times New Roman" w:cs="Times New Roman"/>
                <w:sz w:val="16"/>
                <w:szCs w:val="16"/>
              </w:rPr>
              <w:t xml:space="preserve"> (ppb)*</w:t>
            </w:r>
          </w:p>
        </w:tc>
        <w:tc>
          <w:tcPr>
            <w:tcW w:w="2919" w:type="dxa"/>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29 (19–50)</w:t>
            </w:r>
            <w:r w:rsidRPr="009E3E97">
              <w:rPr>
                <w:rFonts w:ascii="Times New Roman" w:eastAsia="等线" w:hAnsi="Times New Roman" w:cs="Times New Roman"/>
                <w:sz w:val="16"/>
                <w:szCs w:val="16"/>
              </w:rPr>
              <w:br/>
              <w:t>(n = 3043)</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29 (18–50)</w:t>
            </w: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0.255 </w:t>
            </w:r>
          </w:p>
        </w:tc>
      </w:tr>
      <w:tr w:rsidR="00B57CF6" w:rsidRPr="009E3E97" w:rsidTr="00EB6FD3">
        <w:trPr>
          <w:trHeight w:val="296"/>
        </w:trPr>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Gender</w:t>
            </w:r>
            <w:r w:rsidRPr="009E3E97">
              <w:rPr>
                <w:rFonts w:ascii="Times New Roman" w:eastAsia="等线" w:hAnsi="Times New Roman" w:cs="Times New Roman"/>
                <w:sz w:val="16"/>
                <w:szCs w:val="16"/>
                <w:vertAlign w:val="superscript"/>
              </w:rPr>
              <w:t>‡</w:t>
            </w:r>
          </w:p>
        </w:tc>
        <w:tc>
          <w:tcPr>
            <w:tcW w:w="2919" w:type="dxa"/>
            <w:noWrap/>
          </w:tcPr>
          <w:p w:rsidR="00B57CF6" w:rsidRPr="009E3E97" w:rsidRDefault="00B57CF6" w:rsidP="00EB6FD3">
            <w:pPr>
              <w:rPr>
                <w:rFonts w:ascii="Times New Roman" w:eastAsia="等线" w:hAnsi="Times New Roman" w:cs="Times New Roman"/>
                <w:sz w:val="16"/>
                <w:szCs w:val="16"/>
              </w:rPr>
            </w:pPr>
          </w:p>
        </w:tc>
        <w:tc>
          <w:tcPr>
            <w:tcW w:w="2919" w:type="dxa"/>
            <w:noWrap/>
          </w:tcPr>
          <w:p w:rsidR="00B57CF6" w:rsidRPr="009E3E97" w:rsidRDefault="00B57CF6" w:rsidP="00EB6FD3">
            <w:pPr>
              <w:widowControl/>
              <w:jc w:val="left"/>
              <w:rPr>
                <w:rFonts w:ascii="Times New Roman" w:hAnsi="Times New Roman" w:cs="Times New Roman"/>
                <w:sz w:val="20"/>
                <w:szCs w:val="20"/>
              </w:rPr>
            </w:pP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0.056 </w:t>
            </w:r>
          </w:p>
        </w:tc>
      </w:tr>
      <w:tr w:rsidR="00B57CF6" w:rsidRPr="009E3E97" w:rsidTr="00EB6FD3">
        <w:trPr>
          <w:trHeight w:val="296"/>
        </w:trPr>
        <w:tc>
          <w:tcPr>
            <w:tcW w:w="2919" w:type="dxa"/>
            <w:noWrap/>
          </w:tcPr>
          <w:p w:rsidR="00B57CF6" w:rsidRPr="009E3E97" w:rsidRDefault="00B57CF6" w:rsidP="00EB6FD3">
            <w:pPr>
              <w:widowControl/>
              <w:ind w:leftChars="100" w:left="210"/>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Female</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3042 (59.5%)</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1452 (61.8%)</w:t>
            </w:r>
          </w:p>
        </w:tc>
        <w:tc>
          <w:tcPr>
            <w:tcW w:w="934" w:type="dxa"/>
            <w:noWrap/>
          </w:tcPr>
          <w:p w:rsidR="00B57CF6" w:rsidRPr="009E3E97" w:rsidRDefault="00B57CF6" w:rsidP="00EB6FD3">
            <w:pPr>
              <w:rPr>
                <w:rFonts w:ascii="Times New Roman" w:eastAsia="等线" w:hAnsi="Times New Roman" w:cs="Times New Roman"/>
                <w:sz w:val="16"/>
                <w:szCs w:val="16"/>
              </w:rPr>
            </w:pPr>
          </w:p>
        </w:tc>
      </w:tr>
      <w:tr w:rsidR="00B57CF6" w:rsidRPr="009E3E97" w:rsidTr="00EB6FD3">
        <w:trPr>
          <w:trHeight w:val="296"/>
        </w:trPr>
        <w:tc>
          <w:tcPr>
            <w:tcW w:w="2919" w:type="dxa"/>
            <w:noWrap/>
          </w:tcPr>
          <w:p w:rsidR="00B57CF6" w:rsidRPr="009E3E97" w:rsidRDefault="00B57CF6" w:rsidP="00EB6FD3">
            <w:pPr>
              <w:widowControl/>
              <w:ind w:leftChars="100" w:left="210"/>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Male</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2072 (40.5%)</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897 (38.2%)</w:t>
            </w:r>
          </w:p>
        </w:tc>
        <w:tc>
          <w:tcPr>
            <w:tcW w:w="934" w:type="dxa"/>
            <w:noWrap/>
          </w:tcPr>
          <w:p w:rsidR="00B57CF6" w:rsidRPr="009E3E97" w:rsidRDefault="00B57CF6" w:rsidP="00EB6FD3">
            <w:pPr>
              <w:rPr>
                <w:rFonts w:ascii="Times New Roman" w:eastAsia="等线" w:hAnsi="Times New Roman" w:cs="Times New Roman"/>
                <w:sz w:val="16"/>
                <w:szCs w:val="16"/>
              </w:rPr>
            </w:pPr>
          </w:p>
        </w:tc>
      </w:tr>
      <w:tr w:rsidR="00B57CF6" w:rsidRPr="009E3E97" w:rsidTr="00EB6FD3">
        <w:trPr>
          <w:trHeight w:val="296"/>
        </w:trPr>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Diagnosis</w:t>
            </w:r>
            <w:r w:rsidRPr="009E3E97">
              <w:rPr>
                <w:rFonts w:ascii="Times New Roman" w:eastAsia="等线" w:hAnsi="Times New Roman" w:cs="Times New Roman"/>
                <w:sz w:val="16"/>
                <w:szCs w:val="16"/>
                <w:vertAlign w:val="superscript"/>
              </w:rPr>
              <w:t>‡</w:t>
            </w:r>
          </w:p>
        </w:tc>
        <w:tc>
          <w:tcPr>
            <w:tcW w:w="2919" w:type="dxa"/>
            <w:noWrap/>
          </w:tcPr>
          <w:p w:rsidR="00B57CF6" w:rsidRPr="009E3E97" w:rsidRDefault="00B57CF6" w:rsidP="00EB6FD3">
            <w:pPr>
              <w:rPr>
                <w:rFonts w:ascii="Times New Roman" w:eastAsia="等线" w:hAnsi="Times New Roman" w:cs="Times New Roman"/>
                <w:sz w:val="16"/>
                <w:szCs w:val="16"/>
              </w:rPr>
            </w:pPr>
          </w:p>
        </w:tc>
        <w:tc>
          <w:tcPr>
            <w:tcW w:w="2919" w:type="dxa"/>
            <w:noWrap/>
          </w:tcPr>
          <w:p w:rsidR="00B57CF6" w:rsidRPr="009E3E97" w:rsidRDefault="00B57CF6" w:rsidP="00EB6FD3">
            <w:pPr>
              <w:widowControl/>
              <w:jc w:val="left"/>
              <w:rPr>
                <w:rFonts w:ascii="Times New Roman" w:hAnsi="Times New Roman" w:cs="Times New Roman"/>
                <w:sz w:val="20"/>
                <w:szCs w:val="20"/>
              </w:rPr>
            </w:pPr>
          </w:p>
        </w:tc>
        <w:tc>
          <w:tcPr>
            <w:tcW w:w="934"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0.576 </w:t>
            </w:r>
          </w:p>
        </w:tc>
      </w:tr>
      <w:tr w:rsidR="00B57CF6" w:rsidRPr="009E3E97" w:rsidTr="00EB6FD3">
        <w:trPr>
          <w:trHeight w:val="296"/>
        </w:trPr>
        <w:tc>
          <w:tcPr>
            <w:tcW w:w="2919" w:type="dxa"/>
            <w:noWrap/>
          </w:tcPr>
          <w:p w:rsidR="00B57CF6" w:rsidRPr="009E3E97" w:rsidRDefault="00B57CF6" w:rsidP="00EB6FD3">
            <w:pPr>
              <w:widowControl/>
              <w:ind w:leftChars="100" w:left="210"/>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Asthma</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1760 (34.4%)</w:t>
            </w:r>
          </w:p>
        </w:tc>
        <w:tc>
          <w:tcPr>
            <w:tcW w:w="2919" w:type="dxa"/>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824 (35.1%)</w:t>
            </w:r>
          </w:p>
        </w:tc>
        <w:tc>
          <w:tcPr>
            <w:tcW w:w="934" w:type="dxa"/>
            <w:noWrap/>
          </w:tcPr>
          <w:p w:rsidR="00B57CF6" w:rsidRPr="009E3E97" w:rsidRDefault="00B57CF6" w:rsidP="00EB6FD3">
            <w:pPr>
              <w:rPr>
                <w:rFonts w:ascii="Times New Roman" w:eastAsia="等线" w:hAnsi="Times New Roman" w:cs="Times New Roman"/>
                <w:sz w:val="16"/>
                <w:szCs w:val="16"/>
              </w:rPr>
            </w:pPr>
          </w:p>
        </w:tc>
      </w:tr>
      <w:tr w:rsidR="00B57CF6" w:rsidRPr="009E3E97" w:rsidTr="00EB6FD3">
        <w:trPr>
          <w:trHeight w:val="296"/>
        </w:trPr>
        <w:tc>
          <w:tcPr>
            <w:tcW w:w="2919" w:type="dxa"/>
            <w:tcBorders>
              <w:top w:val="nil"/>
              <w:left w:val="nil"/>
              <w:bottom w:val="single" w:sz="4" w:space="0" w:color="auto"/>
              <w:right w:val="nil"/>
            </w:tcBorders>
            <w:noWrap/>
          </w:tcPr>
          <w:p w:rsidR="00B57CF6" w:rsidRPr="009E3E97" w:rsidRDefault="00B57CF6" w:rsidP="00EB6FD3">
            <w:pPr>
              <w:widowControl/>
              <w:ind w:leftChars="100" w:left="210"/>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Non-asthma</w:t>
            </w:r>
          </w:p>
        </w:tc>
        <w:tc>
          <w:tcPr>
            <w:tcW w:w="2919" w:type="dxa"/>
            <w:tcBorders>
              <w:top w:val="nil"/>
              <w:left w:val="nil"/>
              <w:bottom w:val="single" w:sz="4" w:space="0" w:color="auto"/>
              <w:right w:val="nil"/>
            </w:tcBorders>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3354 (65.6%)</w:t>
            </w:r>
          </w:p>
        </w:tc>
        <w:tc>
          <w:tcPr>
            <w:tcW w:w="2919" w:type="dxa"/>
            <w:tcBorders>
              <w:top w:val="nil"/>
              <w:left w:val="nil"/>
              <w:bottom w:val="single" w:sz="4" w:space="0" w:color="auto"/>
              <w:right w:val="nil"/>
            </w:tcBorders>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1525 (64.9%)</w:t>
            </w:r>
          </w:p>
        </w:tc>
        <w:tc>
          <w:tcPr>
            <w:tcW w:w="934" w:type="dxa"/>
            <w:tcBorders>
              <w:top w:val="nil"/>
              <w:left w:val="nil"/>
              <w:bottom w:val="single" w:sz="4" w:space="0" w:color="auto"/>
              <w:right w:val="nil"/>
            </w:tcBorders>
            <w:noWrap/>
          </w:tcPr>
          <w:p w:rsidR="00B57CF6" w:rsidRPr="009E3E97" w:rsidRDefault="00B57CF6" w:rsidP="00EB6FD3">
            <w:pPr>
              <w:widowControl/>
              <w:jc w:val="left"/>
              <w:rPr>
                <w:rFonts w:ascii="Times New Roman" w:eastAsia="等线" w:hAnsi="Times New Roman" w:cs="Times New Roman"/>
                <w:sz w:val="16"/>
                <w:szCs w:val="16"/>
              </w:rPr>
            </w:pPr>
            <w:r w:rsidRPr="009E3E97">
              <w:rPr>
                <w:rFonts w:ascii="Times New Roman" w:eastAsia="等线" w:hAnsi="Times New Roman" w:cs="Times New Roman"/>
                <w:sz w:val="16"/>
                <w:szCs w:val="16"/>
              </w:rPr>
              <w:t xml:space="preserve">　</w:t>
            </w:r>
          </w:p>
        </w:tc>
      </w:tr>
    </w:tbl>
    <w:p w:rsidR="00B57CF6" w:rsidRPr="009E3E97" w:rsidRDefault="00B57CF6" w:rsidP="00EB6FD3">
      <w:pPr>
        <w:autoSpaceDE w:val="0"/>
        <w:autoSpaceDN w:val="0"/>
        <w:adjustRightInd w:val="0"/>
        <w:jc w:val="left"/>
        <w:rPr>
          <w:rFonts w:ascii="Times New Roman" w:hAnsi="Times New Roman" w:cs="Times New Roman"/>
          <w:kern w:val="2"/>
          <w:szCs w:val="22"/>
        </w:rPr>
      </w:pPr>
      <w:r w:rsidRPr="009E3E97">
        <w:rPr>
          <w:rFonts w:ascii="Times New Roman" w:hAnsi="Times New Roman" w:cs="Times New Roman"/>
          <w:kern w:val="2"/>
          <w:szCs w:val="22"/>
        </w:rPr>
        <w:t>*Data were analyzed using the Mann–Whitney U test.</w:t>
      </w:r>
    </w:p>
    <w:p w:rsidR="00B57CF6" w:rsidRPr="009E3E97" w:rsidRDefault="00B57CF6" w:rsidP="00EB6FD3">
      <w:pPr>
        <w:autoSpaceDE w:val="0"/>
        <w:autoSpaceDN w:val="0"/>
        <w:adjustRightInd w:val="0"/>
        <w:jc w:val="left"/>
        <w:rPr>
          <w:rFonts w:ascii="Times New Roman" w:hAnsi="Times New Roman" w:cs="Times New Roman"/>
          <w:kern w:val="2"/>
          <w:szCs w:val="22"/>
        </w:rPr>
      </w:pPr>
      <w:r w:rsidRPr="009E3E97">
        <w:rPr>
          <w:rFonts w:ascii="Times New Roman" w:hAnsi="Times New Roman" w:cs="Times New Roman"/>
          <w:kern w:val="2"/>
          <w:szCs w:val="22"/>
        </w:rPr>
        <w:t>‡Data were analyzed using Pearson</w:t>
      </w:r>
      <w:r>
        <w:rPr>
          <w:rFonts w:ascii="Times New Roman" w:hAnsi="Times New Roman" w:cs="Times New Roman"/>
          <w:kern w:val="2"/>
          <w:szCs w:val="22"/>
        </w:rPr>
        <w:t>’s</w:t>
      </w:r>
      <w:r w:rsidRPr="009E3E97">
        <w:rPr>
          <w:rFonts w:ascii="Times New Roman" w:hAnsi="Times New Roman" w:cs="Times New Roman"/>
          <w:kern w:val="2"/>
          <w:szCs w:val="22"/>
        </w:rPr>
        <w:t xml:space="preserve"> chi</w:t>
      </w:r>
      <w:r>
        <w:rPr>
          <w:rFonts w:ascii="Times New Roman" w:hAnsi="Times New Roman" w:cs="Times New Roman"/>
          <w:kern w:val="2"/>
          <w:szCs w:val="22"/>
        </w:rPr>
        <w:t>-</w:t>
      </w:r>
      <w:r w:rsidRPr="009E3E97">
        <w:rPr>
          <w:rFonts w:ascii="Times New Roman" w:hAnsi="Times New Roman" w:cs="Times New Roman"/>
          <w:kern w:val="2"/>
          <w:szCs w:val="22"/>
        </w:rPr>
        <w:t>squar</w:t>
      </w:r>
      <w:r>
        <w:rPr>
          <w:rFonts w:ascii="Times New Roman" w:hAnsi="Times New Roman" w:cs="Times New Roman"/>
          <w:kern w:val="2"/>
          <w:szCs w:val="22"/>
        </w:rPr>
        <w:t>e</w:t>
      </w:r>
      <w:r w:rsidRPr="009E3E97">
        <w:rPr>
          <w:rFonts w:ascii="Times New Roman" w:hAnsi="Times New Roman" w:cs="Times New Roman"/>
          <w:kern w:val="2"/>
          <w:szCs w:val="22"/>
        </w:rPr>
        <w:t xml:space="preserve"> test.</w:t>
      </w:r>
    </w:p>
    <w:p w:rsidR="00B57CF6" w:rsidRDefault="00B57CF6">
      <w:pPr>
        <w:widowControl/>
        <w:jc w:val="left"/>
        <w:rPr>
          <w:rFonts w:ascii="Times New Roman" w:hAnsi="Times New Roman" w:cs="Times New Roman"/>
          <w:b/>
          <w:kern w:val="2"/>
          <w:szCs w:val="22"/>
        </w:rPr>
      </w:pPr>
      <w:r>
        <w:rPr>
          <w:rFonts w:ascii="Times New Roman" w:hAnsi="Times New Roman" w:cs="Times New Roman"/>
          <w:b/>
          <w:kern w:val="2"/>
          <w:szCs w:val="22"/>
        </w:rPr>
        <w:br w:type="page"/>
      </w:r>
    </w:p>
    <w:p w:rsidR="00B57CF6" w:rsidRPr="00521CDF" w:rsidRDefault="00B57CF6" w:rsidP="00EB6FD3">
      <w:pPr>
        <w:rPr>
          <w:rFonts w:ascii="Times New Roman" w:hAnsi="Times New Roman" w:cs="Times New Roman"/>
          <w:b/>
          <w:kern w:val="2"/>
          <w:szCs w:val="22"/>
        </w:rPr>
      </w:pPr>
      <w:r w:rsidRPr="00521CDF">
        <w:rPr>
          <w:rFonts w:ascii="Times New Roman" w:hAnsi="Times New Roman" w:cs="Times New Roman"/>
          <w:b/>
          <w:bCs/>
          <w:kern w:val="2"/>
          <w:szCs w:val="22"/>
        </w:rPr>
        <w:lastRenderedPageBreak/>
        <w:t xml:space="preserve">Table </w:t>
      </w:r>
      <w:r>
        <w:rPr>
          <w:rFonts w:ascii="Times New Roman" w:hAnsi="Times New Roman" w:cs="Times New Roman" w:hint="eastAsia"/>
          <w:b/>
          <w:bCs/>
          <w:kern w:val="2"/>
          <w:szCs w:val="22"/>
        </w:rPr>
        <w:t>S</w:t>
      </w:r>
      <w:r w:rsidRPr="00521CDF">
        <w:rPr>
          <w:rFonts w:ascii="Times New Roman" w:hAnsi="Times New Roman" w:cs="Times New Roman"/>
          <w:b/>
          <w:bCs/>
          <w:kern w:val="2"/>
          <w:szCs w:val="22"/>
        </w:rPr>
        <w:t>2</w:t>
      </w:r>
      <w:r w:rsidRPr="00521CDF">
        <w:rPr>
          <w:rFonts w:ascii="Times New Roman" w:hAnsi="Times New Roman" w:cs="Times New Roman"/>
          <w:b/>
          <w:kern w:val="2"/>
          <w:szCs w:val="22"/>
        </w:rPr>
        <w:t xml:space="preserve"> </w:t>
      </w:r>
      <w:r w:rsidRPr="00521CDF">
        <w:rPr>
          <w:rFonts w:ascii="Times New Roman" w:hAnsi="Times New Roman" w:cs="Times New Roman"/>
          <w:kern w:val="2"/>
        </w:rPr>
        <w:t>Diagnostic accuracy of different cutoff values of biomarkers (n = 2349).</w:t>
      </w:r>
    </w:p>
    <w:tbl>
      <w:tblPr>
        <w:tblW w:w="9676" w:type="dxa"/>
        <w:tblLook w:val="04A0" w:firstRow="1" w:lastRow="0" w:firstColumn="1" w:lastColumn="0" w:noHBand="0" w:noVBand="1"/>
      </w:tblPr>
      <w:tblGrid>
        <w:gridCol w:w="1342"/>
        <w:gridCol w:w="1651"/>
        <w:gridCol w:w="1678"/>
        <w:gridCol w:w="1342"/>
        <w:gridCol w:w="1342"/>
        <w:gridCol w:w="1342"/>
        <w:gridCol w:w="979"/>
      </w:tblGrid>
      <w:tr w:rsidR="00B57CF6" w:rsidRPr="00521CDF" w:rsidTr="00EB6FD3">
        <w:trPr>
          <w:trHeight w:val="206"/>
        </w:trPr>
        <w:tc>
          <w:tcPr>
            <w:tcW w:w="1342" w:type="dxa"/>
            <w:tcBorders>
              <w:top w:val="single" w:sz="4" w:space="0" w:color="auto"/>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Category</w:t>
            </w:r>
          </w:p>
        </w:tc>
        <w:tc>
          <w:tcPr>
            <w:tcW w:w="1651" w:type="dxa"/>
            <w:tcBorders>
              <w:top w:val="single" w:sz="4" w:space="0" w:color="auto"/>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Sensitivity (%)</w:t>
            </w:r>
          </w:p>
        </w:tc>
        <w:tc>
          <w:tcPr>
            <w:tcW w:w="1678" w:type="dxa"/>
            <w:tcBorders>
              <w:top w:val="single" w:sz="4" w:space="0" w:color="auto"/>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Specificity (%)</w:t>
            </w:r>
          </w:p>
        </w:tc>
        <w:tc>
          <w:tcPr>
            <w:tcW w:w="1342" w:type="dxa"/>
            <w:tcBorders>
              <w:top w:val="single" w:sz="4" w:space="0" w:color="auto"/>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PLR</w:t>
            </w:r>
          </w:p>
        </w:tc>
        <w:tc>
          <w:tcPr>
            <w:tcW w:w="1342" w:type="dxa"/>
            <w:tcBorders>
              <w:top w:val="single" w:sz="4" w:space="0" w:color="auto"/>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NLR</w:t>
            </w:r>
          </w:p>
        </w:tc>
        <w:tc>
          <w:tcPr>
            <w:tcW w:w="1342" w:type="dxa"/>
            <w:tcBorders>
              <w:top w:val="single" w:sz="4" w:space="0" w:color="auto"/>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PPV (%)</w:t>
            </w:r>
          </w:p>
        </w:tc>
        <w:tc>
          <w:tcPr>
            <w:tcW w:w="979" w:type="dxa"/>
            <w:tcBorders>
              <w:top w:val="single" w:sz="4" w:space="0" w:color="auto"/>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NPV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proofErr w:type="spellStart"/>
            <w:r w:rsidRPr="00521CDF">
              <w:rPr>
                <w:rFonts w:ascii="Times New Roman" w:eastAsia="等线" w:hAnsi="Times New Roman" w:cs="Times New Roman"/>
                <w:color w:val="000000"/>
                <w:sz w:val="16"/>
                <w:szCs w:val="16"/>
              </w:rPr>
              <w:t>FeNO</w:t>
            </w:r>
            <w:proofErr w:type="spellEnd"/>
            <w:r w:rsidRPr="00521CDF">
              <w:rPr>
                <w:rFonts w:ascii="Times New Roman" w:eastAsia="等线" w:hAnsi="Times New Roman" w:cs="Times New Roman"/>
                <w:color w:val="000000"/>
                <w:sz w:val="16"/>
                <w:szCs w:val="16"/>
              </w:rPr>
              <w:t xml:space="preserve"> (ppb)</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25</w:t>
            </w:r>
            <w:r w:rsidRPr="00521CDF">
              <w:rPr>
                <w:rFonts w:ascii="Times New Roman" w:eastAsia="等线" w:hAnsi="Times New Roman" w:cs="Times New Roman"/>
                <w:color w:val="000000"/>
                <w:sz w:val="16"/>
                <w:szCs w:val="16"/>
                <w:vertAlign w:val="superscript"/>
              </w:rPr>
              <w:t>†</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75.00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52.85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1.59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0.47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46.20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79.60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38*</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62.74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81.44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3.38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0.46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64.60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80.20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50</w:t>
            </w:r>
            <w:r w:rsidRPr="00521CDF">
              <w:rPr>
                <w:rFonts w:ascii="Times New Roman" w:eastAsia="等线" w:hAnsi="Times New Roman" w:cs="Times New Roman"/>
                <w:color w:val="000000"/>
                <w:sz w:val="16"/>
                <w:szCs w:val="16"/>
                <w:vertAlign w:val="superscript"/>
              </w:rPr>
              <w:t>†</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51.09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89.51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4.87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0.55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72.50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77.20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60</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41.87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93.31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6.26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0.62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77.20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74.80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70</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34.10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95.93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8.39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0.69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81.90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72.90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80</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28.76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97.18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10.20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0.73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84.60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71.60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90</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23.42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98.03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11.91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0.78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86.50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70.30 </w:t>
            </w:r>
          </w:p>
        </w:tc>
      </w:tr>
      <w:tr w:rsidR="00B57CF6" w:rsidRPr="00521CDF" w:rsidTr="00EB6FD3">
        <w:trPr>
          <w:trHeight w:val="206"/>
        </w:trPr>
        <w:tc>
          <w:tcPr>
            <w:tcW w:w="2993" w:type="dxa"/>
            <w:gridSpan w:val="2"/>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B-Eos count (cells/</w:t>
            </w:r>
            <w:proofErr w:type="spellStart"/>
            <w:r w:rsidRPr="00521CDF">
              <w:rPr>
                <w:rFonts w:ascii="Times New Roman" w:eastAsia="等线" w:hAnsi="Times New Roman" w:cs="Times New Roman"/>
                <w:color w:val="000000"/>
                <w:sz w:val="16"/>
                <w:szCs w:val="16"/>
              </w:rPr>
              <w:t>μl</w:t>
            </w:r>
            <w:proofErr w:type="spellEnd"/>
            <w:r w:rsidRPr="00521CDF">
              <w:rPr>
                <w:rFonts w:ascii="Times New Roman" w:eastAsia="等线" w:hAnsi="Times New Roman" w:cs="Times New Roman"/>
                <w:color w:val="000000"/>
                <w:sz w:val="16"/>
                <w:szCs w:val="16"/>
              </w:rPr>
              <w:t xml:space="preserve">)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Times New Roman" w:hAnsi="Times New Roman" w:cs="Times New Roman"/>
                <w:sz w:val="20"/>
                <w:szCs w:val="20"/>
              </w:rPr>
            </w:pP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203*</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67.23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69.90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2.23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0.47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54.70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79.80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300</w:t>
            </w:r>
            <w:r w:rsidRPr="00521CDF">
              <w:rPr>
                <w:rFonts w:ascii="Times New Roman" w:eastAsia="等线" w:hAnsi="Times New Roman" w:cs="Times New Roman"/>
                <w:color w:val="000000"/>
                <w:sz w:val="16"/>
                <w:szCs w:val="16"/>
                <w:vertAlign w:val="superscript"/>
              </w:rPr>
              <w:t>†</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50.61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83.54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3.07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0.59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62.40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75.80 </w:t>
            </w:r>
          </w:p>
        </w:tc>
      </w:tr>
      <w:tr w:rsidR="00B57CF6" w:rsidRPr="00521CDF" w:rsidTr="00EB6FD3">
        <w:trPr>
          <w:trHeight w:val="206"/>
        </w:trPr>
        <w:tc>
          <w:tcPr>
            <w:tcW w:w="1342" w:type="dxa"/>
            <w:tcBorders>
              <w:top w:val="nil"/>
              <w:left w:val="nil"/>
              <w:bottom w:val="nil"/>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400</w:t>
            </w:r>
            <w:r w:rsidRPr="00521CDF">
              <w:rPr>
                <w:rFonts w:ascii="Times New Roman" w:eastAsia="等线" w:hAnsi="Times New Roman" w:cs="Times New Roman"/>
                <w:color w:val="000000"/>
                <w:sz w:val="16"/>
                <w:szCs w:val="16"/>
                <w:vertAlign w:val="superscript"/>
              </w:rPr>
              <w:t>†</w:t>
            </w:r>
          </w:p>
        </w:tc>
        <w:tc>
          <w:tcPr>
            <w:tcW w:w="1651"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38.59 </w:t>
            </w:r>
          </w:p>
        </w:tc>
        <w:tc>
          <w:tcPr>
            <w:tcW w:w="1678"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88.92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3.48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0.69 </w:t>
            </w:r>
          </w:p>
        </w:tc>
        <w:tc>
          <w:tcPr>
            <w:tcW w:w="1342"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65.30 </w:t>
            </w:r>
          </w:p>
        </w:tc>
        <w:tc>
          <w:tcPr>
            <w:tcW w:w="979" w:type="dxa"/>
            <w:tcBorders>
              <w:top w:val="nil"/>
              <w:left w:val="nil"/>
              <w:bottom w:val="nil"/>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72.80 </w:t>
            </w:r>
          </w:p>
        </w:tc>
      </w:tr>
      <w:tr w:rsidR="00B57CF6" w:rsidRPr="00521CDF" w:rsidTr="00EB6FD3">
        <w:trPr>
          <w:trHeight w:val="206"/>
        </w:trPr>
        <w:tc>
          <w:tcPr>
            <w:tcW w:w="1342" w:type="dxa"/>
            <w:tcBorders>
              <w:top w:val="nil"/>
              <w:left w:val="nil"/>
              <w:bottom w:val="single" w:sz="4" w:space="0" w:color="auto"/>
              <w:right w:val="nil"/>
            </w:tcBorders>
            <w:shd w:val="clear" w:color="auto" w:fill="auto"/>
            <w:noWrap/>
            <w:vAlign w:val="center"/>
          </w:tcPr>
          <w:p w:rsidR="00B57CF6" w:rsidRPr="00521CDF" w:rsidRDefault="00B57CF6" w:rsidP="00EB6FD3">
            <w:pPr>
              <w:widowControl/>
              <w:ind w:leftChars="100" w:left="210"/>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&gt; 500</w:t>
            </w:r>
            <w:r w:rsidRPr="00521CDF">
              <w:rPr>
                <w:rFonts w:ascii="Times New Roman" w:eastAsia="等线" w:hAnsi="Times New Roman" w:cs="Times New Roman"/>
                <w:color w:val="000000"/>
                <w:sz w:val="16"/>
                <w:szCs w:val="16"/>
                <w:vertAlign w:val="superscript"/>
              </w:rPr>
              <w:t>†</w:t>
            </w:r>
          </w:p>
        </w:tc>
        <w:tc>
          <w:tcPr>
            <w:tcW w:w="1651" w:type="dxa"/>
            <w:tcBorders>
              <w:top w:val="nil"/>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27.31 </w:t>
            </w:r>
          </w:p>
        </w:tc>
        <w:tc>
          <w:tcPr>
            <w:tcW w:w="1678" w:type="dxa"/>
            <w:tcBorders>
              <w:top w:val="nil"/>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92.72 </w:t>
            </w:r>
          </w:p>
        </w:tc>
        <w:tc>
          <w:tcPr>
            <w:tcW w:w="1342" w:type="dxa"/>
            <w:tcBorders>
              <w:top w:val="nil"/>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3.75 </w:t>
            </w:r>
          </w:p>
        </w:tc>
        <w:tc>
          <w:tcPr>
            <w:tcW w:w="1342" w:type="dxa"/>
            <w:tcBorders>
              <w:top w:val="nil"/>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0.78 </w:t>
            </w:r>
          </w:p>
        </w:tc>
        <w:tc>
          <w:tcPr>
            <w:tcW w:w="1342" w:type="dxa"/>
            <w:tcBorders>
              <w:top w:val="nil"/>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67.00 </w:t>
            </w:r>
          </w:p>
        </w:tc>
        <w:tc>
          <w:tcPr>
            <w:tcW w:w="979" w:type="dxa"/>
            <w:tcBorders>
              <w:top w:val="nil"/>
              <w:left w:val="nil"/>
              <w:bottom w:val="single" w:sz="4" w:space="0" w:color="auto"/>
              <w:right w:val="nil"/>
            </w:tcBorders>
            <w:shd w:val="clear" w:color="auto" w:fill="auto"/>
            <w:noWrap/>
            <w:vAlign w:val="center"/>
          </w:tcPr>
          <w:p w:rsidR="00B57CF6" w:rsidRPr="00521CDF" w:rsidRDefault="00B57CF6" w:rsidP="00EB6FD3">
            <w:pPr>
              <w:widowControl/>
              <w:jc w:val="left"/>
              <w:rPr>
                <w:rFonts w:ascii="Times New Roman" w:eastAsia="等线" w:hAnsi="Times New Roman" w:cs="Times New Roman"/>
                <w:color w:val="000000"/>
                <w:sz w:val="16"/>
                <w:szCs w:val="16"/>
              </w:rPr>
            </w:pPr>
            <w:r w:rsidRPr="00521CDF">
              <w:rPr>
                <w:rFonts w:ascii="Times New Roman" w:eastAsia="等线" w:hAnsi="Times New Roman" w:cs="Times New Roman"/>
                <w:color w:val="000000"/>
                <w:sz w:val="16"/>
                <w:szCs w:val="16"/>
              </w:rPr>
              <w:t xml:space="preserve">70.20 </w:t>
            </w:r>
          </w:p>
        </w:tc>
      </w:tr>
    </w:tbl>
    <w:p w:rsidR="00B57CF6" w:rsidRPr="00521CDF" w:rsidRDefault="00B57CF6" w:rsidP="00EB6FD3">
      <w:pPr>
        <w:rPr>
          <w:rFonts w:ascii="Times New Roman" w:hAnsi="Times New Roman" w:cs="Times New Roman"/>
          <w:kern w:val="2"/>
          <w:szCs w:val="22"/>
        </w:rPr>
      </w:pPr>
      <w:r w:rsidRPr="00521CDF">
        <w:rPr>
          <w:rFonts w:ascii="Times New Roman" w:hAnsi="Times New Roman" w:cs="Times New Roman"/>
          <w:b/>
          <w:bCs/>
          <w:kern w:val="2"/>
          <w:szCs w:val="22"/>
        </w:rPr>
        <w:t>Abbreviations</w:t>
      </w:r>
      <w:r w:rsidRPr="00521CDF">
        <w:rPr>
          <w:rFonts w:ascii="Times New Roman" w:hAnsi="Times New Roman" w:cs="Times New Roman"/>
          <w:kern w:val="2"/>
          <w:szCs w:val="22"/>
        </w:rPr>
        <w:t>: PLR, positive likelihood ratio; NLR, negative likelihood ratio; PPV, positive predictive value; NPV, negative predictive value.</w:t>
      </w:r>
      <w:r w:rsidRPr="00521CDF">
        <w:rPr>
          <w:rFonts w:ascii="Times New Roman" w:hAnsi="Times New Roman" w:cs="Times New Roman"/>
          <w:kern w:val="2"/>
          <w:szCs w:val="22"/>
        </w:rPr>
        <w:br/>
        <w:t>*Optimal diagnostic cutoff value for each biomarker.</w:t>
      </w:r>
    </w:p>
    <w:p w:rsidR="00B57CF6" w:rsidRDefault="00B57CF6" w:rsidP="00EB6FD3">
      <w:pPr>
        <w:widowControl/>
        <w:jc w:val="left"/>
        <w:rPr>
          <w:rFonts w:ascii="Times New Roman" w:hAnsi="Times New Roman" w:cs="Times New Roman"/>
          <w:kern w:val="2"/>
          <w:szCs w:val="22"/>
        </w:rPr>
      </w:pPr>
      <w:r w:rsidRPr="00521CDF">
        <w:rPr>
          <w:rFonts w:ascii="Times New Roman" w:eastAsia="等线" w:hAnsi="Times New Roman" w:cs="Times New Roman"/>
          <w:sz w:val="16"/>
          <w:szCs w:val="16"/>
        </w:rPr>
        <w:t>†</w:t>
      </w:r>
      <w:r w:rsidRPr="00521CDF">
        <w:rPr>
          <w:rFonts w:ascii="Times New Roman" w:hAnsi="Times New Roman" w:cs="Times New Roman"/>
          <w:kern w:val="2"/>
          <w:szCs w:val="22"/>
        </w:rPr>
        <w:t>Previously reported diagnostic cutoff value.</w:t>
      </w:r>
    </w:p>
    <w:p w:rsidR="00B57CF6" w:rsidRDefault="00B57CF6">
      <w:pPr>
        <w:widowControl/>
        <w:jc w:val="left"/>
        <w:rPr>
          <w:rFonts w:ascii="Times New Roman" w:hAnsi="Times New Roman" w:cs="Times New Roman"/>
          <w:kern w:val="2"/>
          <w:szCs w:val="22"/>
        </w:rPr>
      </w:pPr>
      <w:r>
        <w:rPr>
          <w:rFonts w:ascii="Times New Roman" w:hAnsi="Times New Roman" w:cs="Times New Roman"/>
          <w:kern w:val="2"/>
          <w:szCs w:val="22"/>
        </w:rPr>
        <w:br w:type="page"/>
      </w:r>
    </w:p>
    <w:p w:rsidR="00B57CF6" w:rsidRPr="009E3E97" w:rsidRDefault="00B57CF6" w:rsidP="00EB6FD3">
      <w:pPr>
        <w:rPr>
          <w:rFonts w:ascii="Times New Roman" w:hAnsi="Times New Roman" w:cs="Times New Roman"/>
          <w:kern w:val="2"/>
          <w:szCs w:val="22"/>
        </w:rPr>
      </w:pPr>
      <w:r w:rsidRPr="009E3E97">
        <w:rPr>
          <w:rFonts w:ascii="Times New Roman" w:hAnsi="Times New Roman" w:cs="Times New Roman"/>
          <w:b/>
          <w:bCs/>
          <w:kern w:val="2"/>
          <w:szCs w:val="22"/>
        </w:rPr>
        <w:lastRenderedPageBreak/>
        <w:t>Table S</w:t>
      </w:r>
      <w:r>
        <w:rPr>
          <w:rFonts w:ascii="Times New Roman" w:hAnsi="Times New Roman" w:cs="Times New Roman"/>
          <w:b/>
          <w:bCs/>
          <w:kern w:val="2"/>
          <w:szCs w:val="22"/>
        </w:rPr>
        <w:t>3</w:t>
      </w:r>
      <w:r w:rsidRPr="009E3E97">
        <w:rPr>
          <w:rFonts w:ascii="Times New Roman" w:hAnsi="Times New Roman" w:cs="Times New Roman"/>
          <w:b/>
          <w:bCs/>
          <w:kern w:val="2"/>
          <w:szCs w:val="22"/>
        </w:rPr>
        <w:t xml:space="preserve"> </w:t>
      </w:r>
      <w:r w:rsidRPr="009E3E97">
        <w:rPr>
          <w:rFonts w:ascii="Times New Roman" w:hAnsi="Times New Roman" w:cs="Times New Roman"/>
          <w:kern w:val="2"/>
          <w:szCs w:val="22"/>
        </w:rPr>
        <w:t>Diagnostic accuracy of different combinations of two biomarkers</w:t>
      </w:r>
      <w:r w:rsidRPr="009E3E97">
        <w:rPr>
          <w:rFonts w:ascii="Times New Roman" w:hAnsi="Times New Roman" w:cs="Times New Roman"/>
        </w:rPr>
        <w:t xml:space="preserve"> </w:t>
      </w:r>
      <w:r w:rsidRPr="009E3E97">
        <w:rPr>
          <w:rFonts w:ascii="Times New Roman" w:hAnsi="Times New Roman" w:cs="Times New Roman"/>
          <w:kern w:val="2"/>
          <w:szCs w:val="22"/>
        </w:rPr>
        <w:t>(n = 2349).</w:t>
      </w:r>
    </w:p>
    <w:tbl>
      <w:tblPr>
        <w:tblW w:w="9725" w:type="dxa"/>
        <w:tblLook w:val="04A0" w:firstRow="1" w:lastRow="0" w:firstColumn="1" w:lastColumn="0" w:noHBand="0" w:noVBand="1"/>
      </w:tblPr>
      <w:tblGrid>
        <w:gridCol w:w="2396"/>
        <w:gridCol w:w="1285"/>
        <w:gridCol w:w="1285"/>
        <w:gridCol w:w="1285"/>
        <w:gridCol w:w="1285"/>
        <w:gridCol w:w="1285"/>
        <w:gridCol w:w="904"/>
      </w:tblGrid>
      <w:tr w:rsidR="00B57CF6" w:rsidRPr="009E3E97" w:rsidTr="00EB6FD3">
        <w:trPr>
          <w:trHeight w:val="269"/>
        </w:trPr>
        <w:tc>
          <w:tcPr>
            <w:tcW w:w="2396" w:type="dxa"/>
            <w:tcBorders>
              <w:top w:val="single" w:sz="4" w:space="0" w:color="000000"/>
              <w:left w:val="nil"/>
              <w:bottom w:val="single" w:sz="4" w:space="0" w:color="000000"/>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Categories</w:t>
            </w:r>
          </w:p>
        </w:tc>
        <w:tc>
          <w:tcPr>
            <w:tcW w:w="1285" w:type="dxa"/>
            <w:tcBorders>
              <w:top w:val="single" w:sz="4" w:space="0" w:color="000000"/>
              <w:left w:val="nil"/>
              <w:bottom w:val="single" w:sz="4" w:space="0" w:color="000000"/>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Sensitivity (%)</w:t>
            </w:r>
          </w:p>
        </w:tc>
        <w:tc>
          <w:tcPr>
            <w:tcW w:w="1285" w:type="dxa"/>
            <w:tcBorders>
              <w:top w:val="single" w:sz="4" w:space="0" w:color="000000"/>
              <w:left w:val="nil"/>
              <w:bottom w:val="single" w:sz="4" w:space="0" w:color="000000"/>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Specificity (%)</w:t>
            </w:r>
          </w:p>
        </w:tc>
        <w:tc>
          <w:tcPr>
            <w:tcW w:w="1285" w:type="dxa"/>
            <w:tcBorders>
              <w:top w:val="single" w:sz="4" w:space="0" w:color="000000"/>
              <w:left w:val="nil"/>
              <w:bottom w:val="single" w:sz="4" w:space="0" w:color="000000"/>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PLR</w:t>
            </w:r>
          </w:p>
        </w:tc>
        <w:tc>
          <w:tcPr>
            <w:tcW w:w="1285" w:type="dxa"/>
            <w:tcBorders>
              <w:top w:val="single" w:sz="4" w:space="0" w:color="000000"/>
              <w:left w:val="nil"/>
              <w:bottom w:val="single" w:sz="4" w:space="0" w:color="000000"/>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NLR</w:t>
            </w:r>
          </w:p>
        </w:tc>
        <w:tc>
          <w:tcPr>
            <w:tcW w:w="1285" w:type="dxa"/>
            <w:tcBorders>
              <w:top w:val="single" w:sz="4" w:space="0" w:color="000000"/>
              <w:left w:val="nil"/>
              <w:bottom w:val="single" w:sz="4" w:space="0" w:color="000000"/>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PPV (%)</w:t>
            </w:r>
          </w:p>
        </w:tc>
        <w:tc>
          <w:tcPr>
            <w:tcW w:w="904" w:type="dxa"/>
            <w:tcBorders>
              <w:top w:val="single" w:sz="4" w:space="0" w:color="000000"/>
              <w:left w:val="nil"/>
              <w:bottom w:val="single" w:sz="4" w:space="0" w:color="000000"/>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NPV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t>FeNO</w:t>
            </w:r>
            <w:proofErr w:type="spellEnd"/>
            <w:r w:rsidRPr="009E3E97">
              <w:rPr>
                <w:rFonts w:ascii="Times New Roman" w:eastAsia="等线" w:hAnsi="Times New Roman" w:cs="Times New Roman"/>
                <w:color w:val="000000"/>
                <w:sz w:val="16"/>
                <w:szCs w:val="16"/>
              </w:rPr>
              <w:t xml:space="preserve"> &gt; 20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100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69.71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64.25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51.31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79.70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56.07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81.10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61.58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77.36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300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41.83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89.93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69.18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74.10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400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31.89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93.22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71.77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71.70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500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22.57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95.55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5.1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73.25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69.55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t>FeNO</w:t>
            </w:r>
            <w:proofErr w:type="spellEnd"/>
            <w:r w:rsidRPr="009E3E97">
              <w:rPr>
                <w:rFonts w:ascii="Times New Roman" w:eastAsia="等线" w:hAnsi="Times New Roman" w:cs="Times New Roman"/>
                <w:color w:val="000000"/>
                <w:sz w:val="16"/>
                <w:szCs w:val="16"/>
              </w:rPr>
              <w:t xml:space="preserve"> &gt; 30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100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58.95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80.39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61.89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78.38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47.42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89.63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71.19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75.93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300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35.38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94.47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77.58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73.01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400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26.97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96.28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79.67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70.93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500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19.09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97.56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80.85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69.05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t>FeNO</w:t>
            </w:r>
            <w:proofErr w:type="spellEnd"/>
            <w:r w:rsidRPr="009E3E97">
              <w:rPr>
                <w:rFonts w:ascii="Times New Roman" w:eastAsia="等线" w:hAnsi="Times New Roman" w:cs="Times New Roman"/>
                <w:color w:val="000000"/>
                <w:sz w:val="16"/>
                <w:szCs w:val="16"/>
              </w:rPr>
              <w:t xml:space="preserve"> &gt; 40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100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50.98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90.38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5.3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74.12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77.33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41.00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94.92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81.33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74.86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300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30.59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97.29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11.3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85.92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72.18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400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23.32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98.18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12.8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87.36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70.32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500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16.51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98.80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13.8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88.16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68.65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t>FeNO</w:t>
            </w:r>
            <w:proofErr w:type="spellEnd"/>
            <w:r w:rsidRPr="009E3E97">
              <w:rPr>
                <w:rFonts w:ascii="Times New Roman" w:eastAsia="等线" w:hAnsi="Times New Roman" w:cs="Times New Roman"/>
                <w:color w:val="000000"/>
                <w:sz w:val="16"/>
                <w:szCs w:val="16"/>
              </w:rPr>
              <w:t xml:space="preserve"> &gt; 50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100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43.09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93.87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79.16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75.32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34.66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96.76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85.25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73.27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300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25.86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98.27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15.0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89.00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71.04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400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19.72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98.84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17.0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90.16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69.50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500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13.95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99.24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18.3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90.80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68.10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t>FeNO</w:t>
            </w:r>
            <w:proofErr w:type="spellEnd"/>
            <w:r w:rsidRPr="009E3E97">
              <w:rPr>
                <w:rFonts w:ascii="Times New Roman" w:eastAsia="等线" w:hAnsi="Times New Roman" w:cs="Times New Roman"/>
                <w:color w:val="000000"/>
                <w:sz w:val="16"/>
                <w:szCs w:val="16"/>
              </w:rPr>
              <w:t xml:space="preserve"> &gt; 60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100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35.31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96.09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83.00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73.33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28.40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97.93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13.7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88.13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71.68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300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21.19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98.90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19.2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91.23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69.90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400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16.16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99.26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21.8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92.17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68.66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500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11.43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99.51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23.5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92.69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67.53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t>FeNO</w:t>
            </w:r>
            <w:proofErr w:type="spellEnd"/>
            <w:r w:rsidRPr="009E3E97">
              <w:rPr>
                <w:rFonts w:ascii="Times New Roman" w:eastAsia="等线" w:hAnsi="Times New Roman" w:cs="Times New Roman"/>
                <w:color w:val="000000"/>
                <w:sz w:val="16"/>
                <w:szCs w:val="16"/>
              </w:rPr>
              <w:t xml:space="preserve"> &gt; 70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100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28.76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97.62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12.1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86.73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71.72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23.13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98.74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18.4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90.86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70.39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300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17.26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99.33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25.8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93.30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68.96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400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13.16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99.55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29.2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94.04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67.96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500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9.31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99.70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31.4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94.44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67.05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t>FeNO</w:t>
            </w:r>
            <w:proofErr w:type="spellEnd"/>
            <w:r w:rsidRPr="009E3E97">
              <w:rPr>
                <w:rFonts w:ascii="Times New Roman" w:eastAsia="等线" w:hAnsi="Times New Roman" w:cs="Times New Roman"/>
                <w:color w:val="000000"/>
                <w:sz w:val="16"/>
                <w:szCs w:val="16"/>
              </w:rPr>
              <w:t xml:space="preserve"> &gt; 80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100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24.26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98.35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14.7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88.83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70.62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19.51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99.13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22.4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92.37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69.51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300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14.56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99.54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31.4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94.43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68.31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400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11.10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99.69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35.5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95.05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67.48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500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7.85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99.79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38.3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95.39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66.72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lastRenderedPageBreak/>
              <w:t>FeNO</w:t>
            </w:r>
            <w:proofErr w:type="spellEnd"/>
            <w:r w:rsidRPr="009E3E97">
              <w:rPr>
                <w:rFonts w:ascii="Times New Roman" w:eastAsia="等线" w:hAnsi="Times New Roman" w:cs="Times New Roman"/>
                <w:color w:val="000000"/>
                <w:sz w:val="16"/>
                <w:szCs w:val="16"/>
              </w:rPr>
              <w:t xml:space="preserve"> &gt; 90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100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19.75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98.85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17.2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90.26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69.51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15.89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99.39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26.1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93.38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68.62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300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11.85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99.68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36.6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95.18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67.67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400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9.04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99.78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41.4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95.72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67.00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500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6.40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99.86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44.6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0.9 </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96.02 </w:t>
            </w: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66.38 </w:t>
            </w:r>
          </w:p>
        </w:tc>
      </w:tr>
      <w:tr w:rsidR="00B57CF6" w:rsidRPr="009E3E97" w:rsidTr="00EB6FD3">
        <w:trPr>
          <w:trHeight w:val="269"/>
        </w:trPr>
        <w:tc>
          <w:tcPr>
            <w:tcW w:w="2396" w:type="dxa"/>
            <w:tcBorders>
              <w:top w:val="nil"/>
              <w:left w:val="nil"/>
              <w:bottom w:val="nil"/>
              <w:right w:val="nil"/>
            </w:tcBorders>
            <w:shd w:val="clear" w:color="auto" w:fill="auto"/>
            <w:noWrap/>
            <w:vAlign w:val="center"/>
            <w:hideMark/>
          </w:tcPr>
          <w:p w:rsidR="00B57CF6" w:rsidRPr="009E3E97" w:rsidRDefault="00B57CF6" w:rsidP="00EB6FD3">
            <w:pPr>
              <w:widowControl/>
              <w:jc w:val="left"/>
              <w:rPr>
                <w:rFonts w:ascii="Times New Roman" w:eastAsia="等线" w:hAnsi="Times New Roman" w:cs="Times New Roman"/>
                <w:color w:val="000000"/>
                <w:sz w:val="16"/>
                <w:szCs w:val="16"/>
              </w:rPr>
            </w:pPr>
            <w:proofErr w:type="spellStart"/>
            <w:r w:rsidRPr="009E3E97">
              <w:rPr>
                <w:rFonts w:ascii="Times New Roman" w:eastAsia="等线" w:hAnsi="Times New Roman" w:cs="Times New Roman"/>
                <w:color w:val="000000"/>
                <w:sz w:val="16"/>
                <w:szCs w:val="16"/>
              </w:rPr>
              <w:t>FeNO</w:t>
            </w:r>
            <w:proofErr w:type="spellEnd"/>
            <w:r w:rsidRPr="009E3E97">
              <w:rPr>
                <w:rFonts w:ascii="Times New Roman" w:eastAsia="等线" w:hAnsi="Times New Roman" w:cs="Times New Roman"/>
                <w:color w:val="000000"/>
                <w:sz w:val="16"/>
                <w:szCs w:val="16"/>
              </w:rPr>
              <w:t xml:space="preserve"> &gt; 38 ppb</w:t>
            </w:r>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1285"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c>
          <w:tcPr>
            <w:tcW w:w="904" w:type="dxa"/>
            <w:tcBorders>
              <w:top w:val="nil"/>
              <w:left w:val="nil"/>
              <w:bottom w:val="nil"/>
              <w:right w:val="nil"/>
            </w:tcBorders>
            <w:shd w:val="clear" w:color="auto" w:fill="auto"/>
            <w:noWrap/>
            <w:vAlign w:val="bottom"/>
            <w:hideMark/>
          </w:tcPr>
          <w:p w:rsidR="00B57CF6" w:rsidRPr="009E3E97" w:rsidRDefault="00B57CF6" w:rsidP="00EB6FD3">
            <w:pPr>
              <w:widowControl/>
              <w:jc w:val="left"/>
              <w:rPr>
                <w:rFonts w:ascii="Times New Roman" w:eastAsia="Times New Roman" w:hAnsi="Times New Roman" w:cs="Times New Roman"/>
                <w:sz w:val="20"/>
                <w:szCs w:val="20"/>
              </w:rPr>
            </w:pPr>
          </w:p>
        </w:tc>
      </w:tr>
      <w:tr w:rsidR="00B57CF6" w:rsidRPr="009E3E97" w:rsidTr="00EB6FD3">
        <w:trPr>
          <w:trHeight w:val="269"/>
        </w:trPr>
        <w:tc>
          <w:tcPr>
            <w:tcW w:w="2396" w:type="dxa"/>
            <w:tcBorders>
              <w:top w:val="nil"/>
              <w:left w:val="nil"/>
              <w:bottom w:val="single" w:sz="4" w:space="0" w:color="000000"/>
              <w:right w:val="nil"/>
            </w:tcBorders>
            <w:shd w:val="clear" w:color="auto" w:fill="auto"/>
            <w:noWrap/>
            <w:vAlign w:val="center"/>
            <w:hideMark/>
          </w:tcPr>
          <w:p w:rsidR="00B57CF6" w:rsidRPr="009E3E97" w:rsidRDefault="00B57CF6" w:rsidP="00EB6FD3">
            <w:pPr>
              <w:widowControl/>
              <w:ind w:leftChars="100" w:left="210"/>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B-Eos &gt; 203 cells/</w:t>
            </w:r>
            <w:proofErr w:type="spellStart"/>
            <w:r w:rsidRPr="009E3E97">
              <w:rPr>
                <w:rFonts w:ascii="Times New Roman" w:eastAsia="等线" w:hAnsi="Times New Roman" w:cs="Times New Roman"/>
                <w:color w:val="000000"/>
                <w:sz w:val="16"/>
                <w:szCs w:val="16"/>
              </w:rPr>
              <w:t>μl</w:t>
            </w:r>
            <w:proofErr w:type="spellEnd"/>
            <w:r w:rsidRPr="009E3E97">
              <w:rPr>
                <w:rFonts w:ascii="Times New Roman" w:eastAsia="等线" w:hAnsi="Times New Roman" w:cs="Times New Roman"/>
                <w:color w:val="000000"/>
                <w:sz w:val="16"/>
                <w:szCs w:val="16"/>
                <w:vertAlign w:val="superscript"/>
              </w:rPr>
              <w:t>‡</w:t>
            </w:r>
          </w:p>
        </w:tc>
        <w:tc>
          <w:tcPr>
            <w:tcW w:w="1285" w:type="dxa"/>
            <w:tcBorders>
              <w:top w:val="nil"/>
              <w:left w:val="nil"/>
              <w:bottom w:val="single" w:sz="4" w:space="0" w:color="000000"/>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42.18 </w:t>
            </w:r>
          </w:p>
        </w:tc>
        <w:tc>
          <w:tcPr>
            <w:tcW w:w="1285" w:type="dxa"/>
            <w:tcBorders>
              <w:top w:val="nil"/>
              <w:left w:val="nil"/>
              <w:bottom w:val="single" w:sz="4" w:space="0" w:color="000000"/>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94.41 </w:t>
            </w:r>
          </w:p>
        </w:tc>
        <w:tc>
          <w:tcPr>
            <w:tcW w:w="1285" w:type="dxa"/>
            <w:tcBorders>
              <w:top w:val="nil"/>
              <w:left w:val="nil"/>
              <w:bottom w:val="single" w:sz="4" w:space="0" w:color="000000"/>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7.6 </w:t>
            </w:r>
          </w:p>
        </w:tc>
        <w:tc>
          <w:tcPr>
            <w:tcW w:w="1285" w:type="dxa"/>
            <w:tcBorders>
              <w:top w:val="nil"/>
              <w:left w:val="nil"/>
              <w:bottom w:val="single" w:sz="4" w:space="0" w:color="000000"/>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0.6 </w:t>
            </w:r>
          </w:p>
        </w:tc>
        <w:tc>
          <w:tcPr>
            <w:tcW w:w="1285" w:type="dxa"/>
            <w:tcBorders>
              <w:top w:val="nil"/>
              <w:left w:val="nil"/>
              <w:bottom w:val="single" w:sz="4" w:space="0" w:color="000000"/>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80.31 </w:t>
            </w:r>
          </w:p>
        </w:tc>
        <w:tc>
          <w:tcPr>
            <w:tcW w:w="904" w:type="dxa"/>
            <w:tcBorders>
              <w:top w:val="nil"/>
              <w:left w:val="nil"/>
              <w:bottom w:val="single" w:sz="4" w:space="0" w:color="000000"/>
              <w:right w:val="nil"/>
            </w:tcBorders>
            <w:shd w:val="clear" w:color="auto" w:fill="auto"/>
            <w:noWrap/>
            <w:vAlign w:val="bottom"/>
            <w:hideMark/>
          </w:tcPr>
          <w:p w:rsidR="00B57CF6" w:rsidRPr="009E3E97" w:rsidRDefault="00B57CF6" w:rsidP="00EB6FD3">
            <w:pPr>
              <w:widowControl/>
              <w:jc w:val="left"/>
              <w:rPr>
                <w:rFonts w:ascii="Times New Roman" w:eastAsia="等线" w:hAnsi="Times New Roman" w:cs="Times New Roman"/>
                <w:color w:val="000000"/>
                <w:sz w:val="16"/>
                <w:szCs w:val="16"/>
              </w:rPr>
            </w:pPr>
            <w:r w:rsidRPr="009E3E97">
              <w:rPr>
                <w:rFonts w:ascii="Times New Roman" w:eastAsia="等线" w:hAnsi="Times New Roman" w:cs="Times New Roman"/>
                <w:color w:val="000000"/>
                <w:sz w:val="16"/>
                <w:szCs w:val="16"/>
              </w:rPr>
              <w:t xml:space="preserve">75.14 </w:t>
            </w:r>
          </w:p>
        </w:tc>
      </w:tr>
    </w:tbl>
    <w:p w:rsidR="00B57CF6" w:rsidRPr="009E3E97" w:rsidRDefault="00B57CF6" w:rsidP="00EB6FD3">
      <w:pPr>
        <w:rPr>
          <w:rFonts w:ascii="Times New Roman" w:eastAsia="等线" w:hAnsi="Times New Roman" w:cs="Times New Roman"/>
        </w:rPr>
      </w:pPr>
      <w:r w:rsidRPr="009E3E97">
        <w:rPr>
          <w:rFonts w:ascii="Times New Roman" w:eastAsia="等线" w:hAnsi="Times New Roman" w:cs="Times New Roman"/>
        </w:rPr>
        <w:t>*Baseline screening value of the former biomarker.</w:t>
      </w:r>
    </w:p>
    <w:p w:rsidR="00B57CF6" w:rsidRPr="009E3E97" w:rsidRDefault="00B57CF6" w:rsidP="00EB6FD3">
      <w:pPr>
        <w:rPr>
          <w:rFonts w:ascii="Times New Roman" w:eastAsia="等线" w:hAnsi="Times New Roman" w:cs="Times New Roman"/>
        </w:rPr>
      </w:pPr>
      <w:r w:rsidRPr="009E3E97">
        <w:rPr>
          <w:rFonts w:ascii="Times New Roman" w:eastAsia="等线" w:hAnsi="Times New Roman" w:cs="Times New Roman"/>
        </w:rPr>
        <w:t>†Progressively increasing cutoff values of the combined biomarkers.</w:t>
      </w:r>
    </w:p>
    <w:p w:rsidR="00B57CF6" w:rsidRPr="009E3E97" w:rsidRDefault="00B57CF6" w:rsidP="00EB6FD3">
      <w:pPr>
        <w:rPr>
          <w:rFonts w:ascii="Times New Roman" w:hAnsi="Times New Roman" w:cs="Times New Roman"/>
          <w:kern w:val="2"/>
          <w:szCs w:val="22"/>
        </w:rPr>
      </w:pPr>
      <w:r w:rsidRPr="009E3E97">
        <w:rPr>
          <w:rFonts w:ascii="Times New Roman" w:eastAsia="等线" w:hAnsi="Times New Roman" w:cs="Times New Roman"/>
        </w:rPr>
        <w:t>‡The optimal diagnostic cutoff value for each biomarker alone</w:t>
      </w:r>
      <w:r w:rsidRPr="009E3E97">
        <w:rPr>
          <w:rFonts w:ascii="Times New Roman" w:hAnsi="Times New Roman" w:cs="Times New Roman"/>
          <w:kern w:val="2"/>
          <w:szCs w:val="22"/>
        </w:rPr>
        <w:t xml:space="preserve">. </w:t>
      </w:r>
    </w:p>
    <w:p w:rsidR="00B57CF6" w:rsidRDefault="00B57CF6">
      <w:pPr>
        <w:widowControl/>
        <w:jc w:val="left"/>
        <w:rPr>
          <w:rFonts w:ascii="Times New Roman" w:hAnsi="Times New Roman" w:cs="Times New Roman"/>
          <w:b/>
          <w:kern w:val="2"/>
          <w:szCs w:val="22"/>
        </w:rPr>
      </w:pPr>
      <w:r>
        <w:rPr>
          <w:rFonts w:ascii="Times New Roman" w:hAnsi="Times New Roman" w:cs="Times New Roman"/>
          <w:b/>
          <w:kern w:val="2"/>
          <w:szCs w:val="22"/>
        </w:rPr>
        <w:br w:type="page"/>
      </w:r>
    </w:p>
    <w:p w:rsidR="00B57CF6" w:rsidRPr="00521CDF" w:rsidRDefault="00B57CF6" w:rsidP="00EB6FD3">
      <w:pPr>
        <w:rPr>
          <w:rFonts w:ascii="Times New Roman" w:hAnsi="Times New Roman" w:cs="Times New Roman"/>
          <w:kern w:val="2"/>
          <w:szCs w:val="22"/>
        </w:rPr>
      </w:pPr>
      <w:r w:rsidRPr="00521CDF">
        <w:rPr>
          <w:rFonts w:ascii="Times New Roman" w:hAnsi="Times New Roman" w:cs="Times New Roman"/>
          <w:b/>
          <w:kern w:val="2"/>
          <w:szCs w:val="22"/>
        </w:rPr>
        <w:lastRenderedPageBreak/>
        <w:t xml:space="preserve">Table </w:t>
      </w:r>
      <w:r>
        <w:rPr>
          <w:rFonts w:ascii="Times New Roman" w:hAnsi="Times New Roman" w:cs="Times New Roman" w:hint="eastAsia"/>
          <w:b/>
          <w:kern w:val="2"/>
          <w:szCs w:val="22"/>
        </w:rPr>
        <w:t>S</w:t>
      </w:r>
      <w:r w:rsidRPr="00521CDF">
        <w:rPr>
          <w:rFonts w:ascii="Times New Roman" w:hAnsi="Times New Roman" w:cs="Times New Roman"/>
          <w:b/>
          <w:kern w:val="2"/>
          <w:szCs w:val="22"/>
        </w:rPr>
        <w:t xml:space="preserve">4 </w:t>
      </w:r>
      <w:r w:rsidRPr="009516A0">
        <w:rPr>
          <w:rFonts w:ascii="Times New Roman" w:hAnsi="Times New Roman" w:cs="Times New Roman"/>
          <w:kern w:val="2"/>
          <w:szCs w:val="22"/>
        </w:rPr>
        <w:t>Diagnostic accuracy of simultaneously elevated biomarkers</w:t>
      </w:r>
      <w:r>
        <w:rPr>
          <w:rFonts w:ascii="Times New Roman" w:hAnsi="Times New Roman" w:cs="Times New Roman"/>
          <w:kern w:val="2"/>
          <w:szCs w:val="22"/>
        </w:rPr>
        <w:t>.</w:t>
      </w:r>
    </w:p>
    <w:tbl>
      <w:tblPr>
        <w:tblW w:w="9619" w:type="dxa"/>
        <w:tblLook w:val="04A0" w:firstRow="1" w:lastRow="0" w:firstColumn="1" w:lastColumn="0" w:noHBand="0" w:noVBand="1"/>
      </w:tblPr>
      <w:tblGrid>
        <w:gridCol w:w="3552"/>
        <w:gridCol w:w="2200"/>
        <w:gridCol w:w="2201"/>
        <w:gridCol w:w="1666"/>
      </w:tblGrid>
      <w:tr w:rsidR="00B57CF6" w:rsidRPr="00521CDF" w:rsidTr="00EB6FD3">
        <w:trPr>
          <w:trHeight w:val="431"/>
        </w:trPr>
        <w:tc>
          <w:tcPr>
            <w:tcW w:w="3552" w:type="dxa"/>
            <w:vMerge w:val="restart"/>
            <w:tcBorders>
              <w:top w:val="single" w:sz="4" w:space="0" w:color="auto"/>
              <w:left w:val="nil"/>
              <w:bottom w:val="single" w:sz="4" w:space="0" w:color="000000"/>
              <w:right w:val="nil"/>
            </w:tcBorders>
            <w:noWrap/>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Categories</w:t>
            </w:r>
          </w:p>
        </w:tc>
        <w:tc>
          <w:tcPr>
            <w:tcW w:w="4401" w:type="dxa"/>
            <w:gridSpan w:val="2"/>
            <w:tcBorders>
              <w:top w:val="single" w:sz="4" w:space="0" w:color="auto"/>
              <w:left w:val="nil"/>
              <w:bottom w:val="single" w:sz="4" w:space="0" w:color="auto"/>
              <w:right w:val="nil"/>
            </w:tcBorders>
            <w:noWrap/>
            <w:vAlign w:val="center"/>
          </w:tcPr>
          <w:p w:rsidR="00B57CF6" w:rsidRPr="00521CDF" w:rsidRDefault="00B57CF6" w:rsidP="00EB6FD3">
            <w:pPr>
              <w:widowControl/>
              <w:jc w:val="center"/>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Classification by BPT or BDT results</w:t>
            </w:r>
          </w:p>
        </w:tc>
        <w:tc>
          <w:tcPr>
            <w:tcW w:w="1666" w:type="dxa"/>
            <w:vMerge w:val="restart"/>
            <w:tcBorders>
              <w:top w:val="single" w:sz="4" w:space="0" w:color="auto"/>
              <w:left w:val="nil"/>
              <w:bottom w:val="single" w:sz="4" w:space="0" w:color="000000"/>
              <w:right w:val="nil"/>
            </w:tcBorders>
            <w:noWrap/>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Total</w:t>
            </w:r>
          </w:p>
        </w:tc>
      </w:tr>
      <w:tr w:rsidR="00B57CF6" w:rsidRPr="00521CDF" w:rsidTr="00EB6FD3">
        <w:trPr>
          <w:trHeight w:val="443"/>
        </w:trPr>
        <w:tc>
          <w:tcPr>
            <w:tcW w:w="0" w:type="auto"/>
            <w:vMerge/>
            <w:tcBorders>
              <w:top w:val="single" w:sz="4" w:space="0" w:color="auto"/>
              <w:left w:val="nil"/>
              <w:bottom w:val="single" w:sz="4" w:space="0" w:color="000000"/>
              <w:right w:val="nil"/>
            </w:tcBorders>
            <w:vAlign w:val="center"/>
          </w:tcPr>
          <w:p w:rsidR="00B57CF6" w:rsidRPr="00521CDF" w:rsidRDefault="00B57CF6" w:rsidP="00EB6FD3">
            <w:pPr>
              <w:widowControl/>
              <w:jc w:val="left"/>
              <w:rPr>
                <w:rFonts w:ascii="Times New Roman" w:eastAsia="等线" w:hAnsi="Times New Roman" w:cs="Times New Roman"/>
                <w:color w:val="000000"/>
                <w:sz w:val="20"/>
                <w:szCs w:val="20"/>
              </w:rPr>
            </w:pPr>
          </w:p>
        </w:tc>
        <w:tc>
          <w:tcPr>
            <w:tcW w:w="2200" w:type="dxa"/>
            <w:tcBorders>
              <w:top w:val="nil"/>
              <w:left w:val="nil"/>
              <w:bottom w:val="single" w:sz="4" w:space="0" w:color="auto"/>
              <w:right w:val="nil"/>
            </w:tcBorders>
            <w:noWrap/>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Asthma</w:t>
            </w:r>
          </w:p>
        </w:tc>
        <w:tc>
          <w:tcPr>
            <w:tcW w:w="2201" w:type="dxa"/>
            <w:tcBorders>
              <w:top w:val="nil"/>
              <w:left w:val="nil"/>
              <w:bottom w:val="single" w:sz="4" w:space="0" w:color="auto"/>
              <w:right w:val="nil"/>
            </w:tcBorders>
            <w:noWrap/>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Non-asthma</w:t>
            </w:r>
          </w:p>
        </w:tc>
        <w:tc>
          <w:tcPr>
            <w:tcW w:w="0" w:type="auto"/>
            <w:vMerge/>
            <w:tcBorders>
              <w:top w:val="single" w:sz="4" w:space="0" w:color="auto"/>
              <w:left w:val="nil"/>
              <w:bottom w:val="single" w:sz="4" w:space="0" w:color="000000"/>
              <w:right w:val="nil"/>
            </w:tcBorders>
            <w:vAlign w:val="center"/>
          </w:tcPr>
          <w:p w:rsidR="00B57CF6" w:rsidRPr="00521CDF" w:rsidRDefault="00B57CF6" w:rsidP="00EB6FD3">
            <w:pPr>
              <w:widowControl/>
              <w:jc w:val="left"/>
              <w:rPr>
                <w:rFonts w:ascii="Times New Roman" w:eastAsia="等线" w:hAnsi="Times New Roman" w:cs="Times New Roman"/>
                <w:color w:val="000000"/>
                <w:sz w:val="20"/>
                <w:szCs w:val="20"/>
              </w:rPr>
            </w:pPr>
          </w:p>
        </w:tc>
      </w:tr>
      <w:tr w:rsidR="00B57CF6" w:rsidRPr="00521CDF" w:rsidTr="00EB6FD3">
        <w:trPr>
          <w:trHeight w:val="801"/>
        </w:trPr>
        <w:tc>
          <w:tcPr>
            <w:tcW w:w="3552" w:type="dxa"/>
            <w:vAlign w:val="center"/>
          </w:tcPr>
          <w:p w:rsidR="00B57CF6" w:rsidRPr="00521CDF" w:rsidRDefault="00B57CF6" w:rsidP="00EB6FD3">
            <w:pPr>
              <w:widowControl/>
              <w:jc w:val="left"/>
              <w:rPr>
                <w:rFonts w:ascii="Times New Roman" w:eastAsia="等线" w:hAnsi="Times New Roman" w:cs="Times New Roman"/>
                <w:color w:val="000000"/>
                <w:sz w:val="20"/>
                <w:szCs w:val="20"/>
              </w:rPr>
            </w:pPr>
            <w:proofErr w:type="spellStart"/>
            <w:r w:rsidRPr="00521CDF">
              <w:rPr>
                <w:rFonts w:ascii="Times New Roman" w:eastAsia="等线" w:hAnsi="Times New Roman" w:cs="Times New Roman"/>
                <w:color w:val="000000"/>
                <w:sz w:val="20"/>
                <w:szCs w:val="20"/>
              </w:rPr>
              <w:t>FeNO</w:t>
            </w:r>
            <w:proofErr w:type="spellEnd"/>
            <w:r w:rsidRPr="00521CDF">
              <w:rPr>
                <w:rFonts w:ascii="Times New Roman" w:eastAsia="等线" w:hAnsi="Times New Roman" w:cs="Times New Roman"/>
                <w:color w:val="000000"/>
                <w:sz w:val="20"/>
                <w:szCs w:val="20"/>
              </w:rPr>
              <w:t xml:space="preserve"> &gt; 40 ppb and</w:t>
            </w:r>
            <w:r w:rsidRPr="00521CDF">
              <w:rPr>
                <w:rFonts w:ascii="Times New Roman" w:eastAsia="等线" w:hAnsi="Times New Roman" w:cs="Times New Roman"/>
                <w:color w:val="000000"/>
                <w:sz w:val="20"/>
                <w:szCs w:val="20"/>
              </w:rPr>
              <w:br/>
              <w:t>B-Eos &gt; 300 cells/</w:t>
            </w:r>
            <w:proofErr w:type="spellStart"/>
            <w:r w:rsidRPr="00521CDF">
              <w:rPr>
                <w:rFonts w:ascii="Times New Roman" w:eastAsia="等线" w:hAnsi="Times New Roman" w:cs="Times New Roman"/>
                <w:color w:val="000000"/>
                <w:sz w:val="20"/>
                <w:szCs w:val="20"/>
              </w:rPr>
              <w:t>μl</w:t>
            </w:r>
            <w:proofErr w:type="spellEnd"/>
          </w:p>
        </w:tc>
        <w:tc>
          <w:tcPr>
            <w:tcW w:w="2200" w:type="dxa"/>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327</w:t>
            </w:r>
            <w:r w:rsidRPr="00521CDF">
              <w:rPr>
                <w:rFonts w:ascii="Times New Roman" w:eastAsia="等线" w:hAnsi="Times New Roman" w:cs="Times New Roman"/>
                <w:color w:val="000000"/>
                <w:sz w:val="20"/>
                <w:szCs w:val="20"/>
              </w:rPr>
              <w:br/>
              <w:t>(39.7%)</w:t>
            </w:r>
          </w:p>
        </w:tc>
        <w:tc>
          <w:tcPr>
            <w:tcW w:w="2201" w:type="dxa"/>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68</w:t>
            </w:r>
            <w:r w:rsidRPr="00521CDF">
              <w:rPr>
                <w:rFonts w:ascii="Times New Roman" w:eastAsia="等线" w:hAnsi="Times New Roman" w:cs="Times New Roman"/>
                <w:color w:val="000000"/>
                <w:sz w:val="20"/>
                <w:szCs w:val="20"/>
              </w:rPr>
              <w:br/>
              <w:t>(4.5%)</w:t>
            </w:r>
          </w:p>
        </w:tc>
        <w:tc>
          <w:tcPr>
            <w:tcW w:w="1666" w:type="dxa"/>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395</w:t>
            </w:r>
            <w:r w:rsidRPr="00521CDF">
              <w:rPr>
                <w:rFonts w:ascii="Times New Roman" w:eastAsia="等线" w:hAnsi="Times New Roman" w:cs="Times New Roman"/>
                <w:color w:val="000000"/>
                <w:sz w:val="20"/>
                <w:szCs w:val="20"/>
              </w:rPr>
              <w:br/>
              <w:t>(16.8%)</w:t>
            </w:r>
          </w:p>
        </w:tc>
      </w:tr>
      <w:tr w:rsidR="00B57CF6" w:rsidRPr="00521CDF" w:rsidTr="00EB6FD3">
        <w:trPr>
          <w:trHeight w:val="801"/>
        </w:trPr>
        <w:tc>
          <w:tcPr>
            <w:tcW w:w="3552" w:type="dxa"/>
            <w:vAlign w:val="center"/>
          </w:tcPr>
          <w:p w:rsidR="00B57CF6" w:rsidRPr="00521CDF" w:rsidRDefault="00B57CF6" w:rsidP="00EB6FD3">
            <w:pPr>
              <w:widowControl/>
              <w:jc w:val="left"/>
              <w:rPr>
                <w:rFonts w:ascii="Times New Roman" w:eastAsia="等线" w:hAnsi="Times New Roman" w:cs="Times New Roman"/>
                <w:color w:val="000000"/>
                <w:sz w:val="20"/>
                <w:szCs w:val="20"/>
              </w:rPr>
            </w:pPr>
            <w:proofErr w:type="spellStart"/>
            <w:r w:rsidRPr="00521CDF">
              <w:rPr>
                <w:rFonts w:ascii="Times New Roman" w:eastAsia="等线" w:hAnsi="Times New Roman" w:cs="Times New Roman"/>
                <w:color w:val="000000"/>
                <w:sz w:val="20"/>
                <w:szCs w:val="20"/>
              </w:rPr>
              <w:t>FeNO</w:t>
            </w:r>
            <w:proofErr w:type="spellEnd"/>
            <w:r w:rsidRPr="00521CDF">
              <w:rPr>
                <w:rFonts w:ascii="Times New Roman" w:eastAsia="等线" w:hAnsi="Times New Roman" w:cs="Times New Roman"/>
                <w:color w:val="000000"/>
                <w:sz w:val="20"/>
                <w:szCs w:val="20"/>
              </w:rPr>
              <w:t xml:space="preserve"> ≤ 40 ppb or</w:t>
            </w:r>
            <w:r w:rsidRPr="00521CDF">
              <w:rPr>
                <w:rFonts w:ascii="Times New Roman" w:eastAsia="等线" w:hAnsi="Times New Roman" w:cs="Times New Roman"/>
                <w:color w:val="000000"/>
                <w:sz w:val="20"/>
                <w:szCs w:val="20"/>
              </w:rPr>
              <w:br/>
              <w:t>B-Eos ≤ 300 cells/</w:t>
            </w:r>
            <w:proofErr w:type="spellStart"/>
            <w:r w:rsidRPr="00521CDF">
              <w:rPr>
                <w:rFonts w:ascii="Times New Roman" w:eastAsia="等线" w:hAnsi="Times New Roman" w:cs="Times New Roman"/>
                <w:color w:val="000000"/>
                <w:sz w:val="20"/>
                <w:szCs w:val="20"/>
              </w:rPr>
              <w:t>μl</w:t>
            </w:r>
            <w:proofErr w:type="spellEnd"/>
          </w:p>
        </w:tc>
        <w:tc>
          <w:tcPr>
            <w:tcW w:w="2200" w:type="dxa"/>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497</w:t>
            </w:r>
            <w:r w:rsidRPr="00521CDF">
              <w:rPr>
                <w:rFonts w:ascii="Times New Roman" w:eastAsia="等线" w:hAnsi="Times New Roman" w:cs="Times New Roman"/>
                <w:color w:val="000000"/>
                <w:sz w:val="20"/>
                <w:szCs w:val="20"/>
              </w:rPr>
              <w:br/>
              <w:t>(60.3%)</w:t>
            </w:r>
          </w:p>
        </w:tc>
        <w:tc>
          <w:tcPr>
            <w:tcW w:w="2201" w:type="dxa"/>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1457</w:t>
            </w:r>
            <w:r w:rsidRPr="00521CDF">
              <w:rPr>
                <w:rFonts w:ascii="Times New Roman" w:eastAsia="等线" w:hAnsi="Times New Roman" w:cs="Times New Roman"/>
                <w:color w:val="000000"/>
                <w:sz w:val="20"/>
                <w:szCs w:val="20"/>
              </w:rPr>
              <w:br/>
              <w:t>(95.5%)</w:t>
            </w:r>
          </w:p>
        </w:tc>
        <w:tc>
          <w:tcPr>
            <w:tcW w:w="1666" w:type="dxa"/>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1954</w:t>
            </w:r>
            <w:r w:rsidRPr="00521CDF">
              <w:rPr>
                <w:rFonts w:ascii="Times New Roman" w:eastAsia="等线" w:hAnsi="Times New Roman" w:cs="Times New Roman"/>
                <w:color w:val="000000"/>
                <w:sz w:val="20"/>
                <w:szCs w:val="20"/>
              </w:rPr>
              <w:br/>
              <w:t>(83.2%)</w:t>
            </w:r>
          </w:p>
        </w:tc>
      </w:tr>
      <w:tr w:rsidR="00B57CF6" w:rsidRPr="00521CDF" w:rsidTr="00EB6FD3">
        <w:trPr>
          <w:trHeight w:val="690"/>
        </w:trPr>
        <w:tc>
          <w:tcPr>
            <w:tcW w:w="3552" w:type="dxa"/>
            <w:tcBorders>
              <w:top w:val="nil"/>
              <w:left w:val="nil"/>
              <w:bottom w:val="single" w:sz="4" w:space="0" w:color="auto"/>
              <w:right w:val="nil"/>
            </w:tcBorders>
            <w:noWrap/>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Total</w:t>
            </w:r>
          </w:p>
        </w:tc>
        <w:tc>
          <w:tcPr>
            <w:tcW w:w="2200" w:type="dxa"/>
            <w:tcBorders>
              <w:top w:val="nil"/>
              <w:left w:val="nil"/>
              <w:bottom w:val="single" w:sz="4" w:space="0" w:color="auto"/>
              <w:right w:val="nil"/>
            </w:tcBorders>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824</w:t>
            </w:r>
            <w:r w:rsidRPr="00521CDF">
              <w:rPr>
                <w:rFonts w:ascii="Times New Roman" w:eastAsia="等线" w:hAnsi="Times New Roman" w:cs="Times New Roman"/>
                <w:color w:val="000000"/>
                <w:sz w:val="20"/>
                <w:szCs w:val="20"/>
              </w:rPr>
              <w:br/>
              <w:t>(100%)</w:t>
            </w:r>
          </w:p>
        </w:tc>
        <w:tc>
          <w:tcPr>
            <w:tcW w:w="2201" w:type="dxa"/>
            <w:tcBorders>
              <w:top w:val="nil"/>
              <w:left w:val="nil"/>
              <w:bottom w:val="single" w:sz="4" w:space="0" w:color="auto"/>
              <w:right w:val="nil"/>
            </w:tcBorders>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1525</w:t>
            </w:r>
            <w:r w:rsidRPr="00521CDF">
              <w:rPr>
                <w:rFonts w:ascii="Times New Roman" w:eastAsia="等线" w:hAnsi="Times New Roman" w:cs="Times New Roman"/>
                <w:color w:val="000000"/>
                <w:sz w:val="20"/>
                <w:szCs w:val="20"/>
              </w:rPr>
              <w:br/>
              <w:t>(100%)</w:t>
            </w:r>
          </w:p>
        </w:tc>
        <w:tc>
          <w:tcPr>
            <w:tcW w:w="1666" w:type="dxa"/>
            <w:tcBorders>
              <w:top w:val="nil"/>
              <w:left w:val="nil"/>
              <w:bottom w:val="single" w:sz="4" w:space="0" w:color="auto"/>
              <w:right w:val="nil"/>
            </w:tcBorders>
            <w:vAlign w:val="center"/>
          </w:tcPr>
          <w:p w:rsidR="00B57CF6" w:rsidRPr="00521CDF" w:rsidRDefault="00B57CF6" w:rsidP="00EB6FD3">
            <w:pPr>
              <w:widowControl/>
              <w:jc w:val="left"/>
              <w:rPr>
                <w:rFonts w:ascii="Times New Roman" w:eastAsia="等线" w:hAnsi="Times New Roman" w:cs="Times New Roman"/>
                <w:color w:val="000000"/>
                <w:sz w:val="20"/>
                <w:szCs w:val="20"/>
              </w:rPr>
            </w:pPr>
            <w:r w:rsidRPr="00521CDF">
              <w:rPr>
                <w:rFonts w:ascii="Times New Roman" w:eastAsia="等线" w:hAnsi="Times New Roman" w:cs="Times New Roman"/>
                <w:color w:val="000000"/>
                <w:sz w:val="20"/>
                <w:szCs w:val="20"/>
              </w:rPr>
              <w:t>2349</w:t>
            </w:r>
            <w:r w:rsidRPr="00521CDF">
              <w:rPr>
                <w:rFonts w:ascii="Times New Roman" w:eastAsia="等线" w:hAnsi="Times New Roman" w:cs="Times New Roman"/>
                <w:color w:val="000000"/>
                <w:sz w:val="20"/>
                <w:szCs w:val="20"/>
              </w:rPr>
              <w:br/>
              <w:t>(100%)</w:t>
            </w:r>
          </w:p>
        </w:tc>
      </w:tr>
    </w:tbl>
    <w:p w:rsidR="00B57CF6" w:rsidRDefault="00B57CF6">
      <w:pPr>
        <w:widowControl/>
        <w:jc w:val="left"/>
        <w:rPr>
          <w:rFonts w:ascii="Times New Roman" w:hAnsi="Times New Roman" w:cs="Times New Roman"/>
          <w:kern w:val="2"/>
          <w:szCs w:val="22"/>
        </w:rPr>
      </w:pPr>
      <w:r w:rsidRPr="00521CDF">
        <w:rPr>
          <w:rFonts w:ascii="Times New Roman" w:hAnsi="Times New Roman" w:cs="Times New Roman"/>
          <w:kern w:val="2"/>
          <w:szCs w:val="22"/>
        </w:rPr>
        <w:t>Suspicious patients are those with respiratory symptoms such as wheezing, shortness of breath, chest tightness, and cough, which vary over time and in intensity. The diagnosis of asthma was based on variable respiratory symptoms and positive BPT or BDT results.</w:t>
      </w:r>
    </w:p>
    <w:p w:rsidR="00B57CF6" w:rsidRDefault="00B57CF6">
      <w:pPr>
        <w:widowControl/>
        <w:jc w:val="left"/>
        <w:rPr>
          <w:rFonts w:ascii="Times New Roman" w:hAnsi="Times New Roman" w:cs="Times New Roman"/>
          <w:kern w:val="2"/>
          <w:szCs w:val="22"/>
        </w:rPr>
      </w:pPr>
      <w:r>
        <w:rPr>
          <w:rFonts w:ascii="Times New Roman" w:hAnsi="Times New Roman" w:cs="Times New Roman"/>
          <w:kern w:val="2"/>
          <w:szCs w:val="22"/>
        </w:rPr>
        <w:br w:type="page"/>
      </w:r>
    </w:p>
    <w:p w:rsidR="00B57CF6" w:rsidRPr="00284A16" w:rsidRDefault="00B57CF6" w:rsidP="00EB6FD3">
      <w:pPr>
        <w:widowControl/>
        <w:jc w:val="left"/>
        <w:rPr>
          <w:rFonts w:ascii="Times New Roman" w:hAnsi="Times New Roman" w:cs="Times New Roman"/>
          <w:kern w:val="2"/>
          <w:szCs w:val="22"/>
        </w:rPr>
      </w:pPr>
      <w:r w:rsidRPr="00284A16">
        <w:rPr>
          <w:rFonts w:ascii="Times New Roman" w:hAnsi="Times New Roman" w:cs="Times New Roman"/>
          <w:b/>
          <w:kern w:val="2"/>
          <w:szCs w:val="22"/>
        </w:rPr>
        <w:lastRenderedPageBreak/>
        <w:t>Table S</w:t>
      </w:r>
      <w:r>
        <w:rPr>
          <w:rFonts w:ascii="Times New Roman" w:hAnsi="Times New Roman" w:cs="Times New Roman"/>
          <w:b/>
          <w:kern w:val="2"/>
          <w:szCs w:val="22"/>
        </w:rPr>
        <w:t>5</w:t>
      </w:r>
      <w:r w:rsidRPr="00284A16">
        <w:rPr>
          <w:rFonts w:ascii="Times New Roman" w:hAnsi="Times New Roman" w:cs="Times New Roman"/>
          <w:b/>
          <w:kern w:val="2"/>
          <w:szCs w:val="22"/>
        </w:rPr>
        <w:t xml:space="preserve"> </w:t>
      </w:r>
      <w:r w:rsidRPr="00284A16">
        <w:rPr>
          <w:rFonts w:ascii="Times New Roman" w:hAnsi="Times New Roman" w:cs="Times New Roman"/>
          <w:kern w:val="2"/>
          <w:szCs w:val="22"/>
        </w:rPr>
        <w:t xml:space="preserve">Diagnostic accuracy of the combination of </w:t>
      </w:r>
      <w:proofErr w:type="spellStart"/>
      <w:r w:rsidRPr="00284A16">
        <w:rPr>
          <w:rFonts w:ascii="Times New Roman" w:hAnsi="Times New Roman" w:cs="Times New Roman"/>
          <w:kern w:val="2"/>
          <w:szCs w:val="22"/>
        </w:rPr>
        <w:t>FeNO</w:t>
      </w:r>
      <w:proofErr w:type="spellEnd"/>
      <w:r w:rsidRPr="00284A16">
        <w:rPr>
          <w:rFonts w:ascii="Times New Roman" w:hAnsi="Times New Roman" w:cs="Times New Roman"/>
          <w:kern w:val="2"/>
          <w:szCs w:val="22"/>
        </w:rPr>
        <w:t xml:space="preserve"> and B-Eos count for asthma</w:t>
      </w:r>
      <w:r w:rsidRPr="00284A16">
        <w:rPr>
          <w:rFonts w:cs="Times New Roman"/>
        </w:rPr>
        <w:t xml:space="preserve"> </w:t>
      </w:r>
      <w:r w:rsidRPr="00284A16">
        <w:rPr>
          <w:rFonts w:ascii="Times New Roman" w:hAnsi="Times New Roman" w:cs="Times New Roman"/>
          <w:kern w:val="2"/>
          <w:szCs w:val="22"/>
        </w:rPr>
        <w:t>in randomly selected verification cohorts.</w:t>
      </w:r>
    </w:p>
    <w:tbl>
      <w:tblPr>
        <w:tblW w:w="9572" w:type="dxa"/>
        <w:tblLook w:val="04A0" w:firstRow="1" w:lastRow="0" w:firstColumn="1" w:lastColumn="0" w:noHBand="0" w:noVBand="1"/>
      </w:tblPr>
      <w:tblGrid>
        <w:gridCol w:w="3062"/>
        <w:gridCol w:w="2507"/>
        <w:gridCol w:w="2508"/>
        <w:gridCol w:w="1495"/>
      </w:tblGrid>
      <w:tr w:rsidR="00B57CF6" w:rsidRPr="00284A16" w:rsidTr="00EB6FD3">
        <w:trPr>
          <w:trHeight w:val="301"/>
        </w:trPr>
        <w:tc>
          <w:tcPr>
            <w:tcW w:w="3062" w:type="dxa"/>
            <w:vMerge w:val="restart"/>
            <w:tcBorders>
              <w:top w:val="single" w:sz="4" w:space="0" w:color="auto"/>
              <w:left w:val="nil"/>
              <w:bottom w:val="single" w:sz="4" w:space="0" w:color="000000"/>
              <w:right w:val="nil"/>
            </w:tcBorders>
            <w:noWrap/>
            <w:vAlign w:val="center"/>
            <w:hideMark/>
          </w:tcPr>
          <w:p w:rsidR="00B57CF6" w:rsidRPr="00284A16" w:rsidRDefault="00B57CF6" w:rsidP="00EB6FD3">
            <w:pPr>
              <w:widowControl/>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Categories</w:t>
            </w:r>
          </w:p>
        </w:tc>
        <w:tc>
          <w:tcPr>
            <w:tcW w:w="5015" w:type="dxa"/>
            <w:gridSpan w:val="2"/>
            <w:tcBorders>
              <w:top w:val="single" w:sz="4" w:space="0" w:color="auto"/>
              <w:left w:val="nil"/>
              <w:bottom w:val="single" w:sz="4" w:space="0" w:color="auto"/>
              <w:right w:val="nil"/>
            </w:tcBorders>
            <w:noWrap/>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Classification by BPT or BDT results</w:t>
            </w:r>
          </w:p>
        </w:tc>
        <w:tc>
          <w:tcPr>
            <w:tcW w:w="1495" w:type="dxa"/>
            <w:vMerge w:val="restart"/>
            <w:tcBorders>
              <w:top w:val="single" w:sz="4" w:space="0" w:color="auto"/>
              <w:left w:val="nil"/>
              <w:bottom w:val="single" w:sz="4" w:space="0" w:color="000000"/>
              <w:right w:val="nil"/>
            </w:tcBorders>
            <w:noWrap/>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Total</w:t>
            </w:r>
          </w:p>
        </w:tc>
      </w:tr>
      <w:tr w:rsidR="00B57CF6" w:rsidRPr="00284A16" w:rsidTr="00EB6FD3">
        <w:trPr>
          <w:trHeight w:val="301"/>
        </w:trPr>
        <w:tc>
          <w:tcPr>
            <w:tcW w:w="0" w:type="auto"/>
            <w:vMerge/>
            <w:tcBorders>
              <w:top w:val="single" w:sz="4" w:space="0" w:color="auto"/>
              <w:left w:val="nil"/>
              <w:bottom w:val="single" w:sz="4" w:space="0" w:color="000000"/>
              <w:right w:val="nil"/>
            </w:tcBorders>
            <w:vAlign w:val="center"/>
            <w:hideMark/>
          </w:tcPr>
          <w:p w:rsidR="00B57CF6" w:rsidRPr="00284A16" w:rsidRDefault="00B57CF6" w:rsidP="00EB6FD3">
            <w:pPr>
              <w:widowControl/>
              <w:jc w:val="left"/>
              <w:rPr>
                <w:rFonts w:ascii="Times New Roman" w:eastAsia="等线" w:hAnsi="Times New Roman" w:cs="Times New Roman"/>
                <w:color w:val="000000"/>
                <w:sz w:val="20"/>
                <w:szCs w:val="20"/>
              </w:rPr>
            </w:pPr>
          </w:p>
        </w:tc>
        <w:tc>
          <w:tcPr>
            <w:tcW w:w="2507" w:type="dxa"/>
            <w:tcBorders>
              <w:top w:val="nil"/>
              <w:left w:val="nil"/>
              <w:bottom w:val="single" w:sz="4" w:space="0" w:color="auto"/>
              <w:right w:val="nil"/>
            </w:tcBorders>
            <w:noWrap/>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asthma</w:t>
            </w:r>
          </w:p>
        </w:tc>
        <w:tc>
          <w:tcPr>
            <w:tcW w:w="2508" w:type="dxa"/>
            <w:tcBorders>
              <w:top w:val="nil"/>
              <w:left w:val="nil"/>
              <w:bottom w:val="single" w:sz="4" w:space="0" w:color="auto"/>
              <w:right w:val="nil"/>
            </w:tcBorders>
            <w:noWrap/>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non-asthma</w:t>
            </w:r>
          </w:p>
        </w:tc>
        <w:tc>
          <w:tcPr>
            <w:tcW w:w="0" w:type="auto"/>
            <w:vMerge/>
            <w:tcBorders>
              <w:top w:val="single" w:sz="4" w:space="0" w:color="auto"/>
              <w:left w:val="nil"/>
              <w:bottom w:val="single" w:sz="4" w:space="0" w:color="000000"/>
              <w:right w:val="nil"/>
            </w:tcBorders>
            <w:vAlign w:val="center"/>
            <w:hideMark/>
          </w:tcPr>
          <w:p w:rsidR="00B57CF6" w:rsidRPr="00284A16" w:rsidRDefault="00B57CF6" w:rsidP="00EB6FD3">
            <w:pPr>
              <w:widowControl/>
              <w:jc w:val="left"/>
              <w:rPr>
                <w:rFonts w:ascii="Times New Roman" w:eastAsia="等线" w:hAnsi="Times New Roman" w:cs="Times New Roman"/>
                <w:color w:val="000000"/>
                <w:sz w:val="20"/>
                <w:szCs w:val="20"/>
              </w:rPr>
            </w:pPr>
          </w:p>
        </w:tc>
      </w:tr>
      <w:tr w:rsidR="00B57CF6" w:rsidRPr="00284A16" w:rsidTr="00EB6FD3">
        <w:trPr>
          <w:trHeight w:val="301"/>
        </w:trPr>
        <w:tc>
          <w:tcPr>
            <w:tcW w:w="3062" w:type="dxa"/>
            <w:noWrap/>
            <w:vAlign w:val="center"/>
            <w:hideMark/>
          </w:tcPr>
          <w:p w:rsidR="00B57CF6" w:rsidRPr="00284A16" w:rsidRDefault="00B57CF6" w:rsidP="00EB6FD3">
            <w:pPr>
              <w:widowControl/>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2017 Year</w:t>
            </w:r>
          </w:p>
        </w:tc>
        <w:tc>
          <w:tcPr>
            <w:tcW w:w="2507" w:type="dxa"/>
            <w:noWrap/>
            <w:vAlign w:val="center"/>
            <w:hideMark/>
          </w:tcPr>
          <w:p w:rsidR="00B57CF6" w:rsidRPr="00284A16" w:rsidRDefault="00B57CF6" w:rsidP="00EB6FD3">
            <w:pPr>
              <w:rPr>
                <w:rFonts w:ascii="Times New Roman" w:eastAsia="等线" w:hAnsi="Times New Roman" w:cs="Times New Roman"/>
                <w:color w:val="000000"/>
                <w:sz w:val="20"/>
                <w:szCs w:val="20"/>
              </w:rPr>
            </w:pPr>
          </w:p>
        </w:tc>
        <w:tc>
          <w:tcPr>
            <w:tcW w:w="2508" w:type="dxa"/>
            <w:noWrap/>
            <w:vAlign w:val="center"/>
            <w:hideMark/>
          </w:tcPr>
          <w:p w:rsidR="00B57CF6" w:rsidRPr="00284A16" w:rsidRDefault="00B57CF6" w:rsidP="00EB6FD3">
            <w:pPr>
              <w:widowControl/>
              <w:jc w:val="left"/>
              <w:rPr>
                <w:rFonts w:cs="Times New Roman"/>
                <w:sz w:val="20"/>
                <w:szCs w:val="20"/>
              </w:rPr>
            </w:pPr>
          </w:p>
        </w:tc>
        <w:tc>
          <w:tcPr>
            <w:tcW w:w="1495" w:type="dxa"/>
            <w:noWrap/>
            <w:vAlign w:val="center"/>
            <w:hideMark/>
          </w:tcPr>
          <w:p w:rsidR="00B57CF6" w:rsidRPr="00284A16" w:rsidRDefault="00B57CF6" w:rsidP="00EB6FD3">
            <w:pPr>
              <w:widowControl/>
              <w:jc w:val="left"/>
              <w:rPr>
                <w:rFonts w:cs="Times New Roman"/>
                <w:sz w:val="20"/>
                <w:szCs w:val="20"/>
              </w:rPr>
            </w:pPr>
          </w:p>
        </w:tc>
      </w:tr>
      <w:tr w:rsidR="00B57CF6" w:rsidRPr="00284A16" w:rsidTr="00EB6FD3">
        <w:trPr>
          <w:trHeight w:val="603"/>
        </w:trPr>
        <w:tc>
          <w:tcPr>
            <w:tcW w:w="3062" w:type="dxa"/>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proofErr w:type="spellStart"/>
            <w:r w:rsidRPr="00284A16">
              <w:rPr>
                <w:rFonts w:ascii="Times New Roman" w:eastAsia="等线" w:hAnsi="Times New Roman" w:cs="Times New Roman"/>
                <w:color w:val="000000"/>
                <w:sz w:val="20"/>
                <w:szCs w:val="20"/>
              </w:rPr>
              <w:t>FeNO</w:t>
            </w:r>
            <w:proofErr w:type="spellEnd"/>
            <w:r w:rsidRPr="00284A16">
              <w:rPr>
                <w:rFonts w:ascii="Times New Roman" w:eastAsia="等线" w:hAnsi="Times New Roman" w:cs="Times New Roman"/>
                <w:color w:val="000000"/>
                <w:sz w:val="20"/>
                <w:szCs w:val="20"/>
              </w:rPr>
              <w:t>&gt;40 ppb and</w:t>
            </w:r>
          </w:p>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B-Eos&gt;300 cells/</w:t>
            </w:r>
            <w:proofErr w:type="spellStart"/>
            <w:r w:rsidRPr="00284A16">
              <w:rPr>
                <w:rFonts w:ascii="Times New Roman" w:eastAsia="等线" w:hAnsi="Times New Roman" w:cs="Times New Roman"/>
                <w:color w:val="000000"/>
                <w:sz w:val="20"/>
                <w:szCs w:val="20"/>
              </w:rPr>
              <w:t>ul</w:t>
            </w:r>
            <w:proofErr w:type="spellEnd"/>
          </w:p>
        </w:tc>
        <w:tc>
          <w:tcPr>
            <w:tcW w:w="2507"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77</w:t>
            </w:r>
            <w:r w:rsidRPr="00284A16">
              <w:rPr>
                <w:rFonts w:ascii="Times New Roman" w:eastAsia="等线" w:hAnsi="Times New Roman" w:cs="Times New Roman"/>
                <w:color w:val="000000"/>
                <w:sz w:val="20"/>
                <w:szCs w:val="20"/>
              </w:rPr>
              <w:br/>
              <w:t>(38.12%)</w:t>
            </w:r>
          </w:p>
        </w:tc>
        <w:tc>
          <w:tcPr>
            <w:tcW w:w="2508"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23</w:t>
            </w:r>
            <w:r w:rsidRPr="00284A16">
              <w:rPr>
                <w:rFonts w:ascii="Times New Roman" w:eastAsia="等线" w:hAnsi="Times New Roman" w:cs="Times New Roman"/>
                <w:color w:val="000000"/>
                <w:sz w:val="20"/>
                <w:szCs w:val="20"/>
              </w:rPr>
              <w:br/>
              <w:t>(5.09%)</w:t>
            </w:r>
          </w:p>
        </w:tc>
        <w:tc>
          <w:tcPr>
            <w:tcW w:w="1495"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100</w:t>
            </w:r>
            <w:r w:rsidRPr="00284A16">
              <w:rPr>
                <w:rFonts w:ascii="Times New Roman" w:eastAsia="等线" w:hAnsi="Times New Roman" w:cs="Times New Roman"/>
                <w:color w:val="000000"/>
                <w:sz w:val="20"/>
                <w:szCs w:val="20"/>
              </w:rPr>
              <w:br/>
              <w:t>(15.29%)</w:t>
            </w:r>
          </w:p>
        </w:tc>
      </w:tr>
      <w:tr w:rsidR="00B57CF6" w:rsidRPr="00284A16" w:rsidTr="00EB6FD3">
        <w:trPr>
          <w:trHeight w:val="627"/>
        </w:trPr>
        <w:tc>
          <w:tcPr>
            <w:tcW w:w="3062" w:type="dxa"/>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FeNO≤40 ppb or</w:t>
            </w:r>
          </w:p>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B-Eos≤300 cells/</w:t>
            </w:r>
            <w:proofErr w:type="spellStart"/>
            <w:r w:rsidRPr="00284A16">
              <w:rPr>
                <w:rFonts w:ascii="Times New Roman" w:eastAsia="等线" w:hAnsi="Times New Roman" w:cs="Times New Roman"/>
                <w:color w:val="000000"/>
                <w:sz w:val="20"/>
                <w:szCs w:val="20"/>
              </w:rPr>
              <w:t>ul</w:t>
            </w:r>
            <w:proofErr w:type="spellEnd"/>
          </w:p>
        </w:tc>
        <w:tc>
          <w:tcPr>
            <w:tcW w:w="2507"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125</w:t>
            </w:r>
            <w:r w:rsidRPr="00284A16">
              <w:rPr>
                <w:rFonts w:ascii="Times New Roman" w:eastAsia="等线" w:hAnsi="Times New Roman" w:cs="Times New Roman"/>
                <w:color w:val="000000"/>
                <w:sz w:val="20"/>
                <w:szCs w:val="20"/>
              </w:rPr>
              <w:br/>
              <w:t>(61.88%)</w:t>
            </w:r>
          </w:p>
        </w:tc>
        <w:tc>
          <w:tcPr>
            <w:tcW w:w="2508"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429</w:t>
            </w:r>
            <w:r w:rsidRPr="00284A16">
              <w:rPr>
                <w:rFonts w:ascii="Times New Roman" w:eastAsia="等线" w:hAnsi="Times New Roman" w:cs="Times New Roman"/>
                <w:color w:val="000000"/>
                <w:sz w:val="20"/>
                <w:szCs w:val="20"/>
              </w:rPr>
              <w:br/>
              <w:t>(94.91%)</w:t>
            </w:r>
          </w:p>
        </w:tc>
        <w:tc>
          <w:tcPr>
            <w:tcW w:w="1495"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554</w:t>
            </w:r>
            <w:r w:rsidRPr="00284A16">
              <w:rPr>
                <w:rFonts w:ascii="Times New Roman" w:eastAsia="等线" w:hAnsi="Times New Roman" w:cs="Times New Roman"/>
                <w:color w:val="000000"/>
                <w:sz w:val="20"/>
                <w:szCs w:val="20"/>
              </w:rPr>
              <w:br/>
              <w:t>(84.71%)</w:t>
            </w:r>
          </w:p>
        </w:tc>
      </w:tr>
      <w:tr w:rsidR="00B57CF6" w:rsidRPr="00284A16" w:rsidTr="00EB6FD3">
        <w:trPr>
          <w:trHeight w:val="603"/>
        </w:trPr>
        <w:tc>
          <w:tcPr>
            <w:tcW w:w="3062" w:type="dxa"/>
            <w:noWrap/>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Total</w:t>
            </w:r>
          </w:p>
        </w:tc>
        <w:tc>
          <w:tcPr>
            <w:tcW w:w="2507"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202</w:t>
            </w:r>
            <w:r w:rsidRPr="00284A16">
              <w:rPr>
                <w:rFonts w:ascii="Times New Roman" w:eastAsia="等线" w:hAnsi="Times New Roman" w:cs="Times New Roman"/>
                <w:color w:val="000000"/>
                <w:sz w:val="20"/>
                <w:szCs w:val="20"/>
              </w:rPr>
              <w:br/>
              <w:t>(100%)</w:t>
            </w:r>
          </w:p>
        </w:tc>
        <w:tc>
          <w:tcPr>
            <w:tcW w:w="2508"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452</w:t>
            </w:r>
            <w:r w:rsidRPr="00284A16">
              <w:rPr>
                <w:rFonts w:ascii="Times New Roman" w:eastAsia="等线" w:hAnsi="Times New Roman" w:cs="Times New Roman"/>
                <w:color w:val="000000"/>
                <w:sz w:val="20"/>
                <w:szCs w:val="20"/>
              </w:rPr>
              <w:br/>
              <w:t>(100%)</w:t>
            </w:r>
          </w:p>
        </w:tc>
        <w:tc>
          <w:tcPr>
            <w:tcW w:w="1495"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654</w:t>
            </w:r>
            <w:r w:rsidRPr="00284A16">
              <w:rPr>
                <w:rFonts w:ascii="Times New Roman" w:eastAsia="等线" w:hAnsi="Times New Roman" w:cs="Times New Roman"/>
                <w:color w:val="000000"/>
                <w:sz w:val="20"/>
                <w:szCs w:val="20"/>
              </w:rPr>
              <w:br/>
              <w:t>(100%)</w:t>
            </w:r>
          </w:p>
        </w:tc>
      </w:tr>
      <w:tr w:rsidR="00B57CF6" w:rsidRPr="00284A16" w:rsidTr="00EB6FD3">
        <w:trPr>
          <w:trHeight w:val="301"/>
        </w:trPr>
        <w:tc>
          <w:tcPr>
            <w:tcW w:w="3062" w:type="dxa"/>
            <w:noWrap/>
            <w:vAlign w:val="center"/>
            <w:hideMark/>
          </w:tcPr>
          <w:p w:rsidR="00B57CF6" w:rsidRPr="00284A16" w:rsidRDefault="00B57CF6" w:rsidP="00EB6FD3">
            <w:pPr>
              <w:widowControl/>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2018 Year</w:t>
            </w:r>
          </w:p>
        </w:tc>
        <w:tc>
          <w:tcPr>
            <w:tcW w:w="2507" w:type="dxa"/>
            <w:noWrap/>
            <w:vAlign w:val="center"/>
            <w:hideMark/>
          </w:tcPr>
          <w:p w:rsidR="00B57CF6" w:rsidRPr="00284A16" w:rsidRDefault="00B57CF6" w:rsidP="00EB6FD3">
            <w:pPr>
              <w:rPr>
                <w:rFonts w:ascii="Times New Roman" w:eastAsia="等线" w:hAnsi="Times New Roman" w:cs="Times New Roman"/>
                <w:color w:val="000000"/>
                <w:sz w:val="20"/>
                <w:szCs w:val="20"/>
              </w:rPr>
            </w:pPr>
          </w:p>
        </w:tc>
        <w:tc>
          <w:tcPr>
            <w:tcW w:w="2508" w:type="dxa"/>
            <w:noWrap/>
            <w:vAlign w:val="center"/>
            <w:hideMark/>
          </w:tcPr>
          <w:p w:rsidR="00B57CF6" w:rsidRPr="00284A16" w:rsidRDefault="00B57CF6" w:rsidP="00EB6FD3">
            <w:pPr>
              <w:widowControl/>
              <w:jc w:val="left"/>
              <w:rPr>
                <w:rFonts w:cs="Times New Roman"/>
                <w:sz w:val="20"/>
                <w:szCs w:val="20"/>
              </w:rPr>
            </w:pPr>
          </w:p>
        </w:tc>
        <w:tc>
          <w:tcPr>
            <w:tcW w:w="1495" w:type="dxa"/>
            <w:noWrap/>
            <w:vAlign w:val="center"/>
            <w:hideMark/>
          </w:tcPr>
          <w:p w:rsidR="00B57CF6" w:rsidRPr="00284A16" w:rsidRDefault="00B57CF6" w:rsidP="00EB6FD3">
            <w:pPr>
              <w:widowControl/>
              <w:jc w:val="left"/>
              <w:rPr>
                <w:rFonts w:cs="Times New Roman"/>
                <w:sz w:val="20"/>
                <w:szCs w:val="20"/>
              </w:rPr>
            </w:pPr>
          </w:p>
        </w:tc>
      </w:tr>
      <w:tr w:rsidR="00B57CF6" w:rsidRPr="00284A16" w:rsidTr="00EB6FD3">
        <w:trPr>
          <w:trHeight w:val="603"/>
        </w:trPr>
        <w:tc>
          <w:tcPr>
            <w:tcW w:w="3062" w:type="dxa"/>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proofErr w:type="spellStart"/>
            <w:r w:rsidRPr="00284A16">
              <w:rPr>
                <w:rFonts w:ascii="Times New Roman" w:eastAsia="等线" w:hAnsi="Times New Roman" w:cs="Times New Roman"/>
                <w:color w:val="000000"/>
                <w:sz w:val="20"/>
                <w:szCs w:val="20"/>
              </w:rPr>
              <w:t>FeNO</w:t>
            </w:r>
            <w:proofErr w:type="spellEnd"/>
            <w:r w:rsidRPr="00284A16">
              <w:rPr>
                <w:rFonts w:ascii="Times New Roman" w:eastAsia="等线" w:hAnsi="Times New Roman" w:cs="Times New Roman"/>
                <w:color w:val="000000"/>
                <w:sz w:val="20"/>
                <w:szCs w:val="20"/>
              </w:rPr>
              <w:t>&gt;40 ppb and</w:t>
            </w:r>
          </w:p>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B-Eos&gt;300 cells/</w:t>
            </w:r>
            <w:proofErr w:type="spellStart"/>
            <w:r w:rsidRPr="00284A16">
              <w:rPr>
                <w:rFonts w:ascii="Times New Roman" w:eastAsia="等线" w:hAnsi="Times New Roman" w:cs="Times New Roman"/>
                <w:color w:val="000000"/>
                <w:sz w:val="20"/>
                <w:szCs w:val="20"/>
              </w:rPr>
              <w:t>ul</w:t>
            </w:r>
            <w:proofErr w:type="spellEnd"/>
          </w:p>
        </w:tc>
        <w:tc>
          <w:tcPr>
            <w:tcW w:w="2507"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79</w:t>
            </w:r>
            <w:r w:rsidRPr="00284A16">
              <w:rPr>
                <w:rFonts w:ascii="Times New Roman" w:eastAsia="等线" w:hAnsi="Times New Roman" w:cs="Times New Roman"/>
                <w:color w:val="000000"/>
                <w:sz w:val="20"/>
                <w:szCs w:val="20"/>
              </w:rPr>
              <w:br/>
              <w:t>(36.92%)</w:t>
            </w:r>
          </w:p>
        </w:tc>
        <w:tc>
          <w:tcPr>
            <w:tcW w:w="2508"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15</w:t>
            </w:r>
            <w:r w:rsidRPr="00284A16">
              <w:rPr>
                <w:rFonts w:ascii="Times New Roman" w:eastAsia="等线" w:hAnsi="Times New Roman" w:cs="Times New Roman"/>
                <w:color w:val="000000"/>
                <w:sz w:val="20"/>
                <w:szCs w:val="20"/>
              </w:rPr>
              <w:br/>
              <w:t>(3.61%)</w:t>
            </w:r>
          </w:p>
        </w:tc>
        <w:tc>
          <w:tcPr>
            <w:tcW w:w="1495"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94</w:t>
            </w:r>
            <w:r w:rsidRPr="00284A16">
              <w:rPr>
                <w:rFonts w:ascii="Times New Roman" w:eastAsia="等线" w:hAnsi="Times New Roman" w:cs="Times New Roman"/>
                <w:color w:val="000000"/>
                <w:sz w:val="20"/>
                <w:szCs w:val="20"/>
              </w:rPr>
              <w:br/>
              <w:t>(14.94%)</w:t>
            </w:r>
          </w:p>
        </w:tc>
      </w:tr>
      <w:tr w:rsidR="00B57CF6" w:rsidRPr="00284A16" w:rsidTr="00EB6FD3">
        <w:trPr>
          <w:trHeight w:val="627"/>
        </w:trPr>
        <w:tc>
          <w:tcPr>
            <w:tcW w:w="3062" w:type="dxa"/>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FeNO≤40 ppb or</w:t>
            </w:r>
          </w:p>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B-Eos≤300 cells/</w:t>
            </w:r>
            <w:proofErr w:type="spellStart"/>
            <w:r w:rsidRPr="00284A16">
              <w:rPr>
                <w:rFonts w:ascii="Times New Roman" w:eastAsia="等线" w:hAnsi="Times New Roman" w:cs="Times New Roman"/>
                <w:color w:val="000000"/>
                <w:sz w:val="20"/>
                <w:szCs w:val="20"/>
              </w:rPr>
              <w:t>ul</w:t>
            </w:r>
            <w:proofErr w:type="spellEnd"/>
          </w:p>
        </w:tc>
        <w:tc>
          <w:tcPr>
            <w:tcW w:w="2507"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135</w:t>
            </w:r>
            <w:r w:rsidRPr="00284A16">
              <w:rPr>
                <w:rFonts w:ascii="Times New Roman" w:eastAsia="等线" w:hAnsi="Times New Roman" w:cs="Times New Roman"/>
                <w:color w:val="000000"/>
                <w:sz w:val="20"/>
                <w:szCs w:val="20"/>
              </w:rPr>
              <w:br/>
              <w:t>(63.08%)</w:t>
            </w:r>
          </w:p>
        </w:tc>
        <w:tc>
          <w:tcPr>
            <w:tcW w:w="2508"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400</w:t>
            </w:r>
            <w:r w:rsidRPr="00284A16">
              <w:rPr>
                <w:rFonts w:ascii="Times New Roman" w:eastAsia="等线" w:hAnsi="Times New Roman" w:cs="Times New Roman"/>
                <w:color w:val="000000"/>
                <w:sz w:val="20"/>
                <w:szCs w:val="20"/>
              </w:rPr>
              <w:br/>
              <w:t>(96.39%)</w:t>
            </w:r>
          </w:p>
        </w:tc>
        <w:tc>
          <w:tcPr>
            <w:tcW w:w="1495"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535</w:t>
            </w:r>
            <w:r w:rsidRPr="00284A16">
              <w:rPr>
                <w:rFonts w:ascii="Times New Roman" w:eastAsia="等线" w:hAnsi="Times New Roman" w:cs="Times New Roman"/>
                <w:color w:val="000000"/>
                <w:sz w:val="20"/>
                <w:szCs w:val="20"/>
              </w:rPr>
              <w:br/>
              <w:t>(85.06%)</w:t>
            </w:r>
          </w:p>
        </w:tc>
      </w:tr>
      <w:tr w:rsidR="00B57CF6" w:rsidRPr="00284A16" w:rsidTr="00EB6FD3">
        <w:trPr>
          <w:trHeight w:val="603"/>
        </w:trPr>
        <w:tc>
          <w:tcPr>
            <w:tcW w:w="3062" w:type="dxa"/>
            <w:noWrap/>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Total</w:t>
            </w:r>
          </w:p>
        </w:tc>
        <w:tc>
          <w:tcPr>
            <w:tcW w:w="2507"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214</w:t>
            </w:r>
            <w:r w:rsidRPr="00284A16">
              <w:rPr>
                <w:rFonts w:ascii="Times New Roman" w:eastAsia="等线" w:hAnsi="Times New Roman" w:cs="Times New Roman"/>
                <w:color w:val="000000"/>
                <w:sz w:val="20"/>
                <w:szCs w:val="20"/>
              </w:rPr>
              <w:br/>
              <w:t>(100%)</w:t>
            </w:r>
          </w:p>
        </w:tc>
        <w:tc>
          <w:tcPr>
            <w:tcW w:w="2508"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415</w:t>
            </w:r>
            <w:r w:rsidRPr="00284A16">
              <w:rPr>
                <w:rFonts w:ascii="Times New Roman" w:eastAsia="等线" w:hAnsi="Times New Roman" w:cs="Times New Roman"/>
                <w:color w:val="000000"/>
                <w:sz w:val="20"/>
                <w:szCs w:val="20"/>
              </w:rPr>
              <w:br/>
              <w:t>(100%)</w:t>
            </w:r>
          </w:p>
        </w:tc>
        <w:tc>
          <w:tcPr>
            <w:tcW w:w="1495"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629</w:t>
            </w:r>
            <w:r w:rsidRPr="00284A16">
              <w:rPr>
                <w:rFonts w:ascii="Times New Roman" w:eastAsia="等线" w:hAnsi="Times New Roman" w:cs="Times New Roman"/>
                <w:color w:val="000000"/>
                <w:sz w:val="20"/>
                <w:szCs w:val="20"/>
              </w:rPr>
              <w:br/>
              <w:t>(100%)</w:t>
            </w:r>
          </w:p>
        </w:tc>
      </w:tr>
      <w:tr w:rsidR="00B57CF6" w:rsidRPr="00284A16" w:rsidTr="00EB6FD3">
        <w:trPr>
          <w:trHeight w:val="301"/>
        </w:trPr>
        <w:tc>
          <w:tcPr>
            <w:tcW w:w="3062" w:type="dxa"/>
            <w:noWrap/>
            <w:vAlign w:val="center"/>
            <w:hideMark/>
          </w:tcPr>
          <w:p w:rsidR="00B57CF6" w:rsidRPr="00284A16" w:rsidRDefault="00B57CF6" w:rsidP="00EB6FD3">
            <w:pPr>
              <w:widowControl/>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2019 Year</w:t>
            </w:r>
          </w:p>
        </w:tc>
        <w:tc>
          <w:tcPr>
            <w:tcW w:w="2507" w:type="dxa"/>
            <w:noWrap/>
            <w:vAlign w:val="center"/>
            <w:hideMark/>
          </w:tcPr>
          <w:p w:rsidR="00B57CF6" w:rsidRPr="00284A16" w:rsidRDefault="00B57CF6" w:rsidP="00EB6FD3">
            <w:pPr>
              <w:rPr>
                <w:rFonts w:ascii="Times New Roman" w:eastAsia="等线" w:hAnsi="Times New Roman" w:cs="Times New Roman"/>
                <w:color w:val="000000"/>
                <w:sz w:val="20"/>
                <w:szCs w:val="20"/>
              </w:rPr>
            </w:pPr>
          </w:p>
        </w:tc>
        <w:tc>
          <w:tcPr>
            <w:tcW w:w="2508" w:type="dxa"/>
            <w:noWrap/>
            <w:vAlign w:val="center"/>
            <w:hideMark/>
          </w:tcPr>
          <w:p w:rsidR="00B57CF6" w:rsidRPr="00284A16" w:rsidRDefault="00B57CF6" w:rsidP="00EB6FD3">
            <w:pPr>
              <w:widowControl/>
              <w:jc w:val="left"/>
              <w:rPr>
                <w:rFonts w:cs="Times New Roman"/>
                <w:sz w:val="20"/>
                <w:szCs w:val="20"/>
              </w:rPr>
            </w:pPr>
          </w:p>
        </w:tc>
        <w:tc>
          <w:tcPr>
            <w:tcW w:w="1495" w:type="dxa"/>
            <w:noWrap/>
            <w:vAlign w:val="center"/>
            <w:hideMark/>
          </w:tcPr>
          <w:p w:rsidR="00B57CF6" w:rsidRPr="00284A16" w:rsidRDefault="00B57CF6" w:rsidP="00EB6FD3">
            <w:pPr>
              <w:widowControl/>
              <w:jc w:val="left"/>
              <w:rPr>
                <w:rFonts w:cs="Times New Roman"/>
                <w:sz w:val="20"/>
                <w:szCs w:val="20"/>
              </w:rPr>
            </w:pPr>
          </w:p>
        </w:tc>
      </w:tr>
      <w:tr w:rsidR="00B57CF6" w:rsidRPr="00284A16" w:rsidTr="00EB6FD3">
        <w:trPr>
          <w:trHeight w:val="603"/>
        </w:trPr>
        <w:tc>
          <w:tcPr>
            <w:tcW w:w="3062" w:type="dxa"/>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proofErr w:type="spellStart"/>
            <w:r w:rsidRPr="00284A16">
              <w:rPr>
                <w:rFonts w:ascii="Times New Roman" w:eastAsia="等线" w:hAnsi="Times New Roman" w:cs="Times New Roman"/>
                <w:color w:val="000000"/>
                <w:sz w:val="20"/>
                <w:szCs w:val="20"/>
              </w:rPr>
              <w:t>FeNO</w:t>
            </w:r>
            <w:proofErr w:type="spellEnd"/>
            <w:r w:rsidRPr="00284A16">
              <w:rPr>
                <w:rFonts w:ascii="Times New Roman" w:eastAsia="等线" w:hAnsi="Times New Roman" w:cs="Times New Roman"/>
                <w:color w:val="000000"/>
                <w:sz w:val="20"/>
                <w:szCs w:val="20"/>
              </w:rPr>
              <w:t>&gt;40 ppb and</w:t>
            </w:r>
          </w:p>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B-Eos&gt;300 cells/</w:t>
            </w:r>
            <w:proofErr w:type="spellStart"/>
            <w:r w:rsidRPr="00284A16">
              <w:rPr>
                <w:rFonts w:ascii="Times New Roman" w:eastAsia="等线" w:hAnsi="Times New Roman" w:cs="Times New Roman"/>
                <w:color w:val="000000"/>
                <w:sz w:val="20"/>
                <w:szCs w:val="20"/>
              </w:rPr>
              <w:t>ul</w:t>
            </w:r>
            <w:proofErr w:type="spellEnd"/>
          </w:p>
        </w:tc>
        <w:tc>
          <w:tcPr>
            <w:tcW w:w="2507"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53</w:t>
            </w:r>
            <w:r w:rsidRPr="00284A16">
              <w:rPr>
                <w:rFonts w:ascii="Times New Roman" w:eastAsia="等线" w:hAnsi="Times New Roman" w:cs="Times New Roman"/>
                <w:color w:val="000000"/>
                <w:sz w:val="20"/>
                <w:szCs w:val="20"/>
              </w:rPr>
              <w:br/>
              <w:t>(37.06%)</w:t>
            </w:r>
          </w:p>
        </w:tc>
        <w:tc>
          <w:tcPr>
            <w:tcW w:w="2508"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8</w:t>
            </w:r>
            <w:r w:rsidRPr="00284A16">
              <w:rPr>
                <w:rFonts w:ascii="Times New Roman" w:eastAsia="等线" w:hAnsi="Times New Roman" w:cs="Times New Roman"/>
                <w:color w:val="000000"/>
                <w:sz w:val="20"/>
                <w:szCs w:val="20"/>
              </w:rPr>
              <w:br/>
              <w:t>(5.41%)</w:t>
            </w:r>
          </w:p>
        </w:tc>
        <w:tc>
          <w:tcPr>
            <w:tcW w:w="1495"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61</w:t>
            </w:r>
            <w:r w:rsidRPr="00284A16">
              <w:rPr>
                <w:rFonts w:ascii="Times New Roman" w:eastAsia="等线" w:hAnsi="Times New Roman" w:cs="Times New Roman"/>
                <w:color w:val="000000"/>
                <w:sz w:val="20"/>
                <w:szCs w:val="20"/>
              </w:rPr>
              <w:br/>
              <w:t>(20.96%)</w:t>
            </w:r>
          </w:p>
        </w:tc>
      </w:tr>
      <w:tr w:rsidR="00B57CF6" w:rsidRPr="00284A16" w:rsidTr="00EB6FD3">
        <w:trPr>
          <w:trHeight w:val="627"/>
        </w:trPr>
        <w:tc>
          <w:tcPr>
            <w:tcW w:w="3062" w:type="dxa"/>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FeNO≤40 ppb or</w:t>
            </w:r>
          </w:p>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B-Eos≤300 cells/</w:t>
            </w:r>
            <w:proofErr w:type="spellStart"/>
            <w:r w:rsidRPr="00284A16">
              <w:rPr>
                <w:rFonts w:ascii="Times New Roman" w:eastAsia="等线" w:hAnsi="Times New Roman" w:cs="Times New Roman"/>
                <w:color w:val="000000"/>
                <w:sz w:val="20"/>
                <w:szCs w:val="20"/>
              </w:rPr>
              <w:t>ul</w:t>
            </w:r>
            <w:proofErr w:type="spellEnd"/>
          </w:p>
        </w:tc>
        <w:tc>
          <w:tcPr>
            <w:tcW w:w="2507"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90</w:t>
            </w:r>
            <w:r w:rsidRPr="00284A16">
              <w:rPr>
                <w:rFonts w:ascii="Times New Roman" w:eastAsia="等线" w:hAnsi="Times New Roman" w:cs="Times New Roman"/>
                <w:color w:val="000000"/>
                <w:sz w:val="20"/>
                <w:szCs w:val="20"/>
              </w:rPr>
              <w:br/>
              <w:t>(62.94%)</w:t>
            </w:r>
          </w:p>
        </w:tc>
        <w:tc>
          <w:tcPr>
            <w:tcW w:w="2508"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140</w:t>
            </w:r>
            <w:r w:rsidRPr="00284A16">
              <w:rPr>
                <w:rFonts w:ascii="Times New Roman" w:eastAsia="等线" w:hAnsi="Times New Roman" w:cs="Times New Roman"/>
                <w:color w:val="000000"/>
                <w:sz w:val="20"/>
                <w:szCs w:val="20"/>
              </w:rPr>
              <w:br/>
              <w:t>(94.59%)</w:t>
            </w:r>
          </w:p>
        </w:tc>
        <w:tc>
          <w:tcPr>
            <w:tcW w:w="1495" w:type="dxa"/>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230</w:t>
            </w:r>
            <w:r w:rsidRPr="00284A16">
              <w:rPr>
                <w:rFonts w:ascii="Times New Roman" w:eastAsia="等线" w:hAnsi="Times New Roman" w:cs="Times New Roman"/>
                <w:color w:val="000000"/>
                <w:sz w:val="20"/>
                <w:szCs w:val="20"/>
              </w:rPr>
              <w:br/>
              <w:t>(79.04%)</w:t>
            </w:r>
          </w:p>
        </w:tc>
      </w:tr>
      <w:tr w:rsidR="00B57CF6" w:rsidRPr="00284A16" w:rsidTr="00EB6FD3">
        <w:trPr>
          <w:trHeight w:val="603"/>
        </w:trPr>
        <w:tc>
          <w:tcPr>
            <w:tcW w:w="3062" w:type="dxa"/>
            <w:tcBorders>
              <w:top w:val="nil"/>
              <w:left w:val="nil"/>
              <w:bottom w:val="single" w:sz="4" w:space="0" w:color="auto"/>
              <w:right w:val="nil"/>
            </w:tcBorders>
            <w:noWrap/>
            <w:vAlign w:val="center"/>
            <w:hideMark/>
          </w:tcPr>
          <w:p w:rsidR="00B57CF6" w:rsidRPr="00284A16" w:rsidRDefault="00B57CF6" w:rsidP="00EB6FD3">
            <w:pPr>
              <w:widowControl/>
              <w:ind w:firstLineChars="200" w:firstLine="400"/>
              <w:jc w:val="left"/>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Total</w:t>
            </w:r>
          </w:p>
        </w:tc>
        <w:tc>
          <w:tcPr>
            <w:tcW w:w="2507" w:type="dxa"/>
            <w:tcBorders>
              <w:top w:val="nil"/>
              <w:left w:val="nil"/>
              <w:bottom w:val="single" w:sz="4" w:space="0" w:color="auto"/>
              <w:right w:val="nil"/>
            </w:tcBorders>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143</w:t>
            </w:r>
            <w:r w:rsidRPr="00284A16">
              <w:rPr>
                <w:rFonts w:ascii="Times New Roman" w:eastAsia="等线" w:hAnsi="Times New Roman" w:cs="Times New Roman"/>
                <w:color w:val="000000"/>
                <w:sz w:val="20"/>
                <w:szCs w:val="20"/>
              </w:rPr>
              <w:br/>
              <w:t>(100%)</w:t>
            </w:r>
          </w:p>
        </w:tc>
        <w:tc>
          <w:tcPr>
            <w:tcW w:w="2508" w:type="dxa"/>
            <w:tcBorders>
              <w:top w:val="nil"/>
              <w:left w:val="nil"/>
              <w:bottom w:val="single" w:sz="4" w:space="0" w:color="auto"/>
              <w:right w:val="nil"/>
            </w:tcBorders>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148</w:t>
            </w:r>
            <w:r w:rsidRPr="00284A16">
              <w:rPr>
                <w:rFonts w:ascii="Times New Roman" w:eastAsia="等线" w:hAnsi="Times New Roman" w:cs="Times New Roman"/>
                <w:color w:val="000000"/>
                <w:sz w:val="20"/>
                <w:szCs w:val="20"/>
              </w:rPr>
              <w:br/>
              <w:t>(100%)</w:t>
            </w:r>
          </w:p>
        </w:tc>
        <w:tc>
          <w:tcPr>
            <w:tcW w:w="1495" w:type="dxa"/>
            <w:tcBorders>
              <w:top w:val="nil"/>
              <w:left w:val="nil"/>
              <w:bottom w:val="single" w:sz="4" w:space="0" w:color="auto"/>
              <w:right w:val="nil"/>
            </w:tcBorders>
            <w:vAlign w:val="center"/>
            <w:hideMark/>
          </w:tcPr>
          <w:p w:rsidR="00B57CF6" w:rsidRPr="00284A16" w:rsidRDefault="00B57CF6" w:rsidP="00EB6FD3">
            <w:pPr>
              <w:widowControl/>
              <w:jc w:val="center"/>
              <w:rPr>
                <w:rFonts w:ascii="Times New Roman" w:eastAsia="等线" w:hAnsi="Times New Roman" w:cs="Times New Roman"/>
                <w:color w:val="000000"/>
                <w:sz w:val="20"/>
                <w:szCs w:val="20"/>
              </w:rPr>
            </w:pPr>
            <w:r w:rsidRPr="00284A16">
              <w:rPr>
                <w:rFonts w:ascii="Times New Roman" w:eastAsia="等线" w:hAnsi="Times New Roman" w:cs="Times New Roman"/>
                <w:color w:val="000000"/>
                <w:sz w:val="20"/>
                <w:szCs w:val="20"/>
              </w:rPr>
              <w:t>291</w:t>
            </w:r>
            <w:r w:rsidRPr="00284A16">
              <w:rPr>
                <w:rFonts w:ascii="Times New Roman" w:eastAsia="等线" w:hAnsi="Times New Roman" w:cs="Times New Roman"/>
                <w:color w:val="000000"/>
                <w:sz w:val="20"/>
                <w:szCs w:val="20"/>
              </w:rPr>
              <w:br/>
              <w:t>(100%)</w:t>
            </w:r>
          </w:p>
        </w:tc>
      </w:tr>
    </w:tbl>
    <w:p w:rsidR="00B57CF6" w:rsidRDefault="00B57CF6">
      <w:pPr>
        <w:widowControl/>
        <w:jc w:val="left"/>
        <w:rPr>
          <w:rFonts w:ascii="Times New Roman" w:hAnsi="Times New Roman" w:cs="Times New Roman"/>
          <w:kern w:val="2"/>
          <w:szCs w:val="22"/>
        </w:rPr>
      </w:pPr>
      <w:r>
        <w:rPr>
          <w:rFonts w:ascii="Times New Roman" w:hAnsi="Times New Roman" w:cs="Times New Roman"/>
          <w:kern w:val="2"/>
          <w:szCs w:val="22"/>
        </w:rPr>
        <w:br w:type="page"/>
      </w:r>
    </w:p>
    <w:p w:rsidR="00B57CF6" w:rsidRDefault="00B57CF6" w:rsidP="00EB6FD3">
      <w:pPr>
        <w:widowControl/>
        <w:jc w:val="left"/>
        <w:rPr>
          <w:rFonts w:ascii="Times New Roman" w:hAnsi="Times New Roman" w:cs="Times New Roman"/>
          <w:b/>
          <w:kern w:val="2"/>
          <w:szCs w:val="22"/>
        </w:rPr>
      </w:pPr>
      <w:r>
        <w:rPr>
          <w:rFonts w:ascii="Times New Roman" w:hAnsi="Times New Roman" w:cs="Times New Roman"/>
          <w:b/>
          <w:kern w:val="2"/>
          <w:szCs w:val="22"/>
        </w:rPr>
        <w:lastRenderedPageBreak/>
        <w:t xml:space="preserve">Table S6 </w:t>
      </w:r>
      <w:r>
        <w:rPr>
          <w:rFonts w:ascii="Times New Roman" w:hAnsi="Times New Roman" w:cs="Times New Roman"/>
          <w:kern w:val="2"/>
          <w:szCs w:val="22"/>
        </w:rPr>
        <w:t>STARD 2015 guidelines checklist.</w:t>
      </w:r>
    </w:p>
    <w:tbl>
      <w:tblPr>
        <w:tblStyle w:val="Grilledutableau1"/>
        <w:tblW w:w="5134" w:type="pct"/>
        <w:tblInd w:w="0" w:type="dxa"/>
        <w:tblBorders>
          <w:top w:val="dotted" w:sz="4" w:space="0" w:color="5B9BD5"/>
          <w:left w:val="dotted" w:sz="4" w:space="0" w:color="5B9BD5"/>
          <w:bottom w:val="dotted" w:sz="4" w:space="0" w:color="5B9BD5"/>
          <w:right w:val="dotted" w:sz="4" w:space="0" w:color="5B9BD5"/>
          <w:insideH w:val="dotted" w:sz="4" w:space="0" w:color="5B9BD5"/>
          <w:insideV w:val="dotted" w:sz="4" w:space="0" w:color="5B9BD5"/>
        </w:tblBorders>
        <w:tblLook w:val="04A0" w:firstRow="1" w:lastRow="0" w:firstColumn="1" w:lastColumn="0" w:noHBand="0" w:noVBand="1"/>
      </w:tblPr>
      <w:tblGrid>
        <w:gridCol w:w="121"/>
        <w:gridCol w:w="1629"/>
        <w:gridCol w:w="499"/>
        <w:gridCol w:w="4908"/>
        <w:gridCol w:w="1372"/>
      </w:tblGrid>
      <w:tr w:rsidR="00B57CF6">
        <w:trPr>
          <w:trHeight w:val="288"/>
        </w:trPr>
        <w:tc>
          <w:tcPr>
            <w:tcW w:w="121" w:type="dxa"/>
            <w:tcBorders>
              <w:top w:val="single" w:sz="4" w:space="0" w:color="auto"/>
              <w:left w:val="nil"/>
              <w:bottom w:val="single" w:sz="4" w:space="0" w:color="auto"/>
              <w:right w:val="nil"/>
            </w:tcBorders>
            <w:shd w:val="clear" w:color="auto" w:fill="5B9BD5"/>
            <w:tcMar>
              <w:top w:w="0" w:type="dxa"/>
              <w:left w:w="57" w:type="dxa"/>
              <w:bottom w:w="0" w:type="dxa"/>
              <w:right w:w="57" w:type="dxa"/>
            </w:tcMar>
            <w:vAlign w:val="center"/>
          </w:tcPr>
          <w:p w:rsidR="00B57CF6" w:rsidRDefault="00B57CF6">
            <w:pPr>
              <w:widowControl/>
              <w:adjustRightInd w:val="0"/>
              <w:snapToGrid w:val="0"/>
              <w:spacing w:line="276" w:lineRule="auto"/>
              <w:jc w:val="left"/>
              <w:rPr>
                <w:rFonts w:ascii="Times New Roman" w:hAnsi="Times New Roman"/>
                <w:color w:val="FFFFFF"/>
                <w:sz w:val="15"/>
                <w:szCs w:val="15"/>
                <w:lang w:val="en-GB"/>
              </w:rPr>
            </w:pPr>
          </w:p>
        </w:tc>
        <w:tc>
          <w:tcPr>
            <w:tcW w:w="1700" w:type="dxa"/>
            <w:tcBorders>
              <w:top w:val="single" w:sz="4" w:space="0" w:color="auto"/>
              <w:left w:val="nil"/>
              <w:bottom w:val="single" w:sz="4" w:space="0" w:color="auto"/>
              <w:right w:val="nil"/>
            </w:tcBorders>
            <w:shd w:val="clear" w:color="auto" w:fill="5B9BD5"/>
            <w:vAlign w:val="center"/>
            <w:hideMark/>
          </w:tcPr>
          <w:p w:rsidR="00B57CF6" w:rsidRDefault="00B57CF6">
            <w:pPr>
              <w:widowControl/>
              <w:adjustRightInd w:val="0"/>
              <w:snapToGrid w:val="0"/>
              <w:spacing w:line="276" w:lineRule="auto"/>
              <w:jc w:val="left"/>
              <w:rPr>
                <w:rFonts w:ascii="Times New Roman" w:hAnsi="Times New Roman"/>
                <w:b/>
                <w:color w:val="FFFFFF"/>
                <w:sz w:val="15"/>
                <w:szCs w:val="15"/>
                <w:lang w:val="en-GB"/>
              </w:rPr>
            </w:pPr>
            <w:r>
              <w:rPr>
                <w:rFonts w:ascii="Times New Roman" w:hAnsi="Times New Roman"/>
                <w:b/>
                <w:color w:val="FFFFFF"/>
                <w:sz w:val="15"/>
                <w:szCs w:val="15"/>
                <w:lang w:val="en-GB"/>
              </w:rPr>
              <w:t>Section &amp; Topic</w:t>
            </w:r>
          </w:p>
        </w:tc>
        <w:tc>
          <w:tcPr>
            <w:tcW w:w="516" w:type="dxa"/>
            <w:tcBorders>
              <w:top w:val="single" w:sz="4" w:space="0" w:color="auto"/>
              <w:left w:val="nil"/>
              <w:bottom w:val="single" w:sz="4" w:space="0" w:color="auto"/>
              <w:right w:val="nil"/>
            </w:tcBorders>
            <w:shd w:val="clear" w:color="auto" w:fill="5B9BD5"/>
            <w:vAlign w:val="center"/>
            <w:hideMark/>
          </w:tcPr>
          <w:p w:rsidR="00B57CF6" w:rsidRDefault="00B57CF6">
            <w:pPr>
              <w:widowControl/>
              <w:adjustRightInd w:val="0"/>
              <w:snapToGrid w:val="0"/>
              <w:spacing w:line="276" w:lineRule="auto"/>
              <w:jc w:val="left"/>
              <w:rPr>
                <w:rFonts w:ascii="Times New Roman" w:hAnsi="Times New Roman"/>
                <w:b/>
                <w:color w:val="FFFFFF"/>
                <w:sz w:val="15"/>
                <w:szCs w:val="15"/>
                <w:lang w:val="en-GB"/>
              </w:rPr>
            </w:pPr>
            <w:r>
              <w:rPr>
                <w:rFonts w:ascii="Times New Roman" w:hAnsi="Times New Roman"/>
                <w:b/>
                <w:color w:val="FFFFFF"/>
                <w:sz w:val="15"/>
                <w:szCs w:val="15"/>
                <w:lang w:val="en-GB"/>
              </w:rPr>
              <w:t>No</w:t>
            </w:r>
          </w:p>
        </w:tc>
        <w:tc>
          <w:tcPr>
            <w:tcW w:w="6110" w:type="dxa"/>
            <w:tcBorders>
              <w:top w:val="single" w:sz="4" w:space="0" w:color="auto"/>
              <w:left w:val="nil"/>
              <w:bottom w:val="single" w:sz="4" w:space="0" w:color="auto"/>
              <w:right w:val="nil"/>
            </w:tcBorders>
            <w:shd w:val="clear" w:color="auto" w:fill="5B9BD5"/>
            <w:vAlign w:val="center"/>
            <w:hideMark/>
          </w:tcPr>
          <w:p w:rsidR="00B57CF6" w:rsidRDefault="00B57CF6">
            <w:pPr>
              <w:widowControl/>
              <w:adjustRightInd w:val="0"/>
              <w:snapToGrid w:val="0"/>
              <w:spacing w:line="276" w:lineRule="auto"/>
              <w:jc w:val="left"/>
              <w:rPr>
                <w:rFonts w:ascii="Times New Roman" w:hAnsi="Times New Roman"/>
                <w:b/>
                <w:color w:val="FFFFFF"/>
                <w:sz w:val="15"/>
                <w:szCs w:val="15"/>
                <w:lang w:val="en-GB"/>
              </w:rPr>
            </w:pPr>
            <w:r>
              <w:rPr>
                <w:rFonts w:ascii="Times New Roman" w:hAnsi="Times New Roman"/>
                <w:b/>
                <w:color w:val="FFFFFF"/>
                <w:sz w:val="15"/>
                <w:szCs w:val="15"/>
                <w:lang w:val="en-GB"/>
              </w:rPr>
              <w:t>Item</w:t>
            </w:r>
          </w:p>
        </w:tc>
        <w:tc>
          <w:tcPr>
            <w:tcW w:w="1560" w:type="dxa"/>
            <w:tcBorders>
              <w:top w:val="single" w:sz="4" w:space="0" w:color="auto"/>
              <w:left w:val="nil"/>
              <w:bottom w:val="single" w:sz="4" w:space="0" w:color="auto"/>
              <w:right w:val="nil"/>
            </w:tcBorders>
            <w:shd w:val="clear" w:color="auto" w:fill="5B9BD5"/>
            <w:hideMark/>
          </w:tcPr>
          <w:p w:rsidR="00B57CF6" w:rsidRDefault="00B57CF6">
            <w:pPr>
              <w:widowControl/>
              <w:adjustRightInd w:val="0"/>
              <w:snapToGrid w:val="0"/>
              <w:spacing w:line="276" w:lineRule="auto"/>
              <w:jc w:val="left"/>
              <w:rPr>
                <w:rFonts w:ascii="Times New Roman" w:hAnsi="Times New Roman"/>
                <w:b/>
                <w:color w:val="FFFFFF"/>
                <w:sz w:val="15"/>
                <w:szCs w:val="15"/>
                <w:lang w:val="en-GB"/>
              </w:rPr>
            </w:pPr>
            <w:r>
              <w:rPr>
                <w:rFonts w:ascii="Times New Roman" w:hAnsi="Times New Roman"/>
                <w:b/>
                <w:color w:val="FFFFFF"/>
                <w:sz w:val="15"/>
                <w:szCs w:val="15"/>
                <w:lang w:val="en-GB"/>
              </w:rPr>
              <w:t>Reported on page #</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nil"/>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b/>
                <w:color w:val="2E74B5"/>
                <w:sz w:val="15"/>
                <w:szCs w:val="15"/>
                <w:lang w:val="en-GB"/>
              </w:rPr>
            </w:pPr>
            <w:r>
              <w:rPr>
                <w:rFonts w:ascii="Times New Roman" w:hAnsi="Times New Roman"/>
                <w:b/>
                <w:color w:val="2E74B5"/>
                <w:sz w:val="15"/>
                <w:szCs w:val="15"/>
                <w:lang w:val="en-GB"/>
              </w:rPr>
              <w:t>TITLE OR ABSTRACT</w:t>
            </w:r>
          </w:p>
        </w:tc>
        <w:tc>
          <w:tcPr>
            <w:tcW w:w="516" w:type="dxa"/>
            <w:tcBorders>
              <w:top w:val="nil"/>
              <w:left w:val="dotted" w:sz="6" w:space="0" w:color="5B9BD5"/>
              <w:bottom w:val="dotted" w:sz="6" w:space="0" w:color="5B9BD5"/>
              <w:right w:val="dotted" w:sz="6" w:space="0" w:color="5B9BD5"/>
            </w:tcBorders>
          </w:tcPr>
          <w:p w:rsidR="00B57CF6" w:rsidRDefault="00B57CF6">
            <w:pPr>
              <w:widowControl/>
              <w:adjustRightInd w:val="0"/>
              <w:snapToGrid w:val="0"/>
              <w:spacing w:line="276" w:lineRule="auto"/>
              <w:jc w:val="center"/>
              <w:rPr>
                <w:rFonts w:ascii="Times New Roman" w:hAnsi="Times New Roman"/>
                <w:b/>
                <w:color w:val="000000"/>
                <w:sz w:val="15"/>
                <w:szCs w:val="15"/>
                <w:lang w:val="en-GB"/>
              </w:rPr>
            </w:pPr>
          </w:p>
        </w:tc>
        <w:tc>
          <w:tcPr>
            <w:tcW w:w="6110" w:type="dxa"/>
            <w:tcBorders>
              <w:top w:val="nil"/>
              <w:left w:val="dotted" w:sz="6" w:space="0" w:color="5B9BD5"/>
              <w:bottom w:val="dotted" w:sz="6" w:space="0" w:color="5B9BD5"/>
              <w:right w:val="nil"/>
            </w:tcBorders>
          </w:tcPr>
          <w:p w:rsidR="00B57CF6" w:rsidRDefault="00B57CF6">
            <w:pPr>
              <w:widowControl/>
              <w:adjustRightInd w:val="0"/>
              <w:snapToGrid w:val="0"/>
              <w:spacing w:line="276" w:lineRule="auto"/>
              <w:jc w:val="center"/>
              <w:rPr>
                <w:rFonts w:ascii="Times New Roman" w:hAnsi="Times New Roman"/>
                <w:b/>
                <w:color w:val="000000"/>
                <w:sz w:val="15"/>
                <w:szCs w:val="15"/>
                <w:lang w:val="en-GB"/>
              </w:rPr>
            </w:pPr>
          </w:p>
        </w:tc>
        <w:tc>
          <w:tcPr>
            <w:tcW w:w="1560" w:type="dxa"/>
            <w:tcBorders>
              <w:top w:val="nil"/>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b/>
                <w:color w:val="000000"/>
                <w:sz w:val="15"/>
                <w:szCs w:val="15"/>
                <w:lang w:val="en-GB"/>
              </w:rPr>
            </w:pP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Identification as a study of diagnostic accuracy using at least one measure of accuracy</w:t>
            </w:r>
          </w:p>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(such as sensitivity, specificity, predictive values, or AUC)</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2</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b/>
                <w:color w:val="2E74B5"/>
                <w:sz w:val="15"/>
                <w:szCs w:val="15"/>
                <w:lang w:val="en-GB"/>
              </w:rPr>
            </w:pPr>
            <w:r>
              <w:rPr>
                <w:rFonts w:ascii="Times New Roman" w:hAnsi="Times New Roman"/>
                <w:b/>
                <w:color w:val="2E74B5"/>
                <w:sz w:val="15"/>
                <w:szCs w:val="15"/>
                <w:lang w:val="en-GB"/>
              </w:rPr>
              <w:t>ABSTRACT</w:t>
            </w:r>
          </w:p>
        </w:tc>
        <w:tc>
          <w:tcPr>
            <w:tcW w:w="516" w:type="dxa"/>
            <w:tcBorders>
              <w:top w:val="dotted" w:sz="6" w:space="0" w:color="5B9BD5"/>
              <w:left w:val="dotted" w:sz="6" w:space="0" w:color="5B9BD5"/>
              <w:bottom w:val="dotted" w:sz="6" w:space="0" w:color="5B9BD5"/>
              <w:right w:val="dotted" w:sz="6" w:space="0" w:color="5B9BD5"/>
            </w:tcBorders>
          </w:tcPr>
          <w:p w:rsidR="00B57CF6" w:rsidRDefault="00B57CF6">
            <w:pPr>
              <w:widowControl/>
              <w:adjustRightInd w:val="0"/>
              <w:snapToGrid w:val="0"/>
              <w:spacing w:line="276" w:lineRule="auto"/>
              <w:jc w:val="center"/>
              <w:rPr>
                <w:rFonts w:ascii="Times New Roman" w:hAnsi="Times New Roman"/>
                <w:b/>
                <w:sz w:val="15"/>
                <w:szCs w:val="15"/>
                <w:lang w:val="en-GB"/>
              </w:rPr>
            </w:pPr>
          </w:p>
        </w:tc>
        <w:tc>
          <w:tcPr>
            <w:tcW w:w="611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56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b/>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i/>
                <w:color w:val="000000"/>
                <w:sz w:val="15"/>
                <w:szCs w:val="15"/>
              </w:rPr>
            </w:pPr>
            <w:r>
              <w:rPr>
                <w:rFonts w:ascii="Times New Roman" w:hAnsi="Times New Roman"/>
                <w:color w:val="000000"/>
                <w:sz w:val="15"/>
                <w:szCs w:val="15"/>
                <w:lang w:val="en-GB"/>
              </w:rPr>
              <w:t xml:space="preserve">Structured summary of study design, methods, results, and conclusions </w:t>
            </w:r>
            <w:r>
              <w:rPr>
                <w:rFonts w:ascii="Times New Roman" w:hAnsi="Times New Roman"/>
                <w:color w:val="000000"/>
                <w:sz w:val="15"/>
                <w:szCs w:val="15"/>
                <w:lang w:val="en-GB"/>
              </w:rPr>
              <w:br/>
              <w:t>(for specific guidance, see STARD for Abstracts)</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2</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b/>
                <w:color w:val="2E74B5"/>
                <w:sz w:val="15"/>
                <w:szCs w:val="15"/>
                <w:lang w:val="en-GB"/>
              </w:rPr>
            </w:pPr>
            <w:r>
              <w:rPr>
                <w:rFonts w:ascii="Times New Roman" w:hAnsi="Times New Roman"/>
                <w:b/>
                <w:color w:val="2E74B5"/>
                <w:sz w:val="15"/>
                <w:szCs w:val="15"/>
                <w:lang w:val="en-GB"/>
              </w:rPr>
              <w:t>INTRODUCTION</w:t>
            </w:r>
          </w:p>
        </w:tc>
        <w:tc>
          <w:tcPr>
            <w:tcW w:w="516" w:type="dxa"/>
            <w:tcBorders>
              <w:top w:val="dotted" w:sz="6" w:space="0" w:color="5B9BD5"/>
              <w:left w:val="dotted" w:sz="6" w:space="0" w:color="5B9BD5"/>
              <w:bottom w:val="dotted" w:sz="6" w:space="0" w:color="5B9BD5"/>
              <w:right w:val="dotted" w:sz="6" w:space="0" w:color="5B9BD5"/>
            </w:tcBorders>
          </w:tcPr>
          <w:p w:rsidR="00B57CF6" w:rsidRDefault="00B57CF6">
            <w:pPr>
              <w:widowControl/>
              <w:adjustRightInd w:val="0"/>
              <w:snapToGrid w:val="0"/>
              <w:spacing w:line="276" w:lineRule="auto"/>
              <w:jc w:val="center"/>
              <w:rPr>
                <w:rFonts w:ascii="Times New Roman" w:hAnsi="Times New Roman"/>
                <w:b/>
                <w:sz w:val="15"/>
                <w:szCs w:val="15"/>
                <w:lang w:val="en-GB"/>
              </w:rPr>
            </w:pPr>
          </w:p>
        </w:tc>
        <w:tc>
          <w:tcPr>
            <w:tcW w:w="611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c>
          <w:tcPr>
            <w:tcW w:w="156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3</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Scientific and clinical background, including the intended use and clinical role of the index test</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4</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Study objectives and hypotheses</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b/>
                <w:color w:val="2E74B5"/>
                <w:sz w:val="15"/>
                <w:szCs w:val="15"/>
                <w:lang w:val="en-GB"/>
              </w:rPr>
            </w:pPr>
            <w:r>
              <w:rPr>
                <w:rFonts w:ascii="Times New Roman" w:hAnsi="Times New Roman"/>
                <w:b/>
                <w:color w:val="2E74B5"/>
                <w:sz w:val="15"/>
                <w:szCs w:val="15"/>
                <w:lang w:val="en-GB"/>
              </w:rPr>
              <w:t>METHODS</w:t>
            </w:r>
          </w:p>
        </w:tc>
        <w:tc>
          <w:tcPr>
            <w:tcW w:w="516" w:type="dxa"/>
            <w:tcBorders>
              <w:top w:val="dotted" w:sz="6" w:space="0" w:color="5B9BD5"/>
              <w:left w:val="dotted" w:sz="6" w:space="0" w:color="5B9BD5"/>
              <w:bottom w:val="dotted" w:sz="6" w:space="0" w:color="5B9BD5"/>
              <w:right w:val="dotted" w:sz="6" w:space="0" w:color="5B9BD5"/>
            </w:tcBorders>
          </w:tcPr>
          <w:p w:rsidR="00B57CF6" w:rsidRDefault="00B57CF6">
            <w:pPr>
              <w:widowControl/>
              <w:adjustRightInd w:val="0"/>
              <w:snapToGrid w:val="0"/>
              <w:spacing w:line="276" w:lineRule="auto"/>
              <w:jc w:val="center"/>
              <w:rPr>
                <w:rFonts w:ascii="Times New Roman" w:hAnsi="Times New Roman"/>
                <w:b/>
                <w:sz w:val="15"/>
                <w:szCs w:val="15"/>
                <w:lang w:val="en-GB"/>
              </w:rPr>
            </w:pPr>
          </w:p>
        </w:tc>
        <w:tc>
          <w:tcPr>
            <w:tcW w:w="611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c>
          <w:tcPr>
            <w:tcW w:w="156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i/>
                <w:color w:val="2E74B5"/>
                <w:sz w:val="15"/>
                <w:szCs w:val="15"/>
                <w:lang w:val="en-GB"/>
              </w:rPr>
            </w:pPr>
            <w:r>
              <w:rPr>
                <w:rFonts w:ascii="Times New Roman" w:hAnsi="Times New Roman"/>
                <w:i/>
                <w:color w:val="2E74B5"/>
                <w:sz w:val="15"/>
                <w:szCs w:val="15"/>
                <w:lang w:val="en-GB"/>
              </w:rPr>
              <w:t>Study design</w:t>
            </w: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5</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 xml:space="preserve">Whether data collection was planned before the index test and reference standard </w:t>
            </w:r>
            <w:r>
              <w:rPr>
                <w:rFonts w:ascii="Times New Roman" w:hAnsi="Times New Roman"/>
                <w:color w:val="000000"/>
                <w:sz w:val="15"/>
                <w:szCs w:val="15"/>
                <w:lang w:val="en-GB"/>
              </w:rPr>
              <w:br/>
              <w:t>were performed (prospective study) or after (retrospective study)</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r>
              <w:rPr>
                <w:rFonts w:ascii="Times New Roman" w:hAnsi="Times New Roman"/>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i/>
                <w:color w:val="2E74B5"/>
                <w:sz w:val="15"/>
                <w:szCs w:val="15"/>
                <w:lang w:val="en-GB"/>
              </w:rPr>
            </w:pPr>
            <w:r>
              <w:rPr>
                <w:rFonts w:ascii="Times New Roman" w:hAnsi="Times New Roman"/>
                <w:i/>
                <w:color w:val="2E74B5"/>
                <w:sz w:val="15"/>
                <w:szCs w:val="15"/>
                <w:lang w:val="en-GB"/>
              </w:rPr>
              <w:t>Participants</w:t>
            </w: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6</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 xml:space="preserve">Eligibility criteria </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7</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 xml:space="preserve">On what basis potentially eligible participants were identified </w:t>
            </w:r>
            <w:r>
              <w:rPr>
                <w:rFonts w:ascii="Times New Roman" w:hAnsi="Times New Roman"/>
                <w:color w:val="000000"/>
                <w:sz w:val="15"/>
                <w:szCs w:val="15"/>
                <w:lang w:val="en-GB"/>
              </w:rPr>
              <w:br/>
              <w:t>(such as symptoms, results from previous tests, inclusion in registry)</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8</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tabs>
                <w:tab w:val="left" w:pos="527"/>
              </w:tabs>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Where and when potentially eligible participants were identified (setting, location and dates)</w:t>
            </w:r>
          </w:p>
        </w:tc>
        <w:tc>
          <w:tcPr>
            <w:tcW w:w="1560" w:type="dxa"/>
            <w:tcBorders>
              <w:top w:val="dotted" w:sz="6" w:space="0" w:color="5B9BD5"/>
              <w:left w:val="dotted" w:sz="6" w:space="0" w:color="5B9BD5"/>
              <w:bottom w:val="dotted" w:sz="6" w:space="0" w:color="5B9BD5"/>
              <w:right w:val="nil"/>
            </w:tcBorders>
          </w:tcPr>
          <w:p w:rsidR="00B57CF6" w:rsidRDefault="00EB6FD3">
            <w:pPr>
              <w:widowControl/>
              <w:tabs>
                <w:tab w:val="left" w:pos="527"/>
              </w:tabs>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9</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Whether participants formed a consecutive, random or convenience series</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i/>
                <w:color w:val="2E74B5"/>
                <w:sz w:val="15"/>
                <w:szCs w:val="15"/>
                <w:lang w:val="en-GB"/>
              </w:rPr>
            </w:pPr>
            <w:r>
              <w:rPr>
                <w:rFonts w:ascii="Times New Roman" w:hAnsi="Times New Roman"/>
                <w:i/>
                <w:color w:val="2E74B5"/>
                <w:sz w:val="15"/>
                <w:szCs w:val="15"/>
                <w:lang w:val="en-GB"/>
              </w:rPr>
              <w:t>Test methods</w:t>
            </w: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10a</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Index test, in sufficient detail to allow replication</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10b</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Reference standard, in sufficient detail to allow replication</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color w:val="000000"/>
                <w:sz w:val="15"/>
                <w:szCs w:val="15"/>
                <w:lang w:val="en-GB" w:eastAsia="zh-CN"/>
              </w:rPr>
              <w:t>3-</w:t>
            </w:r>
            <w:r>
              <w:rPr>
                <w:rFonts w:ascii="Times New Roman" w:hAnsi="Times New Roman" w:hint="eastAsia"/>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11</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Rationale for choosing the reference standard (if alternatives exist)</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12a</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sz w:val="15"/>
                <w:szCs w:val="15"/>
                <w:lang w:val="en-GB"/>
              </w:rPr>
            </w:pPr>
            <w:r>
              <w:rPr>
                <w:rFonts w:ascii="Times New Roman" w:hAnsi="Times New Roman"/>
                <w:sz w:val="15"/>
                <w:szCs w:val="15"/>
                <w:lang w:val="en-GB"/>
              </w:rPr>
              <w:t xml:space="preserve">Definition of and rationale for test positivity cut-offs or result categories </w:t>
            </w:r>
            <w:r>
              <w:rPr>
                <w:rFonts w:ascii="Times New Roman" w:hAnsi="Times New Roman"/>
                <w:sz w:val="15"/>
                <w:szCs w:val="15"/>
                <w:lang w:val="en-GB"/>
              </w:rPr>
              <w:br/>
              <w:t xml:space="preserve">of the index test, </w:t>
            </w:r>
            <w:r>
              <w:rPr>
                <w:rFonts w:ascii="Times New Roman" w:hAnsi="Times New Roman"/>
                <w:sz w:val="15"/>
                <w:szCs w:val="15"/>
              </w:rPr>
              <w:t>distinguishing pre-specified from exploratory</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sz w:val="15"/>
                <w:szCs w:val="15"/>
                <w:lang w:val="en-GB" w:eastAsia="zh-CN"/>
              </w:rPr>
            </w:pPr>
            <w:r>
              <w:rPr>
                <w:rFonts w:ascii="Times New Roman" w:hAnsi="Times New Roman" w:hint="eastAsia"/>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sz w:val="15"/>
                <w:szCs w:val="15"/>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12b</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sz w:val="15"/>
                <w:szCs w:val="15"/>
                <w:lang w:val="en-GB"/>
              </w:rPr>
            </w:pPr>
            <w:r>
              <w:rPr>
                <w:rFonts w:ascii="Times New Roman" w:hAnsi="Times New Roman"/>
                <w:sz w:val="15"/>
                <w:szCs w:val="15"/>
                <w:lang w:val="en-GB"/>
              </w:rPr>
              <w:t xml:space="preserve">Definition of and rationale for test positivity cut-offs or result categories </w:t>
            </w:r>
            <w:r>
              <w:rPr>
                <w:rFonts w:ascii="Times New Roman" w:hAnsi="Times New Roman"/>
                <w:sz w:val="15"/>
                <w:szCs w:val="15"/>
                <w:lang w:val="en-GB"/>
              </w:rPr>
              <w:br/>
              <w:t xml:space="preserve">of the reference standard, </w:t>
            </w:r>
            <w:r>
              <w:rPr>
                <w:rFonts w:ascii="Times New Roman" w:hAnsi="Times New Roman"/>
                <w:sz w:val="15"/>
                <w:szCs w:val="15"/>
              </w:rPr>
              <w:t>distinguishing pre-specified from exploratory</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sz w:val="15"/>
                <w:szCs w:val="15"/>
                <w:lang w:val="en-GB" w:eastAsia="zh-CN"/>
              </w:rPr>
            </w:pPr>
            <w:r>
              <w:rPr>
                <w:rFonts w:ascii="Times New Roman" w:hAnsi="Times New Roman" w:hint="eastAsia"/>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13a</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 xml:space="preserve">Whether clinical information and reference standard results were available </w:t>
            </w:r>
            <w:r>
              <w:rPr>
                <w:rFonts w:ascii="Times New Roman" w:hAnsi="Times New Roman"/>
                <w:color w:val="000000"/>
                <w:sz w:val="15"/>
                <w:szCs w:val="15"/>
                <w:lang w:val="en-GB"/>
              </w:rPr>
              <w:br/>
              <w:t>to the performers/readers of the index test</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13b</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 xml:space="preserve">Whether clinical information and index test results were available </w:t>
            </w:r>
            <w:r>
              <w:rPr>
                <w:rFonts w:ascii="Times New Roman" w:hAnsi="Times New Roman"/>
                <w:color w:val="000000"/>
                <w:sz w:val="15"/>
                <w:szCs w:val="15"/>
                <w:lang w:val="en-GB"/>
              </w:rPr>
              <w:br/>
              <w:t>to the assessors of the reference standard</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i/>
                <w:color w:val="2E74B5"/>
                <w:sz w:val="15"/>
                <w:szCs w:val="15"/>
                <w:lang w:val="en-GB"/>
              </w:rPr>
            </w:pPr>
            <w:r>
              <w:rPr>
                <w:rFonts w:ascii="Times New Roman" w:hAnsi="Times New Roman"/>
                <w:i/>
                <w:color w:val="2E74B5"/>
                <w:sz w:val="15"/>
                <w:szCs w:val="15"/>
                <w:lang w:val="en-GB"/>
              </w:rPr>
              <w:t>Analysis</w:t>
            </w: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14</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Methods for estimating or comparing measures of diagnostic accuracy</w:t>
            </w:r>
          </w:p>
        </w:tc>
        <w:tc>
          <w:tcPr>
            <w:tcW w:w="1560" w:type="dxa"/>
            <w:tcBorders>
              <w:top w:val="dotted" w:sz="6" w:space="0" w:color="5B9BD5"/>
              <w:left w:val="dotted" w:sz="6" w:space="0" w:color="5B9BD5"/>
              <w:bottom w:val="dotted" w:sz="6" w:space="0" w:color="5B9BD5"/>
              <w:right w:val="nil"/>
            </w:tcBorders>
          </w:tcPr>
          <w:p w:rsidR="00B57CF6" w:rsidRDefault="00EB6FD3">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5</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15</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How indeterminate index test or reference standard results were handled</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16</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How missing data on the index test and reference standard were handled</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p>
        </w:tc>
      </w:tr>
      <w:tr w:rsidR="00B57CF6">
        <w:trPr>
          <w:trHeight w:val="187"/>
        </w:trPr>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17</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sz w:val="15"/>
                <w:szCs w:val="15"/>
                <w:lang w:val="en-GB"/>
              </w:rPr>
              <w:t>Any analyses of variability in diagnostic accuracy, distinguishing pre-specified from exploratory</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sz w:val="15"/>
                <w:szCs w:val="15"/>
                <w:lang w:val="en-GB" w:eastAsia="zh-CN"/>
              </w:rPr>
            </w:pPr>
            <w:r>
              <w:rPr>
                <w:rFonts w:ascii="Times New Roman" w:hAnsi="Times New Roman" w:hint="eastAsia"/>
                <w:sz w:val="15"/>
                <w:szCs w:val="15"/>
                <w:lang w:val="en-GB" w:eastAsia="zh-CN"/>
              </w:rPr>
              <w:t>5</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18</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sz w:val="15"/>
                <w:szCs w:val="15"/>
                <w:lang w:val="en-GB"/>
              </w:rPr>
              <w:t>Intended</w:t>
            </w:r>
            <w:r>
              <w:rPr>
                <w:rFonts w:ascii="Times New Roman" w:hAnsi="Times New Roman"/>
                <w:color w:val="000000"/>
                <w:sz w:val="15"/>
                <w:szCs w:val="15"/>
                <w:lang w:val="en-GB"/>
              </w:rPr>
              <w:t xml:space="preserve"> sample size and how it was determined</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sz w:val="15"/>
                <w:szCs w:val="15"/>
                <w:lang w:val="en-GB" w:eastAsia="zh-CN"/>
              </w:rPr>
            </w:pPr>
            <w:r>
              <w:rPr>
                <w:rFonts w:ascii="Times New Roman" w:hAnsi="Times New Roman" w:hint="eastAsia"/>
                <w:sz w:val="15"/>
                <w:szCs w:val="15"/>
                <w:lang w:val="en-GB" w:eastAsia="zh-CN"/>
              </w:rPr>
              <w:t>3</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eastAsia="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b/>
                <w:color w:val="000000"/>
                <w:sz w:val="15"/>
                <w:szCs w:val="15"/>
                <w:lang w:val="en-GB"/>
              </w:rPr>
            </w:pPr>
            <w:r>
              <w:rPr>
                <w:rFonts w:ascii="Times New Roman" w:eastAsia="Times New Roman" w:hAnsi="Times New Roman"/>
                <w:color w:val="000000"/>
                <w:sz w:val="15"/>
                <w:szCs w:val="15"/>
                <w:lang w:val="en-GB"/>
              </w:rPr>
              <w:br w:type="page"/>
            </w:r>
            <w:r>
              <w:rPr>
                <w:rFonts w:ascii="Times New Roman" w:hAnsi="Times New Roman"/>
                <w:b/>
                <w:color w:val="2E74B5"/>
                <w:sz w:val="15"/>
                <w:szCs w:val="15"/>
                <w:lang w:val="en-GB"/>
              </w:rPr>
              <w:t>RESULTS</w:t>
            </w:r>
          </w:p>
        </w:tc>
        <w:tc>
          <w:tcPr>
            <w:tcW w:w="516" w:type="dxa"/>
            <w:tcBorders>
              <w:top w:val="dotted" w:sz="6" w:space="0" w:color="5B9BD5"/>
              <w:left w:val="dotted" w:sz="6" w:space="0" w:color="5B9BD5"/>
              <w:bottom w:val="dotted" w:sz="6" w:space="0" w:color="5B9BD5"/>
              <w:right w:val="dotted" w:sz="6" w:space="0" w:color="5B9BD5"/>
            </w:tcBorders>
          </w:tcPr>
          <w:p w:rsidR="00B57CF6" w:rsidRDefault="00B57CF6">
            <w:pPr>
              <w:widowControl/>
              <w:adjustRightInd w:val="0"/>
              <w:snapToGrid w:val="0"/>
              <w:spacing w:line="276" w:lineRule="auto"/>
              <w:jc w:val="center"/>
              <w:rPr>
                <w:rFonts w:ascii="Times New Roman" w:hAnsi="Times New Roman"/>
                <w:b/>
                <w:sz w:val="15"/>
                <w:szCs w:val="15"/>
                <w:lang w:val="en-GB"/>
              </w:rPr>
            </w:pPr>
          </w:p>
        </w:tc>
        <w:tc>
          <w:tcPr>
            <w:tcW w:w="611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c>
          <w:tcPr>
            <w:tcW w:w="156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i/>
                <w:color w:val="2E74B5"/>
                <w:sz w:val="15"/>
                <w:szCs w:val="15"/>
                <w:lang w:val="en-GB"/>
              </w:rPr>
            </w:pPr>
            <w:r>
              <w:rPr>
                <w:rFonts w:ascii="Times New Roman" w:hAnsi="Times New Roman"/>
                <w:i/>
                <w:color w:val="2E74B5"/>
                <w:sz w:val="15"/>
                <w:szCs w:val="15"/>
                <w:lang w:val="en-GB"/>
              </w:rPr>
              <w:t>Participants</w:t>
            </w: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19</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Flow of participants, using a diagram</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r>
              <w:rPr>
                <w:rFonts w:ascii="Times New Roman" w:hAnsi="Times New Roman"/>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20</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rPr>
              <w:t>Baseline demographic and clinical characteristics of participants</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eastAsia="zh-CN"/>
              </w:rPr>
            </w:pPr>
            <w:r>
              <w:rPr>
                <w:rFonts w:ascii="Times New Roman" w:hAnsi="Times New Roman" w:hint="eastAsia"/>
                <w:color w:val="000000"/>
                <w:sz w:val="15"/>
                <w:szCs w:val="15"/>
                <w:lang w:eastAsia="zh-CN"/>
              </w:rPr>
              <w:t>5</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b/>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21a</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Distribution of severity of disease in those with the target condition</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5</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b/>
                <w:color w:val="2E74B5"/>
                <w:sz w:val="15"/>
                <w:szCs w:val="15"/>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21b</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sz w:val="15"/>
                <w:szCs w:val="15"/>
                <w:lang w:val="en-GB"/>
              </w:rPr>
              <w:t>Distribution of</w:t>
            </w:r>
            <w:r>
              <w:rPr>
                <w:rFonts w:ascii="Times New Roman" w:hAnsi="Times New Roman"/>
                <w:color w:val="FF0000"/>
                <w:sz w:val="15"/>
                <w:szCs w:val="15"/>
                <w:lang w:val="en-GB"/>
              </w:rPr>
              <w:t xml:space="preserve"> </w:t>
            </w:r>
            <w:r>
              <w:rPr>
                <w:rFonts w:ascii="Times New Roman" w:hAnsi="Times New Roman"/>
                <w:color w:val="000000"/>
                <w:sz w:val="15"/>
                <w:szCs w:val="15"/>
                <w:lang w:val="en-GB"/>
              </w:rPr>
              <w:t>alternative diagnoses in those without the target condition</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sz w:val="15"/>
                <w:szCs w:val="15"/>
                <w:lang w:val="en-GB" w:eastAsia="zh-CN"/>
              </w:rPr>
            </w:pPr>
            <w:r>
              <w:rPr>
                <w:rFonts w:ascii="Times New Roman" w:hAnsi="Times New Roman" w:hint="eastAsia"/>
                <w:sz w:val="15"/>
                <w:szCs w:val="15"/>
                <w:lang w:val="en-GB" w:eastAsia="zh-CN"/>
              </w:rPr>
              <w:t>5</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b/>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22</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sz w:val="15"/>
                <w:szCs w:val="15"/>
                <w:lang w:val="en-GB"/>
              </w:rPr>
            </w:pPr>
            <w:r>
              <w:rPr>
                <w:rFonts w:ascii="Times New Roman" w:hAnsi="Times New Roman"/>
                <w:sz w:val="15"/>
                <w:szCs w:val="15"/>
                <w:lang w:val="en-GB"/>
              </w:rPr>
              <w:t>Time interval and any clinical interventions between index test and reference standard</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sz w:val="15"/>
                <w:szCs w:val="15"/>
                <w:lang w:val="en-GB" w:eastAsia="zh-CN"/>
              </w:rPr>
            </w:pPr>
            <w:r>
              <w:rPr>
                <w:rFonts w:ascii="Times New Roman" w:hAnsi="Times New Roman" w:hint="eastAsia"/>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i/>
                <w:color w:val="2E74B5"/>
                <w:sz w:val="15"/>
                <w:szCs w:val="15"/>
                <w:lang w:val="en-GB"/>
              </w:rPr>
            </w:pPr>
            <w:r>
              <w:rPr>
                <w:rFonts w:ascii="Times New Roman" w:hAnsi="Times New Roman"/>
                <w:i/>
                <w:color w:val="2E74B5"/>
                <w:sz w:val="15"/>
                <w:szCs w:val="15"/>
                <w:lang w:val="en-GB"/>
              </w:rPr>
              <w:t>Test results</w:t>
            </w: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23</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 xml:space="preserve">Cross tabulation of the index test results (or their distribution) </w:t>
            </w:r>
            <w:r>
              <w:rPr>
                <w:rFonts w:ascii="Times New Roman" w:hAnsi="Times New Roman"/>
                <w:color w:val="000000"/>
                <w:sz w:val="15"/>
                <w:szCs w:val="15"/>
                <w:lang w:val="en-GB"/>
              </w:rPr>
              <w:br/>
              <w:t>by the results of the reference standard</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r>
              <w:rPr>
                <w:rFonts w:ascii="Times New Roman" w:hAnsi="Times New Roman"/>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24</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Estimates of diagnostic accuracy and their precision (such as 95% confidence intervals)</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6</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25</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Any adverse events from performing the index test or the reference standard</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3</w:t>
            </w:r>
            <w:r>
              <w:rPr>
                <w:rFonts w:ascii="Times New Roman" w:hAnsi="Times New Roman"/>
                <w:color w:val="000000"/>
                <w:sz w:val="15"/>
                <w:szCs w:val="15"/>
                <w:lang w:val="en-GB" w:eastAsia="zh-CN"/>
              </w:rPr>
              <w:t>-4</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b/>
                <w:color w:val="2E74B5"/>
                <w:sz w:val="15"/>
                <w:szCs w:val="15"/>
                <w:lang w:val="en-GB"/>
              </w:rPr>
            </w:pPr>
            <w:r>
              <w:rPr>
                <w:rFonts w:ascii="Times New Roman" w:hAnsi="Times New Roman"/>
                <w:b/>
                <w:color w:val="2E74B5"/>
                <w:sz w:val="15"/>
                <w:szCs w:val="15"/>
                <w:lang w:val="en-GB"/>
              </w:rPr>
              <w:t>DISCUSSION</w:t>
            </w:r>
          </w:p>
        </w:tc>
        <w:tc>
          <w:tcPr>
            <w:tcW w:w="516" w:type="dxa"/>
            <w:tcBorders>
              <w:top w:val="dotted" w:sz="6" w:space="0" w:color="5B9BD5"/>
              <w:left w:val="dotted" w:sz="6" w:space="0" w:color="5B9BD5"/>
              <w:bottom w:val="dotted" w:sz="6" w:space="0" w:color="5B9BD5"/>
              <w:right w:val="dotted" w:sz="6" w:space="0" w:color="5B9BD5"/>
            </w:tcBorders>
          </w:tcPr>
          <w:p w:rsidR="00B57CF6" w:rsidRDefault="00B57CF6">
            <w:pPr>
              <w:widowControl/>
              <w:adjustRightInd w:val="0"/>
              <w:snapToGrid w:val="0"/>
              <w:spacing w:line="276" w:lineRule="auto"/>
              <w:jc w:val="center"/>
              <w:rPr>
                <w:rFonts w:ascii="Times New Roman" w:hAnsi="Times New Roman"/>
                <w:b/>
                <w:sz w:val="15"/>
                <w:szCs w:val="15"/>
                <w:lang w:val="en-GB"/>
              </w:rPr>
            </w:pPr>
          </w:p>
        </w:tc>
        <w:tc>
          <w:tcPr>
            <w:tcW w:w="611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c>
          <w:tcPr>
            <w:tcW w:w="156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26</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 xml:space="preserve">Study limitations, </w:t>
            </w:r>
            <w:r>
              <w:rPr>
                <w:rFonts w:ascii="Times New Roman" w:hAnsi="Times New Roman"/>
                <w:sz w:val="15"/>
                <w:szCs w:val="15"/>
                <w:lang w:val="en-GB"/>
              </w:rPr>
              <w:t>including</w:t>
            </w:r>
            <w:r>
              <w:rPr>
                <w:rFonts w:ascii="Times New Roman" w:hAnsi="Times New Roman"/>
                <w:color w:val="000000"/>
                <w:sz w:val="15"/>
                <w:szCs w:val="15"/>
                <w:lang w:val="en-GB"/>
              </w:rPr>
              <w:t xml:space="preserve"> sources of potential bias, statistical uncertainty, and generalisability</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7</w:t>
            </w:r>
            <w:r>
              <w:rPr>
                <w:rFonts w:ascii="Times New Roman" w:hAnsi="Times New Roman"/>
                <w:color w:val="000000"/>
                <w:sz w:val="15"/>
                <w:szCs w:val="15"/>
                <w:lang w:val="en-GB" w:eastAsia="zh-CN"/>
              </w:rPr>
              <w:t>-8</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2E74B5"/>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27</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Implications for practice, including the intended use and clinical role of the index test</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7</w:t>
            </w:r>
            <w:r>
              <w:rPr>
                <w:rFonts w:ascii="Times New Roman" w:hAnsi="Times New Roman"/>
                <w:color w:val="000000"/>
                <w:sz w:val="15"/>
                <w:szCs w:val="15"/>
                <w:lang w:val="en-GB" w:eastAsia="zh-CN"/>
              </w:rPr>
              <w:t>-8</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hideMark/>
          </w:tcPr>
          <w:p w:rsidR="00B57CF6" w:rsidRDefault="00B57CF6">
            <w:pPr>
              <w:widowControl/>
              <w:adjustRightInd w:val="0"/>
              <w:snapToGrid w:val="0"/>
              <w:spacing w:line="276" w:lineRule="auto"/>
              <w:jc w:val="left"/>
              <w:rPr>
                <w:rFonts w:ascii="Times New Roman" w:hAnsi="Times New Roman"/>
                <w:b/>
                <w:color w:val="2E74B5"/>
                <w:sz w:val="15"/>
                <w:szCs w:val="15"/>
                <w:lang w:val="en-GB"/>
              </w:rPr>
            </w:pPr>
            <w:r>
              <w:rPr>
                <w:rFonts w:ascii="Times New Roman" w:hAnsi="Times New Roman"/>
                <w:b/>
                <w:color w:val="2E74B5"/>
                <w:sz w:val="15"/>
                <w:szCs w:val="15"/>
                <w:lang w:val="en-GB"/>
              </w:rPr>
              <w:t>OTHER INFORMATION</w:t>
            </w:r>
          </w:p>
        </w:tc>
        <w:tc>
          <w:tcPr>
            <w:tcW w:w="516" w:type="dxa"/>
            <w:tcBorders>
              <w:top w:val="dotted" w:sz="6" w:space="0" w:color="5B9BD5"/>
              <w:left w:val="dotted" w:sz="6" w:space="0" w:color="5B9BD5"/>
              <w:bottom w:val="dotted" w:sz="6" w:space="0" w:color="5B9BD5"/>
              <w:right w:val="dotted" w:sz="6" w:space="0" w:color="5B9BD5"/>
            </w:tcBorders>
          </w:tcPr>
          <w:p w:rsidR="00B57CF6" w:rsidRDefault="00B57CF6">
            <w:pPr>
              <w:widowControl/>
              <w:adjustRightInd w:val="0"/>
              <w:snapToGrid w:val="0"/>
              <w:spacing w:line="276" w:lineRule="auto"/>
              <w:jc w:val="center"/>
              <w:rPr>
                <w:rFonts w:ascii="Times New Roman" w:hAnsi="Times New Roman"/>
                <w:b/>
                <w:sz w:val="15"/>
                <w:szCs w:val="15"/>
                <w:lang w:val="en-GB"/>
              </w:rPr>
            </w:pPr>
          </w:p>
        </w:tc>
        <w:tc>
          <w:tcPr>
            <w:tcW w:w="611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c>
          <w:tcPr>
            <w:tcW w:w="1560" w:type="dxa"/>
            <w:tcBorders>
              <w:top w:val="dotted" w:sz="6" w:space="0" w:color="5B9BD5"/>
              <w:left w:val="dotted" w:sz="6" w:space="0" w:color="5B9BD5"/>
              <w:bottom w:val="dotted" w:sz="6" w:space="0" w:color="5B9BD5"/>
              <w:right w:val="nil"/>
            </w:tcBorders>
          </w:tcPr>
          <w:p w:rsidR="00B57CF6" w:rsidRDefault="00B57CF6">
            <w:pPr>
              <w:widowControl/>
              <w:adjustRightInd w:val="0"/>
              <w:snapToGrid w:val="0"/>
              <w:spacing w:line="276" w:lineRule="auto"/>
              <w:jc w:val="left"/>
              <w:rPr>
                <w:rFonts w:ascii="Times New Roman" w:hAnsi="Times New Roman"/>
                <w:i/>
                <w:color w:val="000000"/>
                <w:sz w:val="15"/>
                <w:szCs w:val="15"/>
                <w:lang w:val="en-GB"/>
              </w:rPr>
            </w:pP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28</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lang w:val="en-GB"/>
              </w:rPr>
            </w:pPr>
            <w:r>
              <w:rPr>
                <w:rFonts w:ascii="Times New Roman" w:hAnsi="Times New Roman"/>
                <w:color w:val="000000"/>
                <w:sz w:val="15"/>
                <w:szCs w:val="15"/>
                <w:lang w:val="en-GB"/>
              </w:rPr>
              <w:t>Registration number and name of registry</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val="en-GB" w:eastAsia="zh-CN"/>
              </w:rPr>
            </w:pPr>
            <w:r>
              <w:rPr>
                <w:rFonts w:ascii="Times New Roman" w:hAnsi="Times New Roman" w:hint="eastAsia"/>
                <w:color w:val="000000"/>
                <w:sz w:val="15"/>
                <w:szCs w:val="15"/>
                <w:lang w:val="en-GB" w:eastAsia="zh-CN"/>
              </w:rPr>
              <w:t>9</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1700" w:type="dxa"/>
            <w:tcBorders>
              <w:top w:val="dotted" w:sz="6" w:space="0" w:color="5B9BD5"/>
              <w:left w:val="nil"/>
              <w:bottom w:val="dotted" w:sz="6" w:space="0" w:color="5B9BD5"/>
              <w:right w:val="dotted" w:sz="6" w:space="0" w:color="5B9BD5"/>
            </w:tcBorders>
          </w:tcPr>
          <w:p w:rsidR="00B57CF6" w:rsidRDefault="00B57CF6">
            <w:pPr>
              <w:widowControl/>
              <w:adjustRightInd w:val="0"/>
              <w:snapToGrid w:val="0"/>
              <w:spacing w:line="276" w:lineRule="auto"/>
              <w:jc w:val="left"/>
              <w:rPr>
                <w:rFonts w:ascii="Times New Roman" w:hAnsi="Times New Roman"/>
                <w:color w:val="000000"/>
                <w:sz w:val="15"/>
                <w:szCs w:val="15"/>
                <w:lang w:val="en-GB"/>
              </w:rPr>
            </w:pPr>
          </w:p>
        </w:tc>
        <w:tc>
          <w:tcPr>
            <w:tcW w:w="516" w:type="dxa"/>
            <w:tcBorders>
              <w:top w:val="dotted" w:sz="6" w:space="0" w:color="5B9BD5"/>
              <w:left w:val="dotted" w:sz="6" w:space="0" w:color="5B9BD5"/>
              <w:bottom w:val="dotted" w:sz="6" w:space="0" w:color="5B9BD5"/>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29</w:t>
            </w:r>
          </w:p>
        </w:tc>
        <w:tc>
          <w:tcPr>
            <w:tcW w:w="6110" w:type="dxa"/>
            <w:tcBorders>
              <w:top w:val="dotted" w:sz="6" w:space="0" w:color="5B9BD5"/>
              <w:left w:val="dotted" w:sz="6" w:space="0" w:color="5B9BD5"/>
              <w:bottom w:val="dotted" w:sz="6" w:space="0" w:color="5B9BD5"/>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rPr>
            </w:pPr>
            <w:r>
              <w:rPr>
                <w:rFonts w:ascii="Times New Roman" w:hAnsi="Times New Roman"/>
                <w:color w:val="000000"/>
                <w:sz w:val="15"/>
                <w:szCs w:val="15"/>
              </w:rPr>
              <w:t>Where the full study protocol can be accessed</w:t>
            </w:r>
          </w:p>
        </w:tc>
        <w:tc>
          <w:tcPr>
            <w:tcW w:w="1560" w:type="dxa"/>
            <w:tcBorders>
              <w:top w:val="dotted" w:sz="6" w:space="0" w:color="5B9BD5"/>
              <w:left w:val="dotted" w:sz="6" w:space="0" w:color="5B9BD5"/>
              <w:bottom w:val="dotted" w:sz="6" w:space="0" w:color="5B9BD5"/>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eastAsia="zh-CN"/>
              </w:rPr>
            </w:pPr>
            <w:r>
              <w:rPr>
                <w:rFonts w:ascii="Times New Roman" w:hAnsi="Times New Roman"/>
                <w:color w:val="000000"/>
                <w:sz w:val="15"/>
                <w:szCs w:val="15"/>
                <w:lang w:eastAsia="zh-CN"/>
              </w:rPr>
              <w:t xml:space="preserve">3, </w:t>
            </w:r>
            <w:r>
              <w:rPr>
                <w:rFonts w:ascii="Times New Roman" w:hAnsi="Times New Roman" w:hint="eastAsia"/>
                <w:color w:val="000000"/>
                <w:sz w:val="15"/>
                <w:szCs w:val="15"/>
                <w:lang w:eastAsia="zh-CN"/>
              </w:rPr>
              <w:t>9</w:t>
            </w:r>
          </w:p>
        </w:tc>
      </w:tr>
      <w:tr w:rsidR="00B57CF6">
        <w:tc>
          <w:tcPr>
            <w:tcW w:w="121" w:type="dxa"/>
            <w:tcBorders>
              <w:top w:val="nil"/>
              <w:left w:val="nil"/>
              <w:bottom w:val="nil"/>
              <w:right w:val="nil"/>
            </w:tcBorders>
            <w:tcMar>
              <w:top w:w="0" w:type="dxa"/>
              <w:left w:w="57" w:type="dxa"/>
              <w:bottom w:w="0" w:type="dxa"/>
              <w:right w:w="57" w:type="dxa"/>
            </w:tcMar>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1700" w:type="dxa"/>
            <w:tcBorders>
              <w:top w:val="dotted" w:sz="6" w:space="0" w:color="5B9BD5"/>
              <w:left w:val="nil"/>
              <w:bottom w:val="single" w:sz="4" w:space="0" w:color="auto"/>
              <w:right w:val="dotted" w:sz="6" w:space="0" w:color="5B9BD5"/>
            </w:tcBorders>
          </w:tcPr>
          <w:p w:rsidR="00B57CF6" w:rsidRDefault="00B57CF6">
            <w:pPr>
              <w:widowControl/>
              <w:adjustRightInd w:val="0"/>
              <w:snapToGrid w:val="0"/>
              <w:spacing w:line="276" w:lineRule="auto"/>
              <w:jc w:val="left"/>
              <w:rPr>
                <w:rFonts w:ascii="Times New Roman" w:hAnsi="Times New Roman"/>
                <w:color w:val="000000"/>
                <w:sz w:val="15"/>
                <w:szCs w:val="15"/>
              </w:rPr>
            </w:pPr>
          </w:p>
        </w:tc>
        <w:tc>
          <w:tcPr>
            <w:tcW w:w="516" w:type="dxa"/>
            <w:tcBorders>
              <w:top w:val="dotted" w:sz="6" w:space="0" w:color="5B9BD5"/>
              <w:left w:val="dotted" w:sz="6" w:space="0" w:color="5B9BD5"/>
              <w:bottom w:val="single" w:sz="4" w:space="0" w:color="auto"/>
              <w:right w:val="dotted" w:sz="6" w:space="0" w:color="5B9BD5"/>
            </w:tcBorders>
            <w:hideMark/>
          </w:tcPr>
          <w:p w:rsidR="00B57CF6" w:rsidRDefault="00B57CF6">
            <w:pPr>
              <w:widowControl/>
              <w:adjustRightInd w:val="0"/>
              <w:snapToGrid w:val="0"/>
              <w:spacing w:line="276" w:lineRule="auto"/>
              <w:jc w:val="center"/>
              <w:rPr>
                <w:rFonts w:ascii="Times New Roman" w:hAnsi="Times New Roman"/>
                <w:b/>
                <w:sz w:val="15"/>
                <w:szCs w:val="15"/>
                <w:lang w:val="en-GB"/>
              </w:rPr>
            </w:pPr>
            <w:r>
              <w:rPr>
                <w:rFonts w:ascii="Times New Roman" w:hAnsi="Times New Roman"/>
                <w:b/>
                <w:sz w:val="15"/>
                <w:szCs w:val="15"/>
                <w:lang w:val="en-GB"/>
              </w:rPr>
              <w:t>30</w:t>
            </w:r>
          </w:p>
        </w:tc>
        <w:tc>
          <w:tcPr>
            <w:tcW w:w="6110" w:type="dxa"/>
            <w:tcBorders>
              <w:top w:val="dotted" w:sz="6" w:space="0" w:color="5B9BD5"/>
              <w:left w:val="dotted" w:sz="6" w:space="0" w:color="5B9BD5"/>
              <w:bottom w:val="single" w:sz="4" w:space="0" w:color="auto"/>
              <w:right w:val="nil"/>
            </w:tcBorders>
            <w:hideMark/>
          </w:tcPr>
          <w:p w:rsidR="00B57CF6" w:rsidRDefault="00B57CF6">
            <w:pPr>
              <w:widowControl/>
              <w:adjustRightInd w:val="0"/>
              <w:snapToGrid w:val="0"/>
              <w:spacing w:line="276" w:lineRule="auto"/>
              <w:jc w:val="left"/>
              <w:rPr>
                <w:rFonts w:ascii="Times New Roman" w:hAnsi="Times New Roman"/>
                <w:color w:val="000000"/>
                <w:sz w:val="15"/>
                <w:szCs w:val="15"/>
              </w:rPr>
            </w:pPr>
            <w:r>
              <w:rPr>
                <w:rFonts w:ascii="Times New Roman" w:hAnsi="Times New Roman"/>
                <w:color w:val="000000"/>
                <w:sz w:val="15"/>
                <w:szCs w:val="15"/>
              </w:rPr>
              <w:t>Sources of funding and other support; role of funders</w:t>
            </w:r>
          </w:p>
        </w:tc>
        <w:tc>
          <w:tcPr>
            <w:tcW w:w="1560" w:type="dxa"/>
            <w:tcBorders>
              <w:top w:val="dotted" w:sz="6" w:space="0" w:color="5B9BD5"/>
              <w:left w:val="dotted" w:sz="6" w:space="0" w:color="5B9BD5"/>
              <w:bottom w:val="single" w:sz="4" w:space="0" w:color="auto"/>
              <w:right w:val="nil"/>
            </w:tcBorders>
          </w:tcPr>
          <w:p w:rsidR="00B57CF6" w:rsidRDefault="003B0127">
            <w:pPr>
              <w:widowControl/>
              <w:adjustRightInd w:val="0"/>
              <w:snapToGrid w:val="0"/>
              <w:spacing w:line="276" w:lineRule="auto"/>
              <w:jc w:val="left"/>
              <w:rPr>
                <w:rFonts w:ascii="Times New Roman" w:hAnsi="Times New Roman"/>
                <w:color w:val="000000"/>
                <w:sz w:val="15"/>
                <w:szCs w:val="15"/>
                <w:lang w:eastAsia="zh-CN"/>
              </w:rPr>
            </w:pPr>
            <w:r>
              <w:rPr>
                <w:rFonts w:ascii="Times New Roman" w:hAnsi="Times New Roman" w:hint="eastAsia"/>
                <w:color w:val="000000"/>
                <w:sz w:val="15"/>
                <w:szCs w:val="15"/>
                <w:lang w:eastAsia="zh-CN"/>
              </w:rPr>
              <w:t>9</w:t>
            </w:r>
          </w:p>
        </w:tc>
      </w:tr>
    </w:tbl>
    <w:p w:rsidR="00B57CF6" w:rsidRDefault="00B57CF6">
      <w:pPr>
        <w:widowControl/>
        <w:jc w:val="left"/>
        <w:rPr>
          <w:rFonts w:ascii="Times New Roman" w:hAnsi="Times New Roman" w:cs="Times New Roman"/>
          <w:kern w:val="2"/>
          <w:szCs w:val="22"/>
        </w:rPr>
      </w:pPr>
      <w:r>
        <w:rPr>
          <w:rFonts w:ascii="Times New Roman" w:hAnsi="Times New Roman" w:cs="Times New Roman"/>
          <w:b/>
          <w:kern w:val="2"/>
          <w:szCs w:val="22"/>
        </w:rPr>
        <w:br w:type="page"/>
      </w:r>
    </w:p>
    <w:p w:rsidR="00FD0834" w:rsidRDefault="00FD0834" w:rsidP="00EB6FD3">
      <w:pPr>
        <w:jc w:val="left"/>
        <w:rPr>
          <w:rFonts w:ascii="Times New Roman" w:hAnsi="Times New Roman" w:cs="Times New Roman"/>
          <w:b/>
          <w:kern w:val="2"/>
          <w:szCs w:val="22"/>
        </w:rPr>
      </w:pPr>
      <w:r w:rsidRPr="00FD0834">
        <w:rPr>
          <w:rFonts w:ascii="Times New Roman" w:hAnsi="Times New Roman" w:cs="Times New Roman"/>
          <w:b/>
          <w:kern w:val="2"/>
          <w:szCs w:val="22"/>
        </w:rPr>
        <w:lastRenderedPageBreak/>
        <w:t>Figure legends</w:t>
      </w:r>
      <w:bookmarkStart w:id="0" w:name="_GoBack"/>
      <w:bookmarkEnd w:id="0"/>
    </w:p>
    <w:p w:rsidR="00B57CF6" w:rsidRPr="009E3E97" w:rsidRDefault="00B57CF6" w:rsidP="00EB6FD3">
      <w:pPr>
        <w:jc w:val="left"/>
        <w:rPr>
          <w:rFonts w:ascii="Times New Roman" w:hAnsi="Times New Roman" w:cs="Times New Roman"/>
          <w:kern w:val="2"/>
          <w:szCs w:val="22"/>
        </w:rPr>
      </w:pPr>
      <w:r w:rsidRPr="009E3E97">
        <w:rPr>
          <w:rFonts w:ascii="Times New Roman" w:hAnsi="Times New Roman" w:cs="Times New Roman"/>
          <w:b/>
          <w:kern w:val="2"/>
          <w:szCs w:val="22"/>
        </w:rPr>
        <w:t xml:space="preserve">Figure S1 </w:t>
      </w:r>
      <w:r w:rsidRPr="009E3E97">
        <w:rPr>
          <w:rFonts w:ascii="Times New Roman" w:hAnsi="Times New Roman" w:cs="Times New Roman"/>
          <w:kern w:val="2"/>
          <w:szCs w:val="22"/>
        </w:rPr>
        <w:t>Scatter plots of biomarkers in different categories.</w:t>
      </w:r>
    </w:p>
    <w:p w:rsidR="00B57CF6" w:rsidRPr="009E3E97" w:rsidRDefault="00B57CF6" w:rsidP="00EB6FD3">
      <w:pPr>
        <w:rPr>
          <w:rFonts w:ascii="Times New Roman" w:hAnsi="Times New Roman" w:cs="Times New Roman"/>
          <w:kern w:val="2"/>
          <w:szCs w:val="22"/>
        </w:rPr>
      </w:pPr>
      <w:r w:rsidRPr="009E3E97">
        <w:rPr>
          <w:rFonts w:ascii="Times New Roman" w:hAnsi="Times New Roman" w:cs="Times New Roman"/>
          <w:b/>
          <w:kern w:val="2"/>
          <w:szCs w:val="22"/>
        </w:rPr>
        <w:t xml:space="preserve">(A) </w:t>
      </w:r>
      <w:r w:rsidRPr="009E3E97">
        <w:rPr>
          <w:rFonts w:ascii="Times New Roman" w:hAnsi="Times New Roman" w:cs="Times New Roman"/>
          <w:kern w:val="2"/>
          <w:szCs w:val="22"/>
        </w:rPr>
        <w:t xml:space="preserve">Scatter plot showing the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levels in different subgroups (n = 5392). </w:t>
      </w:r>
      <w:r w:rsidRPr="009E3E97">
        <w:rPr>
          <w:rFonts w:ascii="Times New Roman" w:hAnsi="Times New Roman" w:cs="Times New Roman"/>
          <w:b/>
          <w:kern w:val="2"/>
          <w:szCs w:val="22"/>
        </w:rPr>
        <w:t xml:space="preserve">(B) </w:t>
      </w:r>
      <w:r w:rsidRPr="009E3E97">
        <w:rPr>
          <w:rFonts w:ascii="Times New Roman" w:hAnsi="Times New Roman" w:cs="Times New Roman"/>
          <w:kern w:val="2"/>
          <w:szCs w:val="22"/>
        </w:rPr>
        <w:t xml:space="preserve">Scatter plot showing the B-Eos counts in different subgroups (n = 2928). </w:t>
      </w:r>
      <w:r w:rsidRPr="009E3E97">
        <w:rPr>
          <w:rFonts w:ascii="Times New Roman" w:hAnsi="Times New Roman" w:cs="Times New Roman"/>
          <w:b/>
          <w:kern w:val="2"/>
          <w:szCs w:val="22"/>
        </w:rPr>
        <w:t xml:space="preserve">(C) </w:t>
      </w:r>
      <w:r w:rsidRPr="009E3E97">
        <w:rPr>
          <w:rFonts w:ascii="Times New Roman" w:hAnsi="Times New Roman" w:cs="Times New Roman"/>
          <w:kern w:val="2"/>
          <w:szCs w:val="22"/>
        </w:rPr>
        <w:t xml:space="preserve">Scatter plot showing the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levels in different BPT subgroups. </w:t>
      </w:r>
      <w:r w:rsidRPr="009E3E97">
        <w:rPr>
          <w:rFonts w:ascii="Times New Roman" w:hAnsi="Times New Roman" w:cs="Times New Roman"/>
          <w:b/>
          <w:kern w:val="2"/>
          <w:szCs w:val="22"/>
        </w:rPr>
        <w:t xml:space="preserve">(D) </w:t>
      </w:r>
      <w:r w:rsidRPr="009E3E97">
        <w:rPr>
          <w:rFonts w:ascii="Times New Roman" w:hAnsi="Times New Roman" w:cs="Times New Roman"/>
          <w:kern w:val="2"/>
          <w:szCs w:val="22"/>
        </w:rPr>
        <w:t>Scatter plot showing the B-Eos counts in different</w:t>
      </w:r>
      <w:r w:rsidRPr="009E3E97">
        <w:rPr>
          <w:rFonts w:ascii="Times New Roman" w:hAnsi="Times New Roman" w:cs="Times New Roman"/>
        </w:rPr>
        <w:t xml:space="preserve"> </w:t>
      </w:r>
      <w:r w:rsidRPr="009E3E97">
        <w:rPr>
          <w:rFonts w:ascii="Times New Roman" w:hAnsi="Times New Roman" w:cs="Times New Roman"/>
          <w:kern w:val="2"/>
          <w:szCs w:val="22"/>
        </w:rPr>
        <w:t xml:space="preserve">BPT subgroups. </w:t>
      </w:r>
      <w:r w:rsidRPr="009E3E97">
        <w:rPr>
          <w:rFonts w:ascii="Times New Roman" w:hAnsi="Times New Roman" w:cs="Times New Roman"/>
          <w:b/>
          <w:kern w:val="2"/>
          <w:szCs w:val="22"/>
        </w:rPr>
        <w:t>(E)</w:t>
      </w:r>
      <w:r w:rsidRPr="009E3E97">
        <w:rPr>
          <w:rFonts w:ascii="Times New Roman" w:hAnsi="Times New Roman" w:cs="Times New Roman"/>
          <w:kern w:val="2"/>
          <w:szCs w:val="22"/>
        </w:rPr>
        <w:t xml:space="preserve"> Scatter plot showing the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levels in different BDT subgroups. </w:t>
      </w:r>
      <w:r w:rsidRPr="009E3E97">
        <w:rPr>
          <w:rFonts w:ascii="Times New Roman" w:hAnsi="Times New Roman" w:cs="Times New Roman"/>
          <w:b/>
          <w:kern w:val="2"/>
          <w:szCs w:val="22"/>
        </w:rPr>
        <w:t xml:space="preserve">(F) </w:t>
      </w:r>
      <w:r w:rsidRPr="009E3E97">
        <w:rPr>
          <w:rFonts w:ascii="Times New Roman" w:hAnsi="Times New Roman" w:cs="Times New Roman"/>
          <w:kern w:val="2"/>
          <w:szCs w:val="22"/>
        </w:rPr>
        <w:t xml:space="preserve">Scatter plot showing the B-Eos counts in different BDT subgroups. </w:t>
      </w:r>
      <w:r w:rsidRPr="009E3E97">
        <w:rPr>
          <w:rFonts w:ascii="Times New Roman" w:hAnsi="Times New Roman" w:cs="Times New Roman"/>
          <w:b/>
          <w:kern w:val="2"/>
          <w:szCs w:val="22"/>
        </w:rPr>
        <w:t>Abbreviations</w:t>
      </w:r>
      <w:r w:rsidRPr="009E3E97">
        <w:rPr>
          <w:rFonts w:ascii="Times New Roman" w:hAnsi="Times New Roman" w:cs="Times New Roman"/>
          <w:kern w:val="2"/>
          <w:szCs w:val="22"/>
        </w:rPr>
        <w:t xml:space="preserve">: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fractional exhaled nitric oxide; B-Eos, blood eosinophils; BPT, bronchial</w:t>
      </w:r>
      <w:r>
        <w:rPr>
          <w:rFonts w:ascii="Times New Roman" w:hAnsi="Times New Roman" w:cs="Times New Roman"/>
          <w:kern w:val="2"/>
          <w:szCs w:val="22"/>
        </w:rPr>
        <w:t>-</w:t>
      </w:r>
      <w:r w:rsidRPr="009E3E97">
        <w:rPr>
          <w:rFonts w:ascii="Times New Roman" w:hAnsi="Times New Roman" w:cs="Times New Roman"/>
          <w:kern w:val="2"/>
          <w:szCs w:val="22"/>
        </w:rPr>
        <w:t>provocation test; BDT, bronch</w:t>
      </w:r>
      <w:r>
        <w:rPr>
          <w:rFonts w:ascii="Times New Roman" w:hAnsi="Times New Roman" w:cs="Times New Roman"/>
          <w:kern w:val="2"/>
          <w:szCs w:val="22"/>
        </w:rPr>
        <w:t>o</w:t>
      </w:r>
      <w:r w:rsidRPr="009E3E97">
        <w:rPr>
          <w:rFonts w:ascii="Times New Roman" w:hAnsi="Times New Roman" w:cs="Times New Roman"/>
          <w:kern w:val="2"/>
          <w:szCs w:val="22"/>
        </w:rPr>
        <w:t xml:space="preserve">dilation test. </w:t>
      </w:r>
      <w:r w:rsidRPr="009E3E97">
        <w:rPr>
          <w:rFonts w:ascii="Times New Roman" w:hAnsi="Times New Roman" w:cs="Times New Roman"/>
          <w:b/>
          <w:kern w:val="2"/>
          <w:szCs w:val="22"/>
        </w:rPr>
        <w:t>Notes</w:t>
      </w:r>
      <w:r w:rsidRPr="009E3E97">
        <w:rPr>
          <w:rFonts w:ascii="Times New Roman" w:hAnsi="Times New Roman" w:cs="Times New Roman"/>
          <w:kern w:val="2"/>
          <w:szCs w:val="22"/>
        </w:rPr>
        <w:t xml:space="preserve">: </w:t>
      </w:r>
      <w:bookmarkStart w:id="1" w:name="OLE_LINK16"/>
      <w:r w:rsidRPr="009E3E97">
        <w:rPr>
          <w:rFonts w:ascii="Times New Roman" w:hAnsi="Times New Roman" w:cs="Times New Roman"/>
          <w:kern w:val="2"/>
          <w:szCs w:val="22"/>
        </w:rPr>
        <w:t xml:space="preserve">The Mann–Whitney </w:t>
      </w:r>
      <w:r w:rsidRPr="008D4BA7">
        <w:rPr>
          <w:rFonts w:ascii="Times New Roman" w:hAnsi="Times New Roman" w:cs="Times New Roman"/>
          <w:i/>
          <w:kern w:val="2"/>
          <w:szCs w:val="22"/>
        </w:rPr>
        <w:t>U</w:t>
      </w:r>
      <w:r w:rsidRPr="009E3E97">
        <w:rPr>
          <w:rFonts w:ascii="Times New Roman" w:hAnsi="Times New Roman" w:cs="Times New Roman"/>
          <w:kern w:val="2"/>
          <w:szCs w:val="22"/>
        </w:rPr>
        <w:t xml:space="preserve"> test was used. Complete data represent patients with both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and B-Eos data. “No B-Eos” refers to patients with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data but no B-Eos data. “No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refers to patients with B-Eos data but no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data. </w:t>
      </w:r>
      <w:r w:rsidRPr="00DF28E1">
        <w:rPr>
          <w:rFonts w:ascii="Times New Roman" w:hAnsi="Times New Roman" w:cs="Times New Roman"/>
          <w:kern w:val="2"/>
          <w:szCs w:val="22"/>
        </w:rPr>
        <w:t>BPT results are presented as follows:</w:t>
      </w:r>
      <w:r>
        <w:rPr>
          <w:rFonts w:ascii="Times New Roman" w:hAnsi="Times New Roman" w:cs="Times New Roman"/>
          <w:kern w:val="2"/>
          <w:szCs w:val="22"/>
        </w:rPr>
        <w:t xml:space="preserve"> </w:t>
      </w:r>
      <w:r w:rsidRPr="002D2D0F">
        <w:rPr>
          <w:rFonts w:ascii="Times New Roman" w:hAnsi="Times New Roman" w:cs="Times New Roman"/>
          <w:kern w:val="2"/>
          <w:szCs w:val="22"/>
        </w:rPr>
        <w:t>+/−</w:t>
      </w:r>
      <w:r w:rsidRPr="00DF28E1">
        <w:rPr>
          <w:rFonts w:ascii="Times New Roman" w:hAnsi="Times New Roman" w:cs="Times New Roman"/>
          <w:kern w:val="2"/>
          <w:szCs w:val="22"/>
        </w:rPr>
        <w:t xml:space="preserve"> indicates </w:t>
      </w:r>
      <w:r>
        <w:rPr>
          <w:rFonts w:ascii="Times New Roman" w:hAnsi="Times New Roman" w:cs="Times New Roman"/>
          <w:kern w:val="2"/>
          <w:szCs w:val="22"/>
        </w:rPr>
        <w:t xml:space="preserve">that </w:t>
      </w:r>
      <w:r w:rsidRPr="00DF28E1">
        <w:rPr>
          <w:rFonts w:ascii="Times New Roman" w:hAnsi="Times New Roman" w:cs="Times New Roman"/>
          <w:kern w:val="2"/>
          <w:szCs w:val="22"/>
        </w:rPr>
        <w:t>the PD</w:t>
      </w:r>
      <w:r w:rsidRPr="00DF28E1">
        <w:rPr>
          <w:rFonts w:ascii="Times New Roman" w:hAnsi="Times New Roman" w:cs="Times New Roman"/>
          <w:kern w:val="2"/>
          <w:szCs w:val="22"/>
          <w:vertAlign w:val="subscript"/>
        </w:rPr>
        <w:t>20</w:t>
      </w:r>
      <w:r w:rsidRPr="00DF28E1">
        <w:rPr>
          <w:rFonts w:ascii="Times New Roman" w:hAnsi="Times New Roman" w:cs="Times New Roman"/>
          <w:kern w:val="2"/>
          <w:szCs w:val="22"/>
        </w:rPr>
        <w:t>-FEV</w:t>
      </w:r>
      <w:r w:rsidRPr="00DF28E1">
        <w:rPr>
          <w:rFonts w:ascii="Times New Roman" w:hAnsi="Times New Roman" w:cs="Times New Roman"/>
          <w:kern w:val="2"/>
          <w:szCs w:val="22"/>
          <w:vertAlign w:val="subscript"/>
        </w:rPr>
        <w:t>1</w:t>
      </w:r>
      <w:r w:rsidRPr="00DF28E1">
        <w:rPr>
          <w:rFonts w:ascii="Times New Roman" w:hAnsi="Times New Roman" w:cs="Times New Roman"/>
          <w:kern w:val="2"/>
          <w:szCs w:val="22"/>
        </w:rPr>
        <w:t xml:space="preserve"> of </w:t>
      </w:r>
      <w:proofErr w:type="spellStart"/>
      <w:r w:rsidRPr="00DF28E1">
        <w:rPr>
          <w:rFonts w:ascii="Times New Roman" w:hAnsi="Times New Roman" w:cs="Times New Roman"/>
          <w:kern w:val="2"/>
          <w:szCs w:val="22"/>
        </w:rPr>
        <w:t>methacholine</w:t>
      </w:r>
      <w:proofErr w:type="spellEnd"/>
      <w:r w:rsidRPr="00DF28E1">
        <w:rPr>
          <w:rFonts w:ascii="Times New Roman" w:hAnsi="Times New Roman" w:cs="Times New Roman"/>
          <w:kern w:val="2"/>
          <w:szCs w:val="22"/>
        </w:rPr>
        <w:t xml:space="preserve"> </w:t>
      </w:r>
      <w:r>
        <w:rPr>
          <w:rFonts w:ascii="Times New Roman" w:hAnsi="Times New Roman" w:cs="Times New Roman"/>
          <w:kern w:val="2"/>
          <w:szCs w:val="22"/>
        </w:rPr>
        <w:t>wa</w:t>
      </w:r>
      <w:r w:rsidRPr="00DF28E1">
        <w:rPr>
          <w:rFonts w:ascii="Times New Roman" w:hAnsi="Times New Roman" w:cs="Times New Roman"/>
          <w:kern w:val="2"/>
          <w:szCs w:val="22"/>
        </w:rPr>
        <w:t>s 1.076</w:t>
      </w:r>
      <w:r w:rsidRPr="00233697">
        <w:rPr>
          <w:rFonts w:ascii="Times New Roman" w:hAnsi="Times New Roman" w:cs="Times New Roman"/>
          <w:kern w:val="2"/>
          <w:szCs w:val="22"/>
        </w:rPr>
        <w:t>–</w:t>
      </w:r>
      <w:r w:rsidRPr="00DF28E1">
        <w:rPr>
          <w:rFonts w:ascii="Times New Roman" w:hAnsi="Times New Roman" w:cs="Times New Roman"/>
          <w:kern w:val="2"/>
          <w:szCs w:val="22"/>
        </w:rPr>
        <w:t>2.500 m</w:t>
      </w:r>
      <w:r>
        <w:rPr>
          <w:rFonts w:ascii="Times New Roman" w:hAnsi="Times New Roman" w:cs="Times New Roman"/>
          <w:kern w:val="2"/>
          <w:szCs w:val="22"/>
        </w:rPr>
        <w:t>g</w:t>
      </w:r>
      <w:r w:rsidRPr="00DF28E1">
        <w:rPr>
          <w:rFonts w:ascii="Times New Roman" w:hAnsi="Times New Roman" w:cs="Times New Roman"/>
          <w:kern w:val="2"/>
          <w:szCs w:val="22"/>
        </w:rPr>
        <w:t xml:space="preserve">; + </w:t>
      </w:r>
      <w:r w:rsidRPr="00AF4E1C">
        <w:rPr>
          <w:rFonts w:ascii="Times New Roman" w:hAnsi="Times New Roman" w:cs="Times New Roman"/>
          <w:kern w:val="2"/>
          <w:szCs w:val="22"/>
        </w:rPr>
        <w:t xml:space="preserve">indicates that it </w:t>
      </w:r>
      <w:r>
        <w:rPr>
          <w:rFonts w:ascii="Times New Roman" w:hAnsi="Times New Roman" w:cs="Times New Roman"/>
          <w:kern w:val="2"/>
          <w:szCs w:val="22"/>
        </w:rPr>
        <w:t>wa</w:t>
      </w:r>
      <w:r w:rsidRPr="002D2D0F">
        <w:rPr>
          <w:rFonts w:ascii="Times New Roman" w:hAnsi="Times New Roman" w:cs="Times New Roman"/>
          <w:kern w:val="2"/>
          <w:szCs w:val="22"/>
        </w:rPr>
        <w:t>s</w:t>
      </w:r>
      <w:r w:rsidRPr="00DF28E1">
        <w:rPr>
          <w:rFonts w:ascii="Times New Roman" w:hAnsi="Times New Roman" w:cs="Times New Roman"/>
          <w:kern w:val="2"/>
          <w:szCs w:val="22"/>
        </w:rPr>
        <w:t xml:space="preserve"> 0.294</w:t>
      </w:r>
      <w:r w:rsidRPr="00233697">
        <w:rPr>
          <w:rFonts w:ascii="Times New Roman" w:hAnsi="Times New Roman" w:cs="Times New Roman"/>
          <w:kern w:val="2"/>
          <w:szCs w:val="22"/>
        </w:rPr>
        <w:t>–</w:t>
      </w:r>
      <w:r w:rsidRPr="00DF28E1">
        <w:rPr>
          <w:rFonts w:ascii="Times New Roman" w:hAnsi="Times New Roman" w:cs="Times New Roman"/>
          <w:kern w:val="2"/>
          <w:szCs w:val="22"/>
        </w:rPr>
        <w:t xml:space="preserve">1.075 </w:t>
      </w:r>
      <w:r>
        <w:rPr>
          <w:rFonts w:ascii="Times New Roman" w:hAnsi="Times New Roman" w:cs="Times New Roman"/>
          <w:kern w:val="2"/>
          <w:szCs w:val="22"/>
        </w:rPr>
        <w:t>mg</w:t>
      </w:r>
      <w:r w:rsidRPr="00DF28E1">
        <w:rPr>
          <w:rFonts w:ascii="Times New Roman" w:hAnsi="Times New Roman" w:cs="Times New Roman"/>
          <w:kern w:val="2"/>
          <w:szCs w:val="22"/>
        </w:rPr>
        <w:t xml:space="preserve">; ++ </w:t>
      </w:r>
      <w:r w:rsidRPr="00AF4E1C">
        <w:rPr>
          <w:rFonts w:ascii="Times New Roman" w:hAnsi="Times New Roman" w:cs="Times New Roman"/>
          <w:kern w:val="2"/>
          <w:szCs w:val="22"/>
        </w:rPr>
        <w:t xml:space="preserve">indicates that it </w:t>
      </w:r>
      <w:r w:rsidRPr="002D2D0F">
        <w:rPr>
          <w:rFonts w:ascii="Times New Roman" w:hAnsi="Times New Roman" w:cs="Times New Roman"/>
          <w:kern w:val="2"/>
          <w:szCs w:val="22"/>
        </w:rPr>
        <w:t>was</w:t>
      </w:r>
      <w:r w:rsidRPr="00DF28E1">
        <w:rPr>
          <w:rFonts w:ascii="Times New Roman" w:hAnsi="Times New Roman" w:cs="Times New Roman"/>
          <w:kern w:val="2"/>
          <w:szCs w:val="22"/>
        </w:rPr>
        <w:t xml:space="preserve"> 0.035</w:t>
      </w:r>
      <w:r w:rsidRPr="00233697">
        <w:rPr>
          <w:rFonts w:ascii="Times New Roman" w:hAnsi="Times New Roman" w:cs="Times New Roman"/>
          <w:kern w:val="2"/>
          <w:szCs w:val="22"/>
        </w:rPr>
        <w:t>–</w:t>
      </w:r>
      <w:r w:rsidRPr="00DF28E1">
        <w:rPr>
          <w:rFonts w:ascii="Times New Roman" w:hAnsi="Times New Roman" w:cs="Times New Roman"/>
          <w:kern w:val="2"/>
          <w:szCs w:val="22"/>
        </w:rPr>
        <w:t xml:space="preserve">0.293 </w:t>
      </w:r>
      <w:r w:rsidRPr="002D2D0F">
        <w:rPr>
          <w:rFonts w:ascii="Times New Roman" w:hAnsi="Times New Roman" w:cs="Times New Roman"/>
          <w:kern w:val="2"/>
          <w:szCs w:val="22"/>
        </w:rPr>
        <w:t>mg</w:t>
      </w:r>
      <w:r w:rsidRPr="00DF28E1">
        <w:rPr>
          <w:rFonts w:ascii="Times New Roman" w:hAnsi="Times New Roman" w:cs="Times New Roman"/>
          <w:kern w:val="2"/>
          <w:szCs w:val="22"/>
        </w:rPr>
        <w:t xml:space="preserve">; +++ </w:t>
      </w:r>
      <w:r w:rsidRPr="00AF4E1C">
        <w:rPr>
          <w:rFonts w:ascii="Times New Roman" w:hAnsi="Times New Roman" w:cs="Times New Roman"/>
          <w:kern w:val="2"/>
          <w:szCs w:val="22"/>
        </w:rPr>
        <w:t xml:space="preserve">indicates that it </w:t>
      </w:r>
      <w:r>
        <w:rPr>
          <w:rFonts w:ascii="Times New Roman" w:hAnsi="Times New Roman" w:cs="Times New Roman"/>
          <w:kern w:val="2"/>
          <w:szCs w:val="22"/>
        </w:rPr>
        <w:t>wa</w:t>
      </w:r>
      <w:r w:rsidRPr="00AF4E1C">
        <w:rPr>
          <w:rFonts w:ascii="Times New Roman" w:hAnsi="Times New Roman" w:cs="Times New Roman"/>
          <w:kern w:val="2"/>
          <w:szCs w:val="22"/>
        </w:rPr>
        <w:t>s</w:t>
      </w:r>
      <w:r w:rsidRPr="00DF28E1">
        <w:rPr>
          <w:rFonts w:ascii="Times New Roman" w:hAnsi="Times New Roman" w:cs="Times New Roman"/>
          <w:kern w:val="2"/>
          <w:szCs w:val="22"/>
        </w:rPr>
        <w:t xml:space="preserve"> </w:t>
      </w:r>
      <w:r>
        <w:rPr>
          <w:rFonts w:ascii="Times New Roman" w:hAnsi="Times New Roman" w:cs="Times New Roman"/>
          <w:kern w:val="2"/>
          <w:szCs w:val="22"/>
        </w:rPr>
        <w:t>&lt;</w:t>
      </w:r>
      <w:r w:rsidRPr="00DF28E1">
        <w:rPr>
          <w:rFonts w:ascii="Times New Roman" w:hAnsi="Times New Roman" w:cs="Times New Roman"/>
          <w:kern w:val="2"/>
          <w:szCs w:val="22"/>
        </w:rPr>
        <w:t xml:space="preserve">0.035 </w:t>
      </w:r>
      <w:r w:rsidRPr="002D2D0F">
        <w:rPr>
          <w:rFonts w:ascii="Times New Roman" w:hAnsi="Times New Roman" w:cs="Times New Roman"/>
          <w:kern w:val="2"/>
          <w:szCs w:val="22"/>
        </w:rPr>
        <w:t>mg</w:t>
      </w:r>
      <w:r w:rsidRPr="00DF28E1">
        <w:rPr>
          <w:rFonts w:ascii="Times New Roman" w:hAnsi="Times New Roman" w:cs="Times New Roman"/>
          <w:kern w:val="2"/>
          <w:szCs w:val="22"/>
        </w:rPr>
        <w:t>.</w:t>
      </w:r>
      <w:r>
        <w:rPr>
          <w:rFonts w:ascii="Times New Roman" w:hAnsi="Times New Roman" w:cs="Times New Roman"/>
          <w:kern w:val="2"/>
          <w:szCs w:val="22"/>
        </w:rPr>
        <w:t xml:space="preserve"> </w:t>
      </w:r>
      <w:r w:rsidRPr="00DF28E1">
        <w:rPr>
          <w:rFonts w:ascii="Times New Roman" w:hAnsi="Times New Roman" w:cs="Times New Roman"/>
          <w:kern w:val="2"/>
          <w:szCs w:val="22"/>
        </w:rPr>
        <w:t xml:space="preserve">BDT results are presented as follows: </w:t>
      </w:r>
      <w:r w:rsidRPr="008F58C5">
        <w:rPr>
          <w:rFonts w:ascii="Times New Roman" w:hAnsi="Times New Roman" w:cs="Times New Roman"/>
          <w:kern w:val="2"/>
          <w:szCs w:val="22"/>
        </w:rPr>
        <w:t>−</w:t>
      </w:r>
      <w:r w:rsidRPr="00DF28E1">
        <w:rPr>
          <w:rFonts w:ascii="Times New Roman" w:hAnsi="Times New Roman" w:cs="Times New Roman"/>
          <w:kern w:val="2"/>
          <w:szCs w:val="22"/>
        </w:rPr>
        <w:t xml:space="preserve"> indicates </w:t>
      </w:r>
      <w:r>
        <w:rPr>
          <w:rFonts w:ascii="Times New Roman" w:hAnsi="Times New Roman" w:cs="Times New Roman"/>
          <w:kern w:val="2"/>
          <w:szCs w:val="22"/>
        </w:rPr>
        <w:t xml:space="preserve">that </w:t>
      </w:r>
      <w:r w:rsidRPr="00DF28E1">
        <w:rPr>
          <w:rFonts w:ascii="Times New Roman" w:hAnsi="Times New Roman" w:cs="Times New Roman"/>
          <w:kern w:val="2"/>
          <w:szCs w:val="22"/>
        </w:rPr>
        <w:t>FEV</w:t>
      </w:r>
      <w:r w:rsidRPr="00DF28E1">
        <w:rPr>
          <w:rFonts w:ascii="Times New Roman" w:hAnsi="Times New Roman" w:cs="Times New Roman"/>
          <w:kern w:val="2"/>
          <w:szCs w:val="22"/>
          <w:vertAlign w:val="subscript"/>
        </w:rPr>
        <w:t>1</w:t>
      </w:r>
      <w:r w:rsidRPr="00DF28E1">
        <w:rPr>
          <w:rFonts w:ascii="Times New Roman" w:hAnsi="Times New Roman" w:cs="Times New Roman"/>
          <w:kern w:val="2"/>
          <w:szCs w:val="22"/>
        </w:rPr>
        <w:t xml:space="preserve"> increased less than 12% or 200 ml above baseline after inhalation of 400 </w:t>
      </w:r>
      <w:proofErr w:type="spellStart"/>
      <w:r w:rsidRPr="00DF28E1">
        <w:rPr>
          <w:rFonts w:ascii="Times New Roman" w:hAnsi="Times New Roman" w:cs="Times New Roman"/>
          <w:kern w:val="2"/>
          <w:szCs w:val="22"/>
        </w:rPr>
        <w:t>μg</w:t>
      </w:r>
      <w:proofErr w:type="spellEnd"/>
      <w:r w:rsidRPr="00DF28E1">
        <w:rPr>
          <w:rFonts w:ascii="Times New Roman" w:hAnsi="Times New Roman" w:cs="Times New Roman"/>
          <w:kern w:val="2"/>
          <w:szCs w:val="22"/>
        </w:rPr>
        <w:t xml:space="preserve"> salbutamol sulfate aerosol; + </w:t>
      </w:r>
      <w:r w:rsidRPr="00AB43EA">
        <w:rPr>
          <w:rFonts w:ascii="Times New Roman" w:hAnsi="Times New Roman" w:cs="Times New Roman"/>
          <w:kern w:val="2"/>
          <w:szCs w:val="22"/>
        </w:rPr>
        <w:t>indicates that FEV</w:t>
      </w:r>
      <w:r w:rsidRPr="00AB43EA">
        <w:rPr>
          <w:rFonts w:ascii="Times New Roman" w:hAnsi="Times New Roman" w:cs="Times New Roman"/>
          <w:kern w:val="2"/>
          <w:szCs w:val="22"/>
          <w:vertAlign w:val="subscript"/>
        </w:rPr>
        <w:t>1</w:t>
      </w:r>
      <w:r w:rsidRPr="00AB43EA">
        <w:rPr>
          <w:rFonts w:ascii="Times New Roman" w:hAnsi="Times New Roman" w:cs="Times New Roman"/>
          <w:kern w:val="2"/>
          <w:szCs w:val="22"/>
        </w:rPr>
        <w:t xml:space="preserve"> increased by </w:t>
      </w:r>
      <w:r>
        <w:rPr>
          <w:rFonts w:ascii="Times New Roman" w:hAnsi="Times New Roman" w:cs="Times New Roman"/>
          <w:kern w:val="2"/>
          <w:szCs w:val="22"/>
        </w:rPr>
        <w:t>12</w:t>
      </w:r>
      <w:r w:rsidRPr="00AB43EA">
        <w:rPr>
          <w:rFonts w:ascii="Times New Roman" w:hAnsi="Times New Roman" w:cs="Times New Roman"/>
          <w:kern w:val="2"/>
          <w:szCs w:val="22"/>
        </w:rPr>
        <w:t>%</w:t>
      </w:r>
      <w:r w:rsidRPr="008F58C5">
        <w:rPr>
          <w:rFonts w:ascii="Times New Roman" w:hAnsi="Times New Roman" w:cs="Times New Roman"/>
          <w:kern w:val="2"/>
          <w:szCs w:val="22"/>
        </w:rPr>
        <w:t>−</w:t>
      </w:r>
      <w:r>
        <w:rPr>
          <w:rFonts w:ascii="Times New Roman" w:hAnsi="Times New Roman" w:cs="Times New Roman"/>
          <w:kern w:val="2"/>
          <w:szCs w:val="22"/>
        </w:rPr>
        <w:t>25</w:t>
      </w:r>
      <w:r w:rsidRPr="00AB43EA">
        <w:rPr>
          <w:rFonts w:ascii="Times New Roman" w:hAnsi="Times New Roman" w:cs="Times New Roman"/>
          <w:kern w:val="2"/>
          <w:szCs w:val="22"/>
        </w:rPr>
        <w:t>% and its absolute value increased by 200 ml</w:t>
      </w:r>
      <w:r w:rsidRPr="00DF28E1">
        <w:rPr>
          <w:rFonts w:ascii="Times New Roman" w:hAnsi="Times New Roman" w:cs="Times New Roman"/>
          <w:kern w:val="2"/>
          <w:szCs w:val="22"/>
        </w:rPr>
        <w:t xml:space="preserve">; </w:t>
      </w:r>
      <w:r w:rsidRPr="00AB43EA">
        <w:rPr>
          <w:rFonts w:ascii="Times New Roman" w:hAnsi="Times New Roman" w:cs="Times New Roman"/>
          <w:kern w:val="2"/>
          <w:szCs w:val="22"/>
        </w:rPr>
        <w:t>++ indicates that FEV</w:t>
      </w:r>
      <w:r w:rsidRPr="00AB43EA">
        <w:rPr>
          <w:rFonts w:ascii="Times New Roman" w:hAnsi="Times New Roman" w:cs="Times New Roman"/>
          <w:kern w:val="2"/>
          <w:szCs w:val="22"/>
          <w:vertAlign w:val="subscript"/>
        </w:rPr>
        <w:t>1</w:t>
      </w:r>
      <w:r w:rsidRPr="00AB43EA">
        <w:rPr>
          <w:rFonts w:ascii="Times New Roman" w:hAnsi="Times New Roman" w:cs="Times New Roman"/>
          <w:kern w:val="2"/>
          <w:szCs w:val="22"/>
        </w:rPr>
        <w:t xml:space="preserve"> increased by 25%</w:t>
      </w:r>
      <w:r w:rsidRPr="008F58C5">
        <w:rPr>
          <w:rFonts w:ascii="Times New Roman" w:hAnsi="Times New Roman" w:cs="Times New Roman"/>
          <w:kern w:val="2"/>
          <w:szCs w:val="22"/>
        </w:rPr>
        <w:t>−</w:t>
      </w:r>
      <w:r w:rsidRPr="00AB43EA">
        <w:rPr>
          <w:rFonts w:ascii="Times New Roman" w:hAnsi="Times New Roman" w:cs="Times New Roman"/>
          <w:kern w:val="2"/>
          <w:szCs w:val="22"/>
        </w:rPr>
        <w:t>40% and its absolute value increased by 200 ml</w:t>
      </w:r>
      <w:r w:rsidRPr="00DF28E1">
        <w:rPr>
          <w:rFonts w:ascii="Times New Roman" w:hAnsi="Times New Roman" w:cs="Times New Roman"/>
          <w:kern w:val="2"/>
          <w:szCs w:val="22"/>
        </w:rPr>
        <w:t xml:space="preserve">; +++ indicates </w:t>
      </w:r>
      <w:r>
        <w:rPr>
          <w:rFonts w:ascii="Times New Roman" w:hAnsi="Times New Roman" w:cs="Times New Roman"/>
          <w:kern w:val="2"/>
          <w:szCs w:val="22"/>
        </w:rPr>
        <w:t xml:space="preserve">that </w:t>
      </w:r>
      <w:r w:rsidRPr="00DF28E1">
        <w:rPr>
          <w:rFonts w:ascii="Times New Roman" w:hAnsi="Times New Roman" w:cs="Times New Roman"/>
          <w:kern w:val="2"/>
          <w:szCs w:val="22"/>
        </w:rPr>
        <w:t>FEV</w:t>
      </w:r>
      <w:r w:rsidRPr="00AF4E1C">
        <w:rPr>
          <w:rFonts w:ascii="Times New Roman" w:hAnsi="Times New Roman" w:cs="Times New Roman"/>
          <w:kern w:val="2"/>
          <w:szCs w:val="22"/>
          <w:vertAlign w:val="subscript"/>
        </w:rPr>
        <w:t>1</w:t>
      </w:r>
      <w:r w:rsidRPr="00DF28E1">
        <w:rPr>
          <w:rFonts w:ascii="Times New Roman" w:hAnsi="Times New Roman" w:cs="Times New Roman"/>
          <w:kern w:val="2"/>
          <w:szCs w:val="22"/>
        </w:rPr>
        <w:t xml:space="preserve"> increased </w:t>
      </w:r>
      <w:r>
        <w:rPr>
          <w:rFonts w:ascii="Times New Roman" w:hAnsi="Times New Roman" w:cs="Times New Roman"/>
          <w:kern w:val="2"/>
          <w:szCs w:val="22"/>
        </w:rPr>
        <w:t>&gt;</w:t>
      </w:r>
      <w:r w:rsidRPr="00DF28E1">
        <w:rPr>
          <w:rFonts w:ascii="Times New Roman" w:hAnsi="Times New Roman" w:cs="Times New Roman"/>
          <w:kern w:val="2"/>
          <w:szCs w:val="22"/>
        </w:rPr>
        <w:t xml:space="preserve">40% </w:t>
      </w:r>
      <w:r w:rsidRPr="00AB43EA">
        <w:rPr>
          <w:rFonts w:ascii="Times New Roman" w:hAnsi="Times New Roman" w:cs="Times New Roman"/>
          <w:kern w:val="2"/>
          <w:szCs w:val="22"/>
        </w:rPr>
        <w:t>and its absolute value increased by 200 ml</w:t>
      </w:r>
      <w:r w:rsidRPr="00DF28E1">
        <w:rPr>
          <w:rFonts w:ascii="Times New Roman" w:hAnsi="Times New Roman" w:cs="Times New Roman"/>
          <w:kern w:val="2"/>
          <w:szCs w:val="22"/>
        </w:rPr>
        <w:t>.</w:t>
      </w:r>
      <w:r w:rsidRPr="009E3E97">
        <w:rPr>
          <w:rFonts w:ascii="Times New Roman" w:hAnsi="Times New Roman" w:cs="Times New Roman"/>
          <w:kern w:val="2"/>
          <w:szCs w:val="22"/>
        </w:rPr>
        <w:t xml:space="preserve"> The distributions of </w:t>
      </w:r>
      <w:r>
        <w:rPr>
          <w:rFonts w:ascii="Times New Roman" w:hAnsi="Times New Roman" w:cs="Times New Roman"/>
          <w:kern w:val="2"/>
          <w:szCs w:val="22"/>
        </w:rPr>
        <w:t>these two biomarkers</w:t>
      </w:r>
      <w:r w:rsidRPr="009E3E97">
        <w:rPr>
          <w:rFonts w:ascii="Times New Roman" w:hAnsi="Times New Roman" w:cs="Times New Roman"/>
          <w:kern w:val="2"/>
          <w:szCs w:val="22"/>
        </w:rPr>
        <w:t xml:space="preserve"> in different categories are presented in different colors. The median and interquartile range of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and B-Eos are also displayed for each group.</w:t>
      </w:r>
    </w:p>
    <w:bookmarkEnd w:id="1"/>
    <w:p w:rsidR="00B57CF6" w:rsidRPr="009E3E97" w:rsidRDefault="00B57CF6" w:rsidP="00EB6FD3">
      <w:pPr>
        <w:rPr>
          <w:rFonts w:ascii="Times New Roman" w:hAnsi="Times New Roman" w:cs="Times New Roman"/>
          <w:kern w:val="2"/>
          <w:szCs w:val="22"/>
        </w:rPr>
      </w:pPr>
      <w:r w:rsidRPr="009E3E97">
        <w:rPr>
          <w:rFonts w:ascii="Times New Roman" w:hAnsi="Times New Roman" w:cs="Times New Roman"/>
          <w:b/>
          <w:kern w:val="2"/>
          <w:szCs w:val="22"/>
        </w:rPr>
        <w:t xml:space="preserve">Figure S2 </w:t>
      </w:r>
      <w:r w:rsidRPr="009E3E97">
        <w:rPr>
          <w:rFonts w:ascii="Times New Roman" w:hAnsi="Times New Roman" w:cs="Times New Roman"/>
          <w:kern w:val="2"/>
          <w:szCs w:val="22"/>
        </w:rPr>
        <w:t xml:space="preserve">ROC curves of biomarkers for asthma diagnosis in different categories. </w:t>
      </w:r>
      <w:r w:rsidRPr="009E3E97">
        <w:rPr>
          <w:rFonts w:ascii="Times New Roman" w:hAnsi="Times New Roman" w:cs="Times New Roman"/>
          <w:b/>
          <w:kern w:val="2"/>
          <w:szCs w:val="22"/>
        </w:rPr>
        <w:t>(A)</w:t>
      </w:r>
      <w:r w:rsidRPr="009E3E97">
        <w:rPr>
          <w:rFonts w:ascii="Times New Roman" w:hAnsi="Times New Roman" w:cs="Times New Roman"/>
          <w:kern w:val="2"/>
          <w:szCs w:val="22"/>
        </w:rPr>
        <w:t xml:space="preserve"> The ROC curve of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for asthma diagnosis when including patients with incomplete data. </w:t>
      </w:r>
      <w:r w:rsidRPr="009E3E97">
        <w:rPr>
          <w:rFonts w:ascii="Times New Roman" w:hAnsi="Times New Roman" w:cs="Times New Roman"/>
          <w:b/>
          <w:kern w:val="2"/>
          <w:szCs w:val="22"/>
        </w:rPr>
        <w:t>(B)</w:t>
      </w:r>
      <w:r w:rsidRPr="009E3E97">
        <w:rPr>
          <w:rFonts w:ascii="Times New Roman" w:hAnsi="Times New Roman" w:cs="Times New Roman"/>
          <w:kern w:val="2"/>
          <w:szCs w:val="22"/>
        </w:rPr>
        <w:t xml:space="preserve"> Comparison of ROC curves between B-Eos count and B-Eos percentage when including patients with incomplete data. </w:t>
      </w:r>
      <w:r w:rsidRPr="009E3E97">
        <w:rPr>
          <w:rFonts w:ascii="Times New Roman" w:hAnsi="Times New Roman" w:cs="Times New Roman"/>
          <w:b/>
          <w:kern w:val="2"/>
          <w:szCs w:val="22"/>
        </w:rPr>
        <w:t>(C)</w:t>
      </w:r>
      <w:r w:rsidRPr="009E3E97">
        <w:rPr>
          <w:rFonts w:ascii="Times New Roman" w:hAnsi="Times New Roman" w:cs="Times New Roman"/>
          <w:kern w:val="2"/>
          <w:szCs w:val="22"/>
        </w:rPr>
        <w:t xml:space="preserve"> Comparison of ROC curves of </w:t>
      </w:r>
      <w:r>
        <w:rPr>
          <w:rFonts w:ascii="Times New Roman" w:hAnsi="Times New Roman" w:cs="Times New Roman"/>
          <w:kern w:val="2"/>
          <w:szCs w:val="22"/>
        </w:rPr>
        <w:t>these two biomarkers</w:t>
      </w:r>
      <w:r w:rsidRPr="009E3E97">
        <w:rPr>
          <w:rFonts w:ascii="Times New Roman" w:hAnsi="Times New Roman" w:cs="Times New Roman"/>
          <w:kern w:val="2"/>
          <w:szCs w:val="22"/>
        </w:rPr>
        <w:t xml:space="preserve"> in patients who underwent the bronchial provocation test. </w:t>
      </w:r>
      <w:r w:rsidRPr="009E3E97">
        <w:rPr>
          <w:rFonts w:ascii="Times New Roman" w:hAnsi="Times New Roman" w:cs="Times New Roman"/>
          <w:b/>
          <w:kern w:val="2"/>
          <w:szCs w:val="22"/>
        </w:rPr>
        <w:t>(D)</w:t>
      </w:r>
      <w:r w:rsidRPr="009E3E97">
        <w:rPr>
          <w:rFonts w:ascii="Times New Roman" w:hAnsi="Times New Roman" w:cs="Times New Roman"/>
          <w:kern w:val="2"/>
          <w:szCs w:val="22"/>
        </w:rPr>
        <w:t xml:space="preserve"> Comparison of ROC curves of two biomarkers in patients who underwent the bronchial dilation test. (</w:t>
      </w:r>
      <w:r w:rsidRPr="009E3E97">
        <w:rPr>
          <w:rFonts w:ascii="Times New Roman" w:hAnsi="Times New Roman" w:cs="Times New Roman"/>
          <w:b/>
          <w:kern w:val="2"/>
          <w:szCs w:val="22"/>
        </w:rPr>
        <w:t>E)</w:t>
      </w:r>
      <w:r w:rsidRPr="009E3E97">
        <w:rPr>
          <w:rFonts w:ascii="Times New Roman" w:hAnsi="Times New Roman" w:cs="Times New Roman"/>
          <w:kern w:val="2"/>
          <w:szCs w:val="22"/>
        </w:rPr>
        <w:t xml:space="preserve"> Comparison of ROC curves of </w:t>
      </w:r>
      <w:r>
        <w:rPr>
          <w:rFonts w:ascii="Times New Roman" w:hAnsi="Times New Roman" w:cs="Times New Roman"/>
          <w:kern w:val="2"/>
          <w:szCs w:val="22"/>
        </w:rPr>
        <w:t>these two biomarkers</w:t>
      </w:r>
      <w:r w:rsidRPr="009E3E97">
        <w:rPr>
          <w:rFonts w:ascii="Times New Roman" w:hAnsi="Times New Roman" w:cs="Times New Roman"/>
          <w:kern w:val="2"/>
          <w:szCs w:val="22"/>
        </w:rPr>
        <w:t xml:space="preserve"> in women (who hardly smoke). </w:t>
      </w:r>
      <w:r w:rsidRPr="009E3E97">
        <w:rPr>
          <w:rFonts w:ascii="Times New Roman" w:hAnsi="Times New Roman" w:cs="Times New Roman"/>
          <w:b/>
          <w:kern w:val="2"/>
          <w:szCs w:val="22"/>
        </w:rPr>
        <w:t>(F)</w:t>
      </w:r>
      <w:r w:rsidRPr="009E3E97">
        <w:rPr>
          <w:rFonts w:ascii="Times New Roman" w:hAnsi="Times New Roman" w:cs="Times New Roman"/>
          <w:kern w:val="2"/>
          <w:szCs w:val="22"/>
        </w:rPr>
        <w:t xml:space="preserve"> Comparison of ROC curves of </w:t>
      </w:r>
      <w:r>
        <w:rPr>
          <w:rFonts w:ascii="Times New Roman" w:hAnsi="Times New Roman" w:cs="Times New Roman"/>
          <w:kern w:val="2"/>
          <w:szCs w:val="22"/>
        </w:rPr>
        <w:t>these two biomarkers</w:t>
      </w:r>
      <w:r w:rsidRPr="009E3E97">
        <w:rPr>
          <w:rFonts w:ascii="Times New Roman" w:hAnsi="Times New Roman" w:cs="Times New Roman"/>
          <w:kern w:val="2"/>
          <w:szCs w:val="22"/>
        </w:rPr>
        <w:t xml:space="preserve"> in non-obese patients (BMI &lt; 25 kg/m</w:t>
      </w:r>
      <w:r w:rsidRPr="009E3E97">
        <w:rPr>
          <w:rFonts w:ascii="Times New Roman" w:hAnsi="Times New Roman" w:cs="Times New Roman"/>
          <w:kern w:val="2"/>
          <w:szCs w:val="22"/>
          <w:vertAlign w:val="superscript"/>
        </w:rPr>
        <w:t>2</w:t>
      </w:r>
      <w:r w:rsidRPr="009E3E97">
        <w:rPr>
          <w:rFonts w:ascii="Times New Roman" w:hAnsi="Times New Roman" w:cs="Times New Roman"/>
          <w:kern w:val="2"/>
          <w:szCs w:val="22"/>
        </w:rPr>
        <w:t xml:space="preserve">). </w:t>
      </w:r>
      <w:r w:rsidRPr="009E3E97">
        <w:rPr>
          <w:rFonts w:ascii="Times New Roman" w:hAnsi="Times New Roman" w:cs="Times New Roman"/>
          <w:b/>
          <w:kern w:val="2"/>
          <w:szCs w:val="22"/>
        </w:rPr>
        <w:t>Abbreviations</w:t>
      </w:r>
      <w:r w:rsidRPr="009E3E97">
        <w:rPr>
          <w:rFonts w:ascii="Times New Roman" w:hAnsi="Times New Roman" w:cs="Times New Roman"/>
          <w:kern w:val="2"/>
          <w:szCs w:val="22"/>
        </w:rPr>
        <w:t>:</w:t>
      </w:r>
      <w:r w:rsidRPr="009E3E97">
        <w:rPr>
          <w:rFonts w:ascii="Times New Roman" w:hAnsi="Times New Roman" w:cs="Times New Roman"/>
          <w:bCs/>
          <w:kern w:val="2"/>
        </w:rPr>
        <w:t xml:space="preserve"> %B-Eos, percentage of blood eosinophils; BMI, body mass index.</w:t>
      </w:r>
    </w:p>
    <w:p w:rsidR="00B57CF6" w:rsidRDefault="00B57CF6" w:rsidP="00EB6FD3">
      <w:pPr>
        <w:jc w:val="left"/>
        <w:rPr>
          <w:rFonts w:ascii="Times New Roman" w:hAnsi="Times New Roman" w:cs="Times New Roman"/>
          <w:kern w:val="2"/>
          <w:szCs w:val="22"/>
        </w:rPr>
      </w:pPr>
      <w:r w:rsidRPr="009E3E97">
        <w:rPr>
          <w:rFonts w:ascii="Times New Roman" w:hAnsi="Times New Roman" w:cs="Times New Roman"/>
          <w:kern w:val="2"/>
          <w:szCs w:val="22"/>
        </w:rPr>
        <w:t>*Data were analyzed using the Hanley–McNeil non-parametric method.</w:t>
      </w:r>
    </w:p>
    <w:p w:rsidR="00290A6C" w:rsidRDefault="00B57CF6" w:rsidP="00FD0834">
      <w:pPr>
        <w:autoSpaceDE w:val="0"/>
        <w:autoSpaceDN w:val="0"/>
        <w:adjustRightInd w:val="0"/>
      </w:pPr>
      <w:r w:rsidRPr="009E3E97">
        <w:rPr>
          <w:rFonts w:ascii="Times New Roman" w:hAnsi="Times New Roman" w:cs="Times New Roman"/>
          <w:b/>
          <w:kern w:val="2"/>
          <w:szCs w:val="22"/>
        </w:rPr>
        <w:t>Figure S3</w:t>
      </w:r>
      <w:r w:rsidRPr="009E3E97">
        <w:rPr>
          <w:rFonts w:ascii="Times New Roman" w:hAnsi="Times New Roman" w:cs="Times New Roman"/>
          <w:kern w:val="2"/>
          <w:szCs w:val="22"/>
        </w:rPr>
        <w:t xml:space="preserve"> Adjusted odds ratios of having asthma or decreased FEV</w:t>
      </w:r>
      <w:r w:rsidRPr="009E3E97">
        <w:rPr>
          <w:rFonts w:ascii="Times New Roman" w:hAnsi="Times New Roman" w:cs="Times New Roman"/>
          <w:kern w:val="2"/>
          <w:szCs w:val="22"/>
          <w:vertAlign w:val="subscript"/>
        </w:rPr>
        <w:t>1</w:t>
      </w:r>
      <w:r w:rsidRPr="009E3E97">
        <w:rPr>
          <w:rFonts w:ascii="Times New Roman" w:hAnsi="Times New Roman" w:cs="Times New Roman"/>
          <w:kern w:val="2"/>
          <w:szCs w:val="22"/>
        </w:rPr>
        <w:t xml:space="preserve"> in different categories when including patients with incomplete data. </w:t>
      </w:r>
      <w:r w:rsidRPr="009E3E97">
        <w:rPr>
          <w:rFonts w:ascii="Times New Roman" w:hAnsi="Times New Roman" w:cs="Times New Roman"/>
          <w:b/>
          <w:kern w:val="2"/>
          <w:szCs w:val="22"/>
        </w:rPr>
        <w:t xml:space="preserve">(A) </w:t>
      </w:r>
      <w:r w:rsidRPr="009E3E97">
        <w:rPr>
          <w:rFonts w:ascii="Times New Roman" w:hAnsi="Times New Roman" w:cs="Times New Roman"/>
          <w:kern w:val="2"/>
          <w:szCs w:val="22"/>
        </w:rPr>
        <w:t xml:space="preserve">Adjusted odds ratios of having asthma based on progressively increasing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w:t>
      </w:r>
      <w:r w:rsidRPr="009E3E97">
        <w:rPr>
          <w:rFonts w:ascii="Times New Roman" w:hAnsi="Times New Roman" w:cs="Times New Roman"/>
          <w:b/>
          <w:kern w:val="2"/>
          <w:szCs w:val="22"/>
        </w:rPr>
        <w:t>(B)</w:t>
      </w:r>
      <w:r w:rsidRPr="009E3E97">
        <w:rPr>
          <w:rFonts w:ascii="Times New Roman" w:hAnsi="Times New Roman" w:cs="Times New Roman"/>
          <w:kern w:val="2"/>
          <w:szCs w:val="22"/>
        </w:rPr>
        <w:t xml:space="preserve"> Adjusted odds ratios of having asthma based on progressively increasing B-Eos counts. </w:t>
      </w:r>
      <w:r w:rsidRPr="009E3E97">
        <w:rPr>
          <w:rFonts w:ascii="Times New Roman" w:hAnsi="Times New Roman" w:cs="Times New Roman"/>
          <w:b/>
          <w:kern w:val="2"/>
          <w:szCs w:val="22"/>
        </w:rPr>
        <w:t xml:space="preserve">(C) </w:t>
      </w:r>
      <w:r w:rsidRPr="009E3E97">
        <w:rPr>
          <w:rFonts w:ascii="Times New Roman" w:hAnsi="Times New Roman" w:cs="Times New Roman"/>
          <w:kern w:val="2"/>
          <w:szCs w:val="22"/>
        </w:rPr>
        <w:t>Adjusted odds ratios of having decreased FEV</w:t>
      </w:r>
      <w:r w:rsidRPr="009E3E97">
        <w:rPr>
          <w:rFonts w:ascii="Times New Roman" w:hAnsi="Times New Roman" w:cs="Times New Roman"/>
          <w:kern w:val="2"/>
          <w:szCs w:val="22"/>
          <w:vertAlign w:val="subscript"/>
        </w:rPr>
        <w:t>1</w:t>
      </w:r>
      <w:r w:rsidRPr="009E3E97">
        <w:rPr>
          <w:rFonts w:ascii="Times New Roman" w:hAnsi="Times New Roman" w:cs="Times New Roman"/>
          <w:kern w:val="2"/>
          <w:szCs w:val="22"/>
        </w:rPr>
        <w:t xml:space="preserve"> based on progressively increasing </w:t>
      </w:r>
      <w:proofErr w:type="spellStart"/>
      <w:r w:rsidRPr="009E3E97">
        <w:rPr>
          <w:rFonts w:ascii="Times New Roman" w:hAnsi="Times New Roman" w:cs="Times New Roman"/>
          <w:kern w:val="2"/>
          <w:szCs w:val="22"/>
        </w:rPr>
        <w:t>FeNO</w:t>
      </w:r>
      <w:proofErr w:type="spellEnd"/>
      <w:r w:rsidRPr="009E3E97">
        <w:rPr>
          <w:rFonts w:ascii="Times New Roman" w:hAnsi="Times New Roman" w:cs="Times New Roman"/>
          <w:kern w:val="2"/>
          <w:szCs w:val="22"/>
        </w:rPr>
        <w:t xml:space="preserve">. </w:t>
      </w:r>
      <w:r w:rsidRPr="009E3E97">
        <w:rPr>
          <w:rFonts w:ascii="Times New Roman" w:hAnsi="Times New Roman" w:cs="Times New Roman"/>
          <w:b/>
          <w:kern w:val="2"/>
          <w:szCs w:val="22"/>
        </w:rPr>
        <w:t>(D)</w:t>
      </w:r>
      <w:r w:rsidRPr="009E3E97">
        <w:rPr>
          <w:rFonts w:ascii="Times New Roman" w:hAnsi="Times New Roman" w:cs="Times New Roman"/>
          <w:kern w:val="2"/>
          <w:szCs w:val="22"/>
        </w:rPr>
        <w:t xml:space="preserve"> Adjusted odds ratios of having decreased FEV</w:t>
      </w:r>
      <w:r w:rsidRPr="009E3E97">
        <w:rPr>
          <w:rFonts w:ascii="Times New Roman" w:hAnsi="Times New Roman" w:cs="Times New Roman"/>
          <w:kern w:val="2"/>
          <w:szCs w:val="22"/>
          <w:vertAlign w:val="subscript"/>
        </w:rPr>
        <w:t>1</w:t>
      </w:r>
      <w:r w:rsidRPr="009E3E97">
        <w:rPr>
          <w:rFonts w:ascii="Times New Roman" w:hAnsi="Times New Roman" w:cs="Times New Roman"/>
          <w:kern w:val="2"/>
          <w:szCs w:val="22"/>
        </w:rPr>
        <w:t xml:space="preserve"> based on progressively increasing B-Eos counts. </w:t>
      </w:r>
      <w:r w:rsidRPr="009E3E97">
        <w:rPr>
          <w:rFonts w:ascii="Times New Roman" w:hAnsi="Times New Roman" w:cs="Times New Roman"/>
          <w:b/>
          <w:kern w:val="2"/>
          <w:szCs w:val="22"/>
        </w:rPr>
        <w:t>Notes</w:t>
      </w:r>
      <w:r w:rsidRPr="009E3E97">
        <w:rPr>
          <w:rFonts w:ascii="Times New Roman" w:hAnsi="Times New Roman" w:cs="Times New Roman"/>
          <w:kern w:val="2"/>
          <w:szCs w:val="22"/>
        </w:rPr>
        <w:t xml:space="preserve">: Logistic regression models were used. </w:t>
      </w:r>
      <w:r w:rsidRPr="009E3E97">
        <w:rPr>
          <w:rFonts w:ascii="Times New Roman" w:hAnsi="Times New Roman" w:cs="Times New Roman"/>
          <w:i/>
          <w:kern w:val="2"/>
          <w:szCs w:val="22"/>
        </w:rPr>
        <w:t>P</w:t>
      </w:r>
      <w:r w:rsidRPr="009E3E97">
        <w:rPr>
          <w:rFonts w:ascii="Times New Roman" w:hAnsi="Times New Roman" w:cs="Times New Roman"/>
          <w:kern w:val="2"/>
          <w:szCs w:val="22"/>
        </w:rPr>
        <w:t xml:space="preserve"> values were calculated by the Wald test. Estimates were adjusted. The Cochran–Armitage trend test was used to test whether there is a certain trend between two categorical variables. </w:t>
      </w:r>
      <w:r w:rsidRPr="009E3E97">
        <w:rPr>
          <w:rFonts w:ascii="Times New Roman" w:hAnsi="Times New Roman" w:cs="Times New Roman"/>
          <w:b/>
          <w:kern w:val="2"/>
          <w:szCs w:val="22"/>
        </w:rPr>
        <w:t>Abbreviations</w:t>
      </w:r>
      <w:r w:rsidRPr="009E3E97">
        <w:rPr>
          <w:rFonts w:ascii="Times New Roman" w:hAnsi="Times New Roman" w:cs="Times New Roman"/>
          <w:kern w:val="2"/>
          <w:szCs w:val="22"/>
        </w:rPr>
        <w:t>: OR, odds ratio; CI, confidence interval.</w:t>
      </w:r>
    </w:p>
    <w:sectPr w:rsidR="00290A6C" w:rsidSect="00EB6F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B57CF6"/>
    <w:rsid w:val="00290A6C"/>
    <w:rsid w:val="003B0127"/>
    <w:rsid w:val="00786587"/>
    <w:rsid w:val="00912516"/>
    <w:rsid w:val="00B57CF6"/>
    <w:rsid w:val="00C12881"/>
    <w:rsid w:val="00D36CD1"/>
    <w:rsid w:val="00EB6FD3"/>
    <w:rsid w:val="00FD0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7DE19"/>
  <w15:chartTrackingRefBased/>
  <w15:docId w15:val="{B25D13E3-8A3D-49F3-9D48-A1F75165D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7CF6"/>
    <w:pPr>
      <w:widowControl w:val="0"/>
      <w:jc w:val="both"/>
    </w:pPr>
    <w:rPr>
      <w:rFonts w:ascii="Arial" w:eastAsia="宋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sid w:val="00B57CF6"/>
    <w:pPr>
      <w:jc w:val="left"/>
    </w:pPr>
  </w:style>
  <w:style w:type="character" w:customStyle="1" w:styleId="a4">
    <w:name w:val="批注文字 字符"/>
    <w:basedOn w:val="a0"/>
    <w:link w:val="a3"/>
    <w:uiPriority w:val="99"/>
    <w:semiHidden/>
    <w:rsid w:val="00B57CF6"/>
    <w:rPr>
      <w:rFonts w:ascii="Arial" w:eastAsia="宋体" w:hAnsi="Arial"/>
      <w:kern w:val="0"/>
      <w:szCs w:val="21"/>
    </w:rPr>
  </w:style>
  <w:style w:type="paragraph" w:styleId="a5">
    <w:name w:val="footer"/>
    <w:basedOn w:val="a"/>
    <w:link w:val="a6"/>
    <w:uiPriority w:val="99"/>
    <w:unhideWhenUsed/>
    <w:rsid w:val="00B57CF6"/>
    <w:pPr>
      <w:tabs>
        <w:tab w:val="center" w:pos="4153"/>
        <w:tab w:val="right" w:pos="8306"/>
      </w:tabs>
      <w:snapToGrid w:val="0"/>
      <w:jc w:val="left"/>
    </w:pPr>
    <w:rPr>
      <w:sz w:val="18"/>
      <w:szCs w:val="18"/>
    </w:rPr>
  </w:style>
  <w:style w:type="character" w:customStyle="1" w:styleId="a6">
    <w:name w:val="页脚 字符"/>
    <w:basedOn w:val="a0"/>
    <w:link w:val="a5"/>
    <w:uiPriority w:val="99"/>
    <w:rsid w:val="00B57CF6"/>
    <w:rPr>
      <w:rFonts w:ascii="Arial" w:eastAsia="宋体" w:hAnsi="Arial"/>
      <w:kern w:val="0"/>
      <w:sz w:val="18"/>
      <w:szCs w:val="18"/>
    </w:rPr>
  </w:style>
  <w:style w:type="paragraph" w:styleId="a7">
    <w:name w:val="header"/>
    <w:basedOn w:val="a"/>
    <w:link w:val="a8"/>
    <w:uiPriority w:val="99"/>
    <w:unhideWhenUsed/>
    <w:rsid w:val="00B57CF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57CF6"/>
    <w:rPr>
      <w:rFonts w:ascii="Arial" w:eastAsia="宋体" w:hAnsi="Arial"/>
      <w:kern w:val="0"/>
      <w:sz w:val="18"/>
      <w:szCs w:val="18"/>
    </w:rPr>
  </w:style>
  <w:style w:type="paragraph" w:styleId="a9">
    <w:name w:val="Normal (Web)"/>
    <w:basedOn w:val="a"/>
    <w:uiPriority w:val="99"/>
    <w:semiHidden/>
    <w:unhideWhenUsed/>
    <w:rsid w:val="00B57CF6"/>
    <w:pPr>
      <w:widowControl/>
      <w:spacing w:before="100" w:beforeAutospacing="1" w:after="100" w:afterAutospacing="1"/>
      <w:jc w:val="left"/>
    </w:pPr>
    <w:rPr>
      <w:rFonts w:ascii="宋体" w:hAnsi="宋体" w:cs="宋体"/>
      <w:sz w:val="24"/>
      <w:szCs w:val="24"/>
    </w:rPr>
  </w:style>
  <w:style w:type="character" w:styleId="aa">
    <w:name w:val="FollowedHyperlink"/>
    <w:basedOn w:val="a0"/>
    <w:uiPriority w:val="99"/>
    <w:semiHidden/>
    <w:unhideWhenUsed/>
    <w:qFormat/>
    <w:rsid w:val="00B57CF6"/>
    <w:rPr>
      <w:color w:val="954F72" w:themeColor="followedHyperlink"/>
      <w:u w:val="single"/>
    </w:rPr>
  </w:style>
  <w:style w:type="character" w:styleId="ab">
    <w:name w:val="Hyperlink"/>
    <w:basedOn w:val="a0"/>
    <w:uiPriority w:val="99"/>
    <w:unhideWhenUsed/>
    <w:rsid w:val="00B57CF6"/>
    <w:rPr>
      <w:color w:val="0563C1" w:themeColor="hyperlink"/>
      <w:u w:val="single"/>
    </w:rPr>
  </w:style>
  <w:style w:type="character" w:styleId="ac">
    <w:name w:val="annotation reference"/>
    <w:basedOn w:val="a0"/>
    <w:uiPriority w:val="99"/>
    <w:semiHidden/>
    <w:unhideWhenUsed/>
    <w:qFormat/>
    <w:rsid w:val="00B57CF6"/>
    <w:rPr>
      <w:sz w:val="21"/>
      <w:szCs w:val="21"/>
    </w:rPr>
  </w:style>
  <w:style w:type="paragraph" w:styleId="ad">
    <w:name w:val="List Paragraph"/>
    <w:basedOn w:val="a"/>
    <w:uiPriority w:val="34"/>
    <w:qFormat/>
    <w:rsid w:val="00B57CF6"/>
    <w:pPr>
      <w:ind w:firstLineChars="200" w:firstLine="420"/>
    </w:pPr>
  </w:style>
  <w:style w:type="character" w:customStyle="1" w:styleId="transsent">
    <w:name w:val="transsent"/>
    <w:basedOn w:val="a0"/>
    <w:rsid w:val="00B57CF6"/>
  </w:style>
  <w:style w:type="character" w:customStyle="1" w:styleId="result">
    <w:name w:val="result"/>
    <w:basedOn w:val="a0"/>
    <w:rsid w:val="00B57CF6"/>
    <w:rPr>
      <w:color w:val="000080"/>
    </w:rPr>
  </w:style>
  <w:style w:type="character" w:customStyle="1" w:styleId="highlight">
    <w:name w:val="highlight"/>
    <w:basedOn w:val="a0"/>
    <w:rsid w:val="00B57CF6"/>
  </w:style>
  <w:style w:type="character" w:customStyle="1" w:styleId="UnresolvedMention">
    <w:name w:val="Unresolved Mention"/>
    <w:basedOn w:val="a0"/>
    <w:uiPriority w:val="99"/>
    <w:semiHidden/>
    <w:unhideWhenUsed/>
    <w:qFormat/>
    <w:rsid w:val="00B57CF6"/>
    <w:rPr>
      <w:color w:val="605E5C"/>
      <w:shd w:val="clear" w:color="auto" w:fill="E1DFDD"/>
    </w:rPr>
  </w:style>
  <w:style w:type="paragraph" w:styleId="ae">
    <w:name w:val="No Spacing"/>
    <w:uiPriority w:val="1"/>
    <w:qFormat/>
    <w:rsid w:val="00B57CF6"/>
    <w:pPr>
      <w:widowControl w:val="0"/>
      <w:jc w:val="both"/>
    </w:pPr>
    <w:rPr>
      <w:rFonts w:ascii="Arial" w:eastAsia="宋体" w:hAnsi="Arial"/>
      <w:kern w:val="0"/>
      <w:szCs w:val="21"/>
    </w:rPr>
  </w:style>
  <w:style w:type="paragraph" w:customStyle="1" w:styleId="msonormal0">
    <w:name w:val="msonormal"/>
    <w:basedOn w:val="a"/>
    <w:uiPriority w:val="99"/>
    <w:semiHidden/>
    <w:qFormat/>
    <w:rsid w:val="00B57CF6"/>
    <w:pPr>
      <w:widowControl/>
      <w:spacing w:before="100" w:beforeAutospacing="1" w:after="100" w:afterAutospacing="1"/>
      <w:jc w:val="left"/>
    </w:pPr>
    <w:rPr>
      <w:rFonts w:ascii="宋体" w:hAnsi="宋体" w:cs="宋体"/>
      <w:sz w:val="24"/>
      <w:szCs w:val="24"/>
    </w:rPr>
  </w:style>
  <w:style w:type="paragraph" w:customStyle="1" w:styleId="EndNoteBibliographyTitle">
    <w:name w:val="EndNote Bibliography Title"/>
    <w:basedOn w:val="a"/>
    <w:link w:val="EndNoteBibliographyTitle0"/>
    <w:rsid w:val="00B57CF6"/>
    <w:pPr>
      <w:jc w:val="center"/>
    </w:pPr>
    <w:rPr>
      <w:rFonts w:ascii="Times New Roman" w:hAnsi="Times New Roman" w:cs="Times New Roman"/>
      <w:noProof/>
      <w:sz w:val="20"/>
    </w:rPr>
  </w:style>
  <w:style w:type="character" w:customStyle="1" w:styleId="EndNoteBibliographyTitle0">
    <w:name w:val="EndNote Bibliography Title 字符"/>
    <w:basedOn w:val="a0"/>
    <w:link w:val="EndNoteBibliographyTitle"/>
    <w:rsid w:val="00B57CF6"/>
    <w:rPr>
      <w:rFonts w:ascii="Times New Roman" w:eastAsia="宋体" w:hAnsi="Times New Roman" w:cs="Times New Roman"/>
      <w:noProof/>
      <w:kern w:val="0"/>
      <w:sz w:val="20"/>
      <w:szCs w:val="21"/>
    </w:rPr>
  </w:style>
  <w:style w:type="paragraph" w:customStyle="1" w:styleId="EndNoteBibliography">
    <w:name w:val="EndNote Bibliography"/>
    <w:basedOn w:val="a"/>
    <w:link w:val="EndNoteBibliography0"/>
    <w:rsid w:val="00B57CF6"/>
    <w:rPr>
      <w:rFonts w:ascii="Times New Roman" w:hAnsi="Times New Roman" w:cs="Times New Roman"/>
      <w:noProof/>
      <w:sz w:val="20"/>
    </w:rPr>
  </w:style>
  <w:style w:type="character" w:customStyle="1" w:styleId="EndNoteBibliography0">
    <w:name w:val="EndNote Bibliography 字符"/>
    <w:basedOn w:val="a0"/>
    <w:link w:val="EndNoteBibliography"/>
    <w:rsid w:val="00B57CF6"/>
    <w:rPr>
      <w:rFonts w:ascii="Times New Roman" w:eastAsia="宋体" w:hAnsi="Times New Roman" w:cs="Times New Roman"/>
      <w:noProof/>
      <w:kern w:val="0"/>
      <w:sz w:val="20"/>
      <w:szCs w:val="21"/>
    </w:rPr>
  </w:style>
  <w:style w:type="paragraph" w:styleId="af">
    <w:name w:val="Balloon Text"/>
    <w:basedOn w:val="a"/>
    <w:link w:val="af0"/>
    <w:uiPriority w:val="99"/>
    <w:semiHidden/>
    <w:unhideWhenUsed/>
    <w:rsid w:val="00B57CF6"/>
    <w:rPr>
      <w:sz w:val="18"/>
      <w:szCs w:val="18"/>
    </w:rPr>
  </w:style>
  <w:style w:type="character" w:customStyle="1" w:styleId="af0">
    <w:name w:val="批注框文本 字符"/>
    <w:basedOn w:val="a0"/>
    <w:link w:val="af"/>
    <w:uiPriority w:val="99"/>
    <w:semiHidden/>
    <w:rsid w:val="00B57CF6"/>
    <w:rPr>
      <w:rFonts w:ascii="Arial" w:eastAsia="宋体" w:hAnsi="Arial"/>
      <w:kern w:val="0"/>
      <w:sz w:val="18"/>
      <w:szCs w:val="18"/>
    </w:rPr>
  </w:style>
  <w:style w:type="table" w:customStyle="1" w:styleId="Grilledutableau1">
    <w:name w:val="Grille du tableau1"/>
    <w:basedOn w:val="a1"/>
    <w:uiPriority w:val="59"/>
    <w:rsid w:val="00B57CF6"/>
    <w:rPr>
      <w:rFonts w:ascii="Calibri" w:eastAsia="Calibri" w:hAnsi="Calibri" w:cs="Times New Roman"/>
      <w:kern w:val="0"/>
      <w:sz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64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9</Pages>
  <Words>2119</Words>
  <Characters>12079</Characters>
  <Application>Microsoft Office Word</Application>
  <DocSecurity>0</DocSecurity>
  <Lines>100</Lines>
  <Paragraphs>28</Paragraphs>
  <ScaleCrop>false</ScaleCrop>
  <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jianghua</dc:creator>
  <cp:keywords/>
  <dc:description/>
  <cp:lastModifiedBy>jianghua</cp:lastModifiedBy>
  <cp:revision>5</cp:revision>
  <dcterms:created xsi:type="dcterms:W3CDTF">2020-10-05T08:58:00Z</dcterms:created>
  <dcterms:modified xsi:type="dcterms:W3CDTF">2020-10-05T09:56:00Z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Redacted 011</vt:lpwstr>
  </property>
</Properties>
</file>