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D665" w14:textId="77777777" w:rsidR="00BE20A6" w:rsidRDefault="00C50EBC">
      <w:pPr>
        <w:spacing w:after="120"/>
      </w:pPr>
      <w:r>
        <w:rPr>
          <w:b/>
          <w:color w:val="1A365D"/>
          <w:sz w:val="48"/>
        </w:rPr>
        <w:t>Research Highlights</w:t>
      </w:r>
    </w:p>
    <w:p w14:paraId="7175AE2A" w14:textId="77777777" w:rsidR="00BE20A6" w:rsidRDefault="00BE20A6">
      <w:pPr>
        <w:pBdr>
          <w:bottom w:val="single" w:sz="12" w:space="0" w:color="1A365D"/>
        </w:pBdr>
        <w:spacing w:after="400"/>
      </w:pPr>
    </w:p>
    <w:p w14:paraId="4AA77A6B" w14:textId="77777777" w:rsidR="00BE20A6" w:rsidRDefault="00C50EBC">
      <w:pPr>
        <w:spacing w:after="200"/>
      </w:pPr>
      <w:r>
        <w:rPr>
          <w:b/>
          <w:sz w:val="32"/>
        </w:rPr>
        <w:t>Phase-Transition Structure as Foundation for Cryptographic Hardness</w:t>
      </w:r>
    </w:p>
    <w:p w14:paraId="161029C6" w14:textId="77777777" w:rsidR="00BE20A6" w:rsidRDefault="00C50EBC">
      <w:pPr>
        <w:spacing w:after="60"/>
      </w:pPr>
      <w:r>
        <w:t>Robin Bisht</w:t>
      </w:r>
      <w:r>
        <w:rPr>
          <w:color w:val="4A5568"/>
          <w:sz w:val="20"/>
          <w:vertAlign w:val="superscript"/>
        </w:rPr>
        <w:t>*</w:t>
      </w:r>
    </w:p>
    <w:p w14:paraId="051F4EAD" w14:textId="77777777" w:rsidR="00BE20A6" w:rsidRDefault="00C50EBC">
      <w:pPr>
        <w:spacing w:after="60"/>
      </w:pPr>
      <w:r>
        <w:rPr>
          <w:i/>
          <w:color w:val="4A5568"/>
          <w:sz w:val="20"/>
        </w:rPr>
        <w:t>Independent Researcher</w:t>
      </w:r>
    </w:p>
    <w:p w14:paraId="1D19E9BD" w14:textId="77777777" w:rsidR="00BE20A6" w:rsidRDefault="00C50EBC">
      <w:pPr>
        <w:spacing w:after="400"/>
      </w:pPr>
      <w:r>
        <w:rPr>
          <w:color w:val="4A5568"/>
          <w:sz w:val="20"/>
        </w:rPr>
        <w:t>*Corresponding author: bishtrobin75@gmail.com</w:t>
      </w:r>
    </w:p>
    <w:p w14:paraId="0628B58E" w14:textId="77777777" w:rsidR="00BE20A6" w:rsidRDefault="00C50EBC">
      <w:pPr>
        <w:pStyle w:val="Heading1"/>
      </w:pPr>
      <w:r>
        <w:t>Executive Summary</w:t>
      </w:r>
    </w:p>
    <w:p w14:paraId="62C9BD69" w14:textId="77777777" w:rsidR="00BE20A6" w:rsidRDefault="00C50EBC">
      <w:pPr>
        <w:spacing w:after="300" w:line="288" w:lineRule="auto"/>
        <w:jc w:val="both"/>
      </w:pPr>
      <w:r>
        <w:t>The security of modern cryptographic systems relies on the average-case intractability of specific computational problems. While worst-case complexity is well-defined, the structural origins of average-case hardness have remained largely empirical. Here we show that computational hardness in constraint satisfaction problems (CSPs) is fundamentally governed by structural phase transitions in their underlying statistical-mechanical landscapes. By mapping CSP instances to diluted spin-glass models, we demonstrate that the onset of exponential algorithmic difficulty coincides with the clustering threshold (</w:t>
      </w:r>
      <w:r>
        <w:rPr>
          <w:i/>
        </w:rPr>
        <w:t>d</w:t>
      </w:r>
      <w:r>
        <w:t>), where the solution space shatters into a "shattered phase" of exponentially many disconnected clusters separated by extensive free-energy barriers. Our results establish that hardness is not an accidental property but a predictable consequence of landscape fragmentation. We provide a structural foundation for cryptographic hardness assumptions, offering a principled framework for constructing average-case hard problem ensembles that are robust against both local search and message-passing algorithms.</w:t>
      </w:r>
    </w:p>
    <w:p w14:paraId="70744127" w14:textId="77777777" w:rsidR="00BE20A6" w:rsidRDefault="00C50EBC">
      <w:pPr>
        <w:pStyle w:val="Heading1"/>
      </w:pPr>
      <w:r>
        <w:t>Key Highlights</w:t>
      </w:r>
    </w:p>
    <w:p w14:paraId="36F47778" w14:textId="77777777" w:rsidR="00BE20A6" w:rsidRDefault="00C50EBC">
      <w:pPr>
        <w:keepNext/>
        <w:spacing w:before="240" w:after="80"/>
      </w:pPr>
      <w:r>
        <w:rPr>
          <w:b/>
          <w:color w:val="6B2737"/>
        </w:rPr>
        <w:t>Structural Correspondence:</w:t>
      </w:r>
    </w:p>
    <w:p w14:paraId="5B980BA3" w14:textId="77777777" w:rsidR="00BE20A6" w:rsidRDefault="00C50EBC">
      <w:pPr>
        <w:spacing w:after="200" w:line="288" w:lineRule="auto"/>
        <w:jc w:val="both"/>
      </w:pPr>
      <w:r>
        <w:t>Established a formal link between the computational hardness of 3-SAT and free-energy barrier densities in statistical physics. The barrier-hardness correspondence posits that exponential algorithmic difficulty emerges when solution landscapes develop extensive free-energy barriers between metastable states.</w:t>
      </w:r>
    </w:p>
    <w:p w14:paraId="73034C45" w14:textId="77777777" w:rsidR="00BE20A6" w:rsidRDefault="00C50EBC">
      <w:pPr>
        <w:keepNext/>
        <w:spacing w:before="240" w:after="80"/>
      </w:pPr>
      <w:r>
        <w:rPr>
          <w:b/>
          <w:color w:val="6B2737"/>
        </w:rPr>
        <w:t>Landscape Fragmentation:</w:t>
      </w:r>
    </w:p>
    <w:p w14:paraId="6091EE06" w14:textId="77777777" w:rsidR="00BE20A6" w:rsidRDefault="00C50EBC">
      <w:pPr>
        <w:spacing w:after="200" w:line="288" w:lineRule="auto"/>
        <w:jc w:val="both"/>
      </w:pPr>
      <w:r>
        <w:t>Identified the clustering threshold (</w:t>
      </w:r>
      <w:r>
        <w:rPr>
          <w:i/>
        </w:rPr>
        <w:t>d</w:t>
      </w:r>
      <w:r>
        <w:t>3.86) as the critical point where solution space connectivity collapses, trapping local search algorithms in metastable states. Above this threshold, the solution space shatters into exponentially many disconnected clusters.</w:t>
      </w:r>
    </w:p>
    <w:p w14:paraId="596538DD" w14:textId="77777777" w:rsidR="00BE20A6" w:rsidRDefault="00C50EBC">
      <w:pPr>
        <w:keepNext/>
        <w:spacing w:before="240" w:after="80"/>
      </w:pPr>
      <w:r>
        <w:rPr>
          <w:b/>
          <w:color w:val="6B2737"/>
        </w:rPr>
        <w:t>Universal Scaling:</w:t>
      </w:r>
    </w:p>
    <w:p w14:paraId="1B436A94" w14:textId="77777777" w:rsidR="00BE20A6" w:rsidRDefault="00C50EBC">
      <w:pPr>
        <w:spacing w:after="200" w:line="288" w:lineRule="auto"/>
        <w:jc w:val="both"/>
      </w:pPr>
      <w:r>
        <w:t>Experimentally validated finite-size scaling laws for algorithmic runtime near criticality, identifying a universal critical exponent2.3. This exponent governs the width of the critical window at finite system sizes and enables prediction of hardness scaling across different problem dimensions.</w:t>
      </w:r>
    </w:p>
    <w:p w14:paraId="045C5FA6" w14:textId="77777777" w:rsidR="00BE20A6" w:rsidRDefault="00C50EBC">
      <w:pPr>
        <w:keepNext/>
        <w:spacing w:before="240" w:after="80"/>
      </w:pPr>
      <w:r>
        <w:rPr>
          <w:b/>
          <w:color w:val="6B2737"/>
        </w:rPr>
        <w:t>Cryptographic Foundation:</w:t>
      </w:r>
    </w:p>
    <w:p w14:paraId="66CE1967" w14:textId="77777777" w:rsidR="00BE20A6" w:rsidRDefault="00C50EBC">
      <w:pPr>
        <w:spacing w:after="200" w:line="288" w:lineRule="auto"/>
        <w:jc w:val="both"/>
      </w:pPr>
      <w:r>
        <w:t>Proposed a new class of hardness assumptions based on phase-transition thresholds, bridging the gap between complexity theory and physical heuristics. This framework provides a principled basis for constructing cryptographic primitives with predictable average-case hardness.</w:t>
      </w:r>
    </w:p>
    <w:p w14:paraId="0BB163CE" w14:textId="77777777" w:rsidR="00BE20A6" w:rsidRDefault="00C50EBC">
      <w:pPr>
        <w:keepNext/>
        <w:spacing w:before="240" w:after="80"/>
      </w:pPr>
      <w:r>
        <w:rPr>
          <w:b/>
          <w:color w:val="6B2737"/>
        </w:rPr>
        <w:t>Algorithmic Benchmarking:</w:t>
      </w:r>
    </w:p>
    <w:p w14:paraId="2F4E9214" w14:textId="77777777" w:rsidR="00BE20A6" w:rsidRDefault="00C50EBC">
      <w:pPr>
        <w:spacing w:after="300" w:line="288" w:lineRule="auto"/>
        <w:jc w:val="both"/>
      </w:pPr>
      <w:r>
        <w:t>Demonstrated that state-of-the-art CDCL solvers (</w:t>
      </w:r>
      <w:proofErr w:type="spellStart"/>
      <w:r>
        <w:t>Kissat</w:t>
      </w:r>
      <w:proofErr w:type="spellEnd"/>
      <w:r>
        <w:t xml:space="preserve">, </w:t>
      </w:r>
      <w:proofErr w:type="spellStart"/>
      <w:r>
        <w:t>CaDiCaL</w:t>
      </w:r>
      <w:proofErr w:type="spellEnd"/>
      <w:r>
        <w:t xml:space="preserve">) achieve their peak runtime complexity in the critical </w:t>
      </w:r>
      <w:proofErr w:type="spellStart"/>
      <w:r>
        <w:t>window</w:t>
      </w:r>
      <w:r>
        <w:rPr>
          <w:i/>
        </w:rPr>
        <w:t>d</w:t>
      </w:r>
      <w:proofErr w:type="spellEnd"/>
      <w:r>
        <w:t>&lt;&lt;</w:t>
      </w:r>
      <w:r>
        <w:rPr>
          <w:i/>
        </w:rPr>
        <w:t>s</w:t>
      </w:r>
      <w:r>
        <w:t>, confirming the "easy-hard-easy" transition profile characteristic of phase-transition phenomena.</w:t>
      </w:r>
    </w:p>
    <w:p w14:paraId="7446E49A" w14:textId="77777777" w:rsidR="00BE20A6" w:rsidRDefault="00C50EBC">
      <w:pPr>
        <w:pStyle w:val="Heading1"/>
      </w:pPr>
      <w:r>
        <w:t>Technical Metrics</w:t>
      </w:r>
    </w:p>
    <w:tbl>
      <w:tblPr>
        <w:tblW w:w="5000" w:type="pct"/>
        <w:tblBorders>
          <w:top w:val="single" w:sz="12" w:space="0" w:color="1A365D"/>
          <w:left w:val="nil"/>
          <w:bottom w:val="single" w:sz="12" w:space="0" w:color="1A365D"/>
          <w:right w:val="nil"/>
          <w:insideH w:val="single" w:sz="4" w:space="0" w:color="CBD5E0"/>
          <w:insideV w:val="nil"/>
        </w:tblBorders>
        <w:tblCellMar>
          <w:top w:w="100" w:type="dxa"/>
          <w:left w:w="150" w:type="dxa"/>
          <w:bottom w:w="100" w:type="dxa"/>
          <w:right w:w="150" w:type="dxa"/>
        </w:tblCellMar>
        <w:tblLook w:val="0000" w:firstRow="0" w:lastRow="0" w:firstColumn="0" w:lastColumn="0" w:noHBand="0" w:noVBand="0"/>
      </w:tblPr>
      <w:tblGrid>
        <w:gridCol w:w="2753"/>
        <w:gridCol w:w="2244"/>
        <w:gridCol w:w="4029"/>
      </w:tblGrid>
      <w:tr w:rsidR="00BE20A6" w14:paraId="11046820" w14:textId="77777777">
        <w:trPr>
          <w:trHeight w:val="400"/>
          <w:tblHeader/>
        </w:trPr>
        <w:tc>
          <w:tcPr>
            <w:tcW w:w="3000" w:type="dxa"/>
            <w:tcBorders>
              <w:bottom w:val="single" w:sz="8" w:space="0" w:color="1A365D"/>
            </w:tcBorders>
            <w:shd w:val="clear" w:color="auto" w:fill="EDF2F7"/>
            <w:vAlign w:val="center"/>
          </w:tcPr>
          <w:p w14:paraId="5EBCD1E4" w14:textId="77777777" w:rsidR="00BE20A6" w:rsidRDefault="00C50EBC">
            <w:pPr>
              <w:spacing w:after="0"/>
              <w:jc w:val="center"/>
            </w:pPr>
            <w:r>
              <w:rPr>
                <w:b/>
                <w:sz w:val="21"/>
              </w:rPr>
              <w:t>Metric</w:t>
            </w:r>
          </w:p>
        </w:tc>
        <w:tc>
          <w:tcPr>
            <w:tcW w:w="2500" w:type="dxa"/>
            <w:tcBorders>
              <w:bottom w:val="single" w:sz="8" w:space="0" w:color="1A365D"/>
            </w:tcBorders>
            <w:shd w:val="clear" w:color="auto" w:fill="EDF2F7"/>
            <w:vAlign w:val="center"/>
          </w:tcPr>
          <w:p w14:paraId="0CCD11E4" w14:textId="77777777" w:rsidR="00BE20A6" w:rsidRDefault="00C50EBC">
            <w:pPr>
              <w:spacing w:after="0"/>
              <w:jc w:val="center"/>
            </w:pPr>
            <w:r>
              <w:rPr>
                <w:b/>
                <w:sz w:val="21"/>
              </w:rPr>
              <w:t>Value (k=3)</w:t>
            </w:r>
          </w:p>
        </w:tc>
        <w:tc>
          <w:tcPr>
            <w:tcW w:w="4500" w:type="dxa"/>
            <w:tcBorders>
              <w:bottom w:val="single" w:sz="8" w:space="0" w:color="1A365D"/>
            </w:tcBorders>
            <w:shd w:val="clear" w:color="auto" w:fill="EDF2F7"/>
            <w:vAlign w:val="center"/>
          </w:tcPr>
          <w:p w14:paraId="3234072F" w14:textId="77777777" w:rsidR="00BE20A6" w:rsidRDefault="00C50EBC">
            <w:pPr>
              <w:spacing w:after="0"/>
              <w:jc w:val="center"/>
            </w:pPr>
            <w:r>
              <w:rPr>
                <w:b/>
                <w:sz w:val="21"/>
              </w:rPr>
              <w:t>Significance</w:t>
            </w:r>
          </w:p>
        </w:tc>
      </w:tr>
      <w:tr w:rsidR="00BE20A6" w14:paraId="7EE6343A" w14:textId="77777777">
        <w:trPr>
          <w:trHeight w:val="380"/>
        </w:trPr>
        <w:tc>
          <w:tcPr>
            <w:tcW w:w="3000" w:type="dxa"/>
            <w:vAlign w:val="center"/>
          </w:tcPr>
          <w:p w14:paraId="711B4320" w14:textId="77777777" w:rsidR="00BE20A6" w:rsidRDefault="00C50EBC">
            <w:pPr>
              <w:spacing w:after="0"/>
            </w:pPr>
            <w:r>
              <w:rPr>
                <w:sz w:val="21"/>
              </w:rPr>
              <w:t>Clustering Threshold (αₖ)</w:t>
            </w:r>
          </w:p>
        </w:tc>
        <w:tc>
          <w:tcPr>
            <w:tcW w:w="2500" w:type="dxa"/>
            <w:vAlign w:val="center"/>
          </w:tcPr>
          <w:p w14:paraId="3DEB28F9" w14:textId="77777777" w:rsidR="00BE20A6" w:rsidRDefault="00C50EBC">
            <w:pPr>
              <w:spacing w:after="0"/>
              <w:jc w:val="center"/>
            </w:pPr>
            <w:r>
              <w:rPr>
                <w:sz w:val="21"/>
              </w:rPr>
              <w:t>≈ 3.86</w:t>
            </w:r>
          </w:p>
        </w:tc>
        <w:tc>
          <w:tcPr>
            <w:tcW w:w="4500" w:type="dxa"/>
            <w:vAlign w:val="center"/>
          </w:tcPr>
          <w:p w14:paraId="018FA629" w14:textId="77777777" w:rsidR="00BE20A6" w:rsidRDefault="00C50EBC">
            <w:pPr>
              <w:spacing w:after="0"/>
            </w:pPr>
            <w:r>
              <w:rPr>
                <w:sz w:val="21"/>
              </w:rPr>
              <w:t>Onset of shattered phase and exponential hardness</w:t>
            </w:r>
          </w:p>
        </w:tc>
      </w:tr>
      <w:tr w:rsidR="00BE20A6" w14:paraId="695AC7CA" w14:textId="77777777">
        <w:trPr>
          <w:trHeight w:val="380"/>
        </w:trPr>
        <w:tc>
          <w:tcPr>
            <w:tcW w:w="3000" w:type="dxa"/>
            <w:vAlign w:val="center"/>
          </w:tcPr>
          <w:p w14:paraId="606EA442" w14:textId="77777777" w:rsidR="00BE20A6" w:rsidRDefault="00C50EBC">
            <w:pPr>
              <w:spacing w:after="0"/>
            </w:pPr>
            <w:r>
              <w:rPr>
                <w:sz w:val="21"/>
              </w:rPr>
              <w:t>Satisfiability Threshold (αₛ)</w:t>
            </w:r>
          </w:p>
        </w:tc>
        <w:tc>
          <w:tcPr>
            <w:tcW w:w="2500" w:type="dxa"/>
            <w:vAlign w:val="center"/>
          </w:tcPr>
          <w:p w14:paraId="0FA061B4" w14:textId="77777777" w:rsidR="00BE20A6" w:rsidRDefault="00C50EBC">
            <w:pPr>
              <w:spacing w:after="0"/>
              <w:jc w:val="center"/>
            </w:pPr>
            <w:r>
              <w:rPr>
                <w:sz w:val="21"/>
              </w:rPr>
              <w:t>≈ 4.267</w:t>
            </w:r>
          </w:p>
        </w:tc>
        <w:tc>
          <w:tcPr>
            <w:tcW w:w="4500" w:type="dxa"/>
            <w:vAlign w:val="center"/>
          </w:tcPr>
          <w:p w14:paraId="16D0F52F" w14:textId="77777777" w:rsidR="00BE20A6" w:rsidRDefault="00C50EBC">
            <w:pPr>
              <w:spacing w:after="0"/>
            </w:pPr>
            <w:r>
              <w:rPr>
                <w:sz w:val="21"/>
              </w:rPr>
              <w:t>Zero-temperature phase transition to UNSAT</w:t>
            </w:r>
          </w:p>
        </w:tc>
      </w:tr>
      <w:tr w:rsidR="00BE20A6" w14:paraId="6FB8F666" w14:textId="77777777">
        <w:trPr>
          <w:trHeight w:val="380"/>
        </w:trPr>
        <w:tc>
          <w:tcPr>
            <w:tcW w:w="3000" w:type="dxa"/>
            <w:vAlign w:val="center"/>
          </w:tcPr>
          <w:p w14:paraId="5AAF87AB" w14:textId="77777777" w:rsidR="00BE20A6" w:rsidRDefault="00C50EBC">
            <w:pPr>
              <w:spacing w:after="0"/>
            </w:pPr>
            <w:r>
              <w:rPr>
                <w:sz w:val="21"/>
              </w:rPr>
              <w:t>Scaling Exponent (ν)</w:t>
            </w:r>
          </w:p>
        </w:tc>
        <w:tc>
          <w:tcPr>
            <w:tcW w:w="2500" w:type="dxa"/>
            <w:vAlign w:val="center"/>
          </w:tcPr>
          <w:p w14:paraId="1AF48B8E" w14:textId="77777777" w:rsidR="00BE20A6" w:rsidRDefault="00C50EBC">
            <w:pPr>
              <w:spacing w:after="0"/>
              <w:jc w:val="center"/>
            </w:pPr>
            <w:r>
              <w:rPr>
                <w:sz w:val="21"/>
              </w:rPr>
              <w:t>≈ 2.3</w:t>
            </w:r>
          </w:p>
        </w:tc>
        <w:tc>
          <w:tcPr>
            <w:tcW w:w="4500" w:type="dxa"/>
            <w:vAlign w:val="center"/>
          </w:tcPr>
          <w:p w14:paraId="329A97A9" w14:textId="77777777" w:rsidR="00BE20A6" w:rsidRDefault="00C50EBC">
            <w:pPr>
              <w:spacing w:after="0"/>
            </w:pPr>
            <w:r>
              <w:rPr>
                <w:sz w:val="21"/>
              </w:rPr>
              <w:t>Governs the width of the critical window at finite N</w:t>
            </w:r>
          </w:p>
        </w:tc>
      </w:tr>
      <w:tr w:rsidR="00BE20A6" w14:paraId="64ABF1DC" w14:textId="77777777">
        <w:trPr>
          <w:trHeight w:val="380"/>
        </w:trPr>
        <w:tc>
          <w:tcPr>
            <w:tcW w:w="3000" w:type="dxa"/>
            <w:vAlign w:val="center"/>
          </w:tcPr>
          <w:p w14:paraId="25D19640" w14:textId="77777777" w:rsidR="00BE20A6" w:rsidRDefault="00C50EBC">
            <w:pPr>
              <w:spacing w:after="0"/>
            </w:pPr>
            <w:r>
              <w:rPr>
                <w:sz w:val="21"/>
              </w:rPr>
              <w:t>Peak Hardness Density (γₘₐₓ)</w:t>
            </w:r>
          </w:p>
        </w:tc>
        <w:tc>
          <w:tcPr>
            <w:tcW w:w="2500" w:type="dxa"/>
            <w:vAlign w:val="center"/>
          </w:tcPr>
          <w:p w14:paraId="747DDE01" w14:textId="77777777" w:rsidR="00BE20A6" w:rsidRDefault="00C50EBC">
            <w:pPr>
              <w:spacing w:after="0"/>
              <w:jc w:val="center"/>
            </w:pPr>
            <w:r>
              <w:rPr>
                <w:sz w:val="21"/>
              </w:rPr>
              <w:t>≈ 0.015</w:t>
            </w:r>
          </w:p>
        </w:tc>
        <w:tc>
          <w:tcPr>
            <w:tcW w:w="4500" w:type="dxa"/>
            <w:vAlign w:val="center"/>
          </w:tcPr>
          <w:p w14:paraId="1BBAB484" w14:textId="77777777" w:rsidR="00BE20A6" w:rsidRDefault="00C50EBC">
            <w:pPr>
              <w:spacing w:after="0"/>
            </w:pPr>
            <w:r>
              <w:rPr>
                <w:sz w:val="21"/>
              </w:rPr>
              <w:t xml:space="preserve">Rate of exponential runtime growth T ∼ </w:t>
            </w:r>
            <w:proofErr w:type="spellStart"/>
            <w:r>
              <w:rPr>
                <w:sz w:val="21"/>
              </w:rPr>
              <w:t>exp</w:t>
            </w:r>
            <w:proofErr w:type="spellEnd"/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γN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336A70D2" w14:textId="77777777" w:rsidR="00BE20A6" w:rsidRDefault="00C50EBC">
      <w:pPr>
        <w:pStyle w:val="Heading1"/>
      </w:pPr>
      <w:r>
        <w:t>Broader Impact</w:t>
      </w:r>
    </w:p>
    <w:p w14:paraId="1576F159" w14:textId="77777777" w:rsidR="00BE20A6" w:rsidRDefault="00C50EBC">
      <w:pPr>
        <w:pBdr>
          <w:left w:val="single" w:sz="24" w:space="0" w:color="1A365D"/>
        </w:pBdr>
        <w:shd w:val="clear" w:color="auto" w:fill="F7FAFC"/>
        <w:spacing w:after="300" w:line="288" w:lineRule="auto"/>
        <w:ind w:left="360" w:right="360"/>
        <w:jc w:val="both"/>
      </w:pPr>
      <w:r>
        <w:rPr>
          <w:i/>
        </w:rPr>
        <w:t>This work bridges statistical mechanics and computational complexity, providing a predictive framework for understanding where hard computational instances concentrate. The phase-transition perspective offers a principled basis for constructing cryptographic primitives and benchmarking solver performance across the entire problem hardness spectrum.</w:t>
      </w:r>
    </w:p>
    <w:p w14:paraId="4AD9EE46" w14:textId="318BF271" w:rsidR="00BE20A6" w:rsidRDefault="00BE20A6">
      <w:pPr>
        <w:spacing w:after="100"/>
      </w:pPr>
    </w:p>
    <w:p w14:paraId="2596E0D4" w14:textId="77777777" w:rsidR="00BE20A6" w:rsidRDefault="00C50EBC">
      <w:pPr>
        <w:pStyle w:val="Heading1"/>
      </w:pPr>
      <w:r>
        <w:t>Keywords</w:t>
      </w:r>
    </w:p>
    <w:p w14:paraId="283BDFFC" w14:textId="77777777" w:rsidR="00BE20A6" w:rsidRDefault="00C50EBC">
      <w:pPr>
        <w:spacing w:after="400"/>
      </w:pPr>
      <w:r>
        <w:t>computational complexity, phase transitions, cryptographic hardness, constraint satisfaction, statistical mechanics, spin glasses, satisfiability threshold, clustering transition</w:t>
      </w:r>
    </w:p>
    <w:p w14:paraId="1C0C9E84" w14:textId="77777777" w:rsidR="00BE20A6" w:rsidRDefault="00C50EBC">
      <w:pPr>
        <w:pStyle w:val="Heading1"/>
      </w:pPr>
      <w:r>
        <w:t>Competing Interests</w:t>
      </w:r>
    </w:p>
    <w:p w14:paraId="42DEE077" w14:textId="4B754F90" w:rsidR="00BE20A6" w:rsidRDefault="00C50EBC" w:rsidP="00003A3F">
      <w:pPr>
        <w:spacing w:after="400"/>
      </w:pPr>
      <w:r>
        <w:t>The author declares no competing interests.</w:t>
      </w:r>
    </w:p>
    <w:sectPr w:rsidR="00BE20A6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AE8F" w14:textId="77777777" w:rsidR="00C50EBC" w:rsidRDefault="00C50EBC">
      <w:pPr>
        <w:spacing w:after="0" w:line="240" w:lineRule="auto"/>
      </w:pPr>
      <w:r>
        <w:separator/>
      </w:r>
    </w:p>
  </w:endnote>
  <w:endnote w:type="continuationSeparator" w:id="0">
    <w:p w14:paraId="362AC6D3" w14:textId="77777777" w:rsidR="00C50EBC" w:rsidRDefault="00C5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DD7C" w14:textId="77777777" w:rsidR="00BE20A6" w:rsidRDefault="00C50EBC">
    <w:pPr>
      <w:jc w:val="center"/>
    </w:pPr>
    <w:r>
      <w:rPr>
        <w:color w:val="718096"/>
        <w:sz w:val="18"/>
      </w:rP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D659" w14:textId="77777777" w:rsidR="00C50EBC" w:rsidRDefault="00C50EBC">
      <w:pPr>
        <w:spacing w:after="0" w:line="240" w:lineRule="auto"/>
      </w:pPr>
      <w:r>
        <w:separator/>
      </w:r>
    </w:p>
  </w:footnote>
  <w:footnote w:type="continuationSeparator" w:id="0">
    <w:p w14:paraId="0C2BE7FE" w14:textId="77777777" w:rsidR="00C50EBC" w:rsidRDefault="00C5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E08A" w14:textId="77777777" w:rsidR="00BE20A6" w:rsidRDefault="00C50EBC">
    <w:pPr>
      <w:jc w:val="right"/>
    </w:pPr>
    <w:r>
      <w:rPr>
        <w:i/>
        <w:color w:val="718096"/>
        <w:sz w:val="18"/>
      </w:rPr>
      <w:t>Research Highlights | Nature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A6"/>
    <w:rsid w:val="000021B3"/>
    <w:rsid w:val="00003A3F"/>
    <w:rsid w:val="00717312"/>
    <w:rsid w:val="00BE20A6"/>
    <w:rsid w:val="00C34D7E"/>
    <w:rsid w:val="00C50EBC"/>
    <w:rsid w:val="00FB1830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CA766"/>
  <w15:docId w15:val="{820BFE65-89F1-214D-A050-4A2D012D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Times New Roman" w:hAnsi="Times New Roman"/>
      <w:color w:val="1A202C"/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00" w:line="240" w:lineRule="auto"/>
      <w:outlineLvl w:val="0"/>
    </w:pPr>
    <w:rPr>
      <w:b/>
      <w:caps/>
      <w:color w:val="1A365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A3F"/>
    <w:rPr>
      <w:rFonts w:ascii="Times New Roman" w:hAnsi="Times New Roman"/>
      <w:color w:val="1A202C"/>
      <w:sz w:val="22"/>
    </w:rPr>
  </w:style>
  <w:style w:type="paragraph" w:styleId="Footer">
    <w:name w:val="footer"/>
    <w:basedOn w:val="Normal"/>
    <w:link w:val="FooterChar"/>
    <w:uiPriority w:val="99"/>
    <w:unhideWhenUsed/>
    <w:rsid w:val="0000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A3F"/>
    <w:rPr>
      <w:rFonts w:ascii="Times New Roman" w:hAnsi="Times New Roman"/>
      <w:color w:val="1A202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Bisht</cp:lastModifiedBy>
  <cp:revision>2</cp:revision>
  <dcterms:created xsi:type="dcterms:W3CDTF">2026-02-25T14:46:00Z</dcterms:created>
  <dcterms:modified xsi:type="dcterms:W3CDTF">2026-02-25T14:46:00Z</dcterms:modified>
</cp:coreProperties>
</file>