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A6F2" w14:textId="77777777" w:rsidR="00DA5A18" w:rsidRPr="003E35EB" w:rsidRDefault="00000000">
      <w:pPr>
        <w:spacing w:after="160" w:line="360" w:lineRule="auto"/>
        <w:jc w:val="both"/>
        <w:rPr>
          <w:b/>
          <w:color w:val="747474" w:themeColor="background2" w:themeShade="80"/>
        </w:rPr>
      </w:pPr>
      <w:r w:rsidRPr="003E35EB">
        <w:rPr>
          <w:b/>
          <w:color w:val="747474" w:themeColor="background2" w:themeShade="80"/>
        </w:rPr>
        <w:t>SUPPLEMENTARY INFORMATION OF ARTICLE</w:t>
      </w:r>
    </w:p>
    <w:p w14:paraId="09918C19" w14:textId="0F392BFF" w:rsidR="00DA5A18" w:rsidRDefault="00C45BF2">
      <w:pPr>
        <w:spacing w:after="200"/>
        <w:rPr>
          <w:sz w:val="36"/>
        </w:rPr>
      </w:pPr>
      <w:r>
        <w:rPr>
          <w:b/>
          <w:sz w:val="36"/>
        </w:rPr>
        <w:t>Domain-agnostic multiplicative stress framework for systemic collapse</w:t>
      </w:r>
    </w:p>
    <w:p w14:paraId="2FB84AD0" w14:textId="77777777" w:rsidR="00DA5A18" w:rsidRDefault="00000000">
      <w:pPr>
        <w:spacing w:after="160" w:line="360" w:lineRule="auto"/>
        <w:jc w:val="both"/>
        <w:rPr>
          <w:sz w:val="20"/>
        </w:rPr>
      </w:pPr>
      <w:r>
        <w:rPr>
          <w:sz w:val="20"/>
        </w:rPr>
        <w:t>Junwon Lee¹*</w:t>
      </w:r>
    </w:p>
    <w:p w14:paraId="4C1ADC16" w14:textId="77777777" w:rsidR="00DA5A18" w:rsidRDefault="00000000" w:rsidP="003E35EB">
      <w:pPr>
        <w:spacing w:after="120" w:line="360" w:lineRule="auto"/>
        <w:jc w:val="both"/>
        <w:rPr>
          <w:sz w:val="20"/>
        </w:rPr>
      </w:pPr>
      <w:r>
        <w:rPr>
          <w:i/>
          <w:sz w:val="20"/>
        </w:rPr>
        <w:t>¹ Department of Public Administration, Dankook University, Republic of Korea</w:t>
      </w:r>
    </w:p>
    <w:p w14:paraId="3D7A1F9E" w14:textId="731DEB21" w:rsidR="00DA5A18" w:rsidRDefault="00000000" w:rsidP="003E35EB">
      <w:pPr>
        <w:spacing w:after="120" w:line="360" w:lineRule="auto"/>
        <w:jc w:val="both"/>
        <w:rPr>
          <w:i/>
          <w:sz w:val="20"/>
        </w:rPr>
      </w:pPr>
      <w:r>
        <w:rPr>
          <w:i/>
          <w:sz w:val="20"/>
        </w:rPr>
        <w:t xml:space="preserve">* Corresponding author: </w:t>
      </w:r>
      <w:proofErr w:type="spellStart"/>
      <w:r>
        <w:rPr>
          <w:i/>
          <w:sz w:val="20"/>
        </w:rPr>
        <w:t>Junwon</w:t>
      </w:r>
      <w:proofErr w:type="spellEnd"/>
      <w:r>
        <w:rPr>
          <w:i/>
          <w:sz w:val="20"/>
        </w:rPr>
        <w:t xml:space="preserve"> Lee (</w:t>
      </w:r>
      <w:hyperlink r:id="rId7" w:history="1">
        <w:r w:rsidR="00DA5A18">
          <w:rPr>
            <w:rStyle w:val="ab"/>
            <w:i/>
            <w:sz w:val="20"/>
          </w:rPr>
          <w:t>herrang0311@dankook.ac.kr</w:t>
        </w:r>
      </w:hyperlink>
      <w:r>
        <w:rPr>
          <w:i/>
          <w:sz w:val="20"/>
        </w:rPr>
        <w:t>)</w:t>
      </w:r>
    </w:p>
    <w:p w14:paraId="5A1781D8" w14:textId="77777777" w:rsidR="00D91441" w:rsidRDefault="00D91441"/>
    <w:p w14:paraId="74E6A211" w14:textId="77777777" w:rsidR="00DA5A18" w:rsidRDefault="00DA5A18"/>
    <w:p w14:paraId="3BA4F675" w14:textId="525FE5DA"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1. </w:t>
      </w:r>
      <w:r>
        <w:rPr>
          <w:rFonts w:ascii="Times New Roman" w:eastAsia="Times New Roman" w:hAnsi="Times New Roman" w:cs="Times New Roman"/>
        </w:rPr>
        <w:t xml:space="preserve">P-limit sensitivity analysis. Separation ratios are analytically invariant to P-limit choice: </w:t>
      </w:r>
      <w:r w:rsidR="004167C4">
        <w:rPr>
          <w:rFonts w:ascii="Times New Roman" w:eastAsia="Times New Roman" w:hAnsi="Times New Roman" w:cs="Times New Roman"/>
        </w:rPr>
        <w:t xml:space="preserve">as </w:t>
      </w:r>
      <w:r>
        <w:rPr>
          <w:rFonts w:ascii="Times New Roman" w:eastAsia="Times New Roman" w:hAnsi="Times New Roman" w:cs="Times New Roman"/>
        </w:rPr>
        <w:t xml:space="preserve">P-limits enter as common scaling factors in both crisis and control Π, they cancel exactly in the ratio. This invariance confirms that the </w:t>
      </w:r>
      <w:r w:rsidR="00C45BF2">
        <w:rPr>
          <w:rFonts w:ascii="Times New Roman" w:eastAsia="Times New Roman" w:hAnsi="Times New Roman" w:cs="Times New Roman"/>
        </w:rPr>
        <w:t xml:space="preserve">discriminative power of the </w:t>
      </w:r>
      <w:r>
        <w:rPr>
          <w:rFonts w:ascii="Times New Roman" w:eastAsia="Times New Roman" w:hAnsi="Times New Roman" w:cs="Times New Roman"/>
        </w:rPr>
        <w:t>framework depends entirely on the temporal co</w:t>
      </w:r>
      <w:r w:rsidR="004C33EC">
        <w:rPr>
          <w:rFonts w:ascii="Times New Roman" w:eastAsia="Times New Roman" w:hAnsi="Times New Roman" w:cs="Times New Roman"/>
        </w:rPr>
        <w:t>-</w:t>
      </w:r>
      <w:r>
        <w:rPr>
          <w:rFonts w:ascii="Times New Roman" w:eastAsia="Times New Roman" w:hAnsi="Times New Roman" w:cs="Times New Roman"/>
        </w:rPr>
        <w:t>movement structure of ρ, Ψ, and Ω, not on normalization parameters.</w:t>
      </w:r>
    </w:p>
    <w:p w14:paraId="22EBB769" w14:textId="1DBF1BB3"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2. </w:t>
      </w:r>
      <w:r>
        <w:rPr>
          <w:rFonts w:ascii="Times New Roman" w:eastAsia="Times New Roman" w:hAnsi="Times New Roman" w:cs="Times New Roman"/>
        </w:rPr>
        <w:t>Variable perturbation robustness. Gaussian noise (10–50% SD) was added to the 2008 case components. Separation varied from 18.4 to 19.2× (baseline 18.6×) with less than 4% deviation.</w:t>
      </w:r>
    </w:p>
    <w:p w14:paraId="6BE22822" w14:textId="54FAD5B2"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3. </w:t>
      </w:r>
      <w:proofErr w:type="spellStart"/>
      <w:r>
        <w:rPr>
          <w:rFonts w:ascii="Times New Roman" w:eastAsia="Times New Roman" w:hAnsi="Times New Roman" w:cs="Times New Roman"/>
        </w:rPr>
        <w:t>Nonredundancy</w:t>
      </w:r>
      <w:proofErr w:type="spellEnd"/>
      <w:r>
        <w:rPr>
          <w:rFonts w:ascii="Times New Roman" w:eastAsia="Times New Roman" w:hAnsi="Times New Roman" w:cs="Times New Roman"/>
        </w:rPr>
        <w:t xml:space="preserve"> verification. Pairwise Pearson correlations during stable periods. Four of the five cases satisfied the condition |r| &lt; 0.7. Supply Chain: r(</w:t>
      </w:r>
      <w:proofErr w:type="spellStart"/>
      <w:proofErr w:type="gramStart"/>
      <w:r>
        <w:rPr>
          <w:rFonts w:ascii="Times New Roman" w:eastAsia="Times New Roman" w:hAnsi="Times New Roman" w:cs="Times New Roman"/>
        </w:rPr>
        <w:t>ρ,Ω</w:t>
      </w:r>
      <w:proofErr w:type="spellEnd"/>
      <w:proofErr w:type="gramEnd"/>
      <w:r>
        <w:rPr>
          <w:rFonts w:ascii="Times New Roman" w:eastAsia="Times New Roman" w:hAnsi="Times New Roman" w:cs="Times New Roman"/>
        </w:rPr>
        <w:t>) = 0.952.</w:t>
      </w:r>
    </w:p>
    <w:p w14:paraId="324DB80D" w14:textId="51BDDC05"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4. </w:t>
      </w:r>
      <w:r>
        <w:rPr>
          <w:rFonts w:ascii="Times New Roman" w:eastAsia="Times New Roman" w:hAnsi="Times New Roman" w:cs="Times New Roman"/>
        </w:rPr>
        <w:t>Channel ablation benchmark. Separation ratios (crisis Π / control Π) for nine stress definitions across five domains. Single-channel: ρ only (2008: 2.6×, Terra</w:t>
      </w:r>
      <w:r w:rsidR="004167C4">
        <w:rPr>
          <w:rFonts w:ascii="Times New Roman" w:eastAsia="Times New Roman" w:hAnsi="Times New Roman" w:cs="Times New Roman"/>
        </w:rPr>
        <w:t>–</w:t>
      </w:r>
      <w:r>
        <w:rPr>
          <w:rFonts w:ascii="Times New Roman" w:eastAsia="Times New Roman" w:hAnsi="Times New Roman" w:cs="Times New Roman"/>
        </w:rPr>
        <w:t>Luna: 1.</w:t>
      </w:r>
      <w:r w:rsidR="00ED6D94">
        <w:rPr>
          <w:rFonts w:ascii="Times New Roman" w:eastAsia="Times New Roman" w:hAnsi="Times New Roman" w:cs="Times New Roman" w:hint="eastAsia"/>
        </w:rPr>
        <w:t>6</w:t>
      </w:r>
      <w:r>
        <w:rPr>
          <w:rFonts w:ascii="Times New Roman" w:eastAsia="Times New Roman" w:hAnsi="Times New Roman" w:cs="Times New Roman"/>
        </w:rPr>
        <w:t>×, Fukushima: 1.9×, COVID-19: 647.1×, Supply Chain: 1.8×); Ψ only (5.4×, 1.8×, 2.0×, 2.1×, 11.7×); Ω only (2.1×, 1.9×, 1.8×, 1.7×, 6.3×). Dual-channel: ρ</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Ψ (14.4×, 1.8×, 2.1×, 1,703.2×, 5.8×); ρ</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Ω (3.2×, 1.7×, 1.9×, 1,346.1×, 2.0×); Ψ</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Ω (6.8×, 1.9×, 2.1×, 3.1×, 34.5×). Triple-channel: ρ</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Ψ</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Ω (2.7×, 1.8×, 1.9×, 11.0×, 7.</w:t>
      </w:r>
      <w:r w:rsidR="00ED6D94">
        <w:rPr>
          <w:rFonts w:ascii="Times New Roman" w:eastAsia="Times New Roman" w:hAnsi="Times New Roman" w:cs="Times New Roman" w:hint="eastAsia"/>
        </w:rPr>
        <w:t>1</w:t>
      </w:r>
      <w:r>
        <w:rPr>
          <w:rFonts w:ascii="Times New Roman" w:eastAsia="Times New Roman" w:hAnsi="Times New Roman" w:cs="Times New Roman"/>
        </w:rPr>
        <w:t>×); max(</w:t>
      </w:r>
      <w:proofErr w:type="spellStart"/>
      <w:proofErr w:type="gramStart"/>
      <w:r>
        <w:rPr>
          <w:rFonts w:ascii="Times New Roman" w:eastAsia="Times New Roman" w:hAnsi="Times New Roman" w:cs="Times New Roman"/>
        </w:rPr>
        <w:t>ρ,Ψ</w:t>
      </w:r>
      <w:proofErr w:type="gramEnd"/>
      <w:r>
        <w:rPr>
          <w:rFonts w:ascii="Times New Roman" w:eastAsia="Times New Roman" w:hAnsi="Times New Roman" w:cs="Times New Roman"/>
        </w:rPr>
        <w:t>,Ω</w:t>
      </w:r>
      <w:proofErr w:type="spellEnd"/>
      <w:r>
        <w:rPr>
          <w:rFonts w:ascii="Times New Roman" w:eastAsia="Times New Roman" w:hAnsi="Times New Roman" w:cs="Times New Roman"/>
        </w:rPr>
        <w:t>) (2.6×, 1.9×, 1.9×, 17.4×, 8.3×); ρ</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Ψ</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Ω (18.6×, 1.9×, 2.3×, 3,626.7×, 9.2×). The three-channel multiplicative product achieved the highest separation in four of five domains. In the Supply Chain case, the dual-channel Ψ</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Ω (34.5×) outperform</w:t>
      </w:r>
      <w:r w:rsidR="00C45BF2">
        <w:rPr>
          <w:rFonts w:ascii="Times New Roman" w:eastAsia="Times New Roman" w:hAnsi="Times New Roman" w:cs="Times New Roman"/>
        </w:rPr>
        <w:t>ed</w:t>
      </w:r>
      <w:r>
        <w:rPr>
          <w:rFonts w:ascii="Times New Roman" w:eastAsia="Times New Roman" w:hAnsi="Times New Roman" w:cs="Times New Roman"/>
        </w:rPr>
        <w:t xml:space="preserve"> ρ</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Ψ</w:t>
      </w:r>
      <w:r w:rsidR="00C45BF2">
        <w:rPr>
          <w:rFonts w:ascii="Times New Roman" w:eastAsia="Times New Roman" w:hAnsi="Times New Roman" w:cs="Times New Roman"/>
        </w:rPr>
        <w:t xml:space="preserve"> </w:t>
      </w:r>
      <w:r>
        <w:rPr>
          <w:rFonts w:ascii="Times New Roman" w:eastAsia="Times New Roman" w:hAnsi="Times New Roman" w:cs="Times New Roman"/>
        </w:rPr>
        <w:t>×</w:t>
      </w:r>
      <w:r w:rsidR="00C45BF2">
        <w:rPr>
          <w:rFonts w:ascii="Times New Roman" w:eastAsia="Times New Roman" w:hAnsi="Times New Roman" w:cs="Times New Roman"/>
        </w:rPr>
        <w:t xml:space="preserve"> </w:t>
      </w:r>
      <w:r>
        <w:rPr>
          <w:rFonts w:ascii="Times New Roman" w:eastAsia="Times New Roman" w:hAnsi="Times New Roman" w:cs="Times New Roman"/>
        </w:rPr>
        <w:t>Ω (9.2×), consistent with high ρ–Ω redundancy (r = 0.952).</w:t>
      </w:r>
    </w:p>
    <w:p w14:paraId="169885D4" w14:textId="507A5F2E"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5. </w:t>
      </w:r>
      <w:r>
        <w:rPr>
          <w:rFonts w:ascii="Times New Roman" w:eastAsia="Times New Roman" w:hAnsi="Times New Roman" w:cs="Times New Roman"/>
        </w:rPr>
        <w:t>Time-normalized stress intensity. S̅ = Π/T controls for differing window durations between crisis and control periods, where T = N × τ₀ is the observation-</w:t>
      </w:r>
      <w:r>
        <w:rPr>
          <w:rFonts w:ascii="Times New Roman" w:eastAsia="Times New Roman" w:hAnsi="Times New Roman" w:cs="Times New Roman"/>
        </w:rPr>
        <w:lastRenderedPageBreak/>
        <w:t>weighted duration (N = number of observations, τ₀ = integration time step). This definition ensures consistency with the Π integral and may differ from calendar duration when observation frequency varies within a window. 2008 Financial: T_crisis = 2.712 yr, T_control = 1.573 yr, Sep(Π) = 18.6×, Sep(S̅) = 10.8×. Terra</w:t>
      </w:r>
      <w:r w:rsidR="004167C4">
        <w:rPr>
          <w:rFonts w:ascii="Times New Roman" w:eastAsia="Times New Roman" w:hAnsi="Times New Roman" w:cs="Times New Roman"/>
        </w:rPr>
        <w:t>–</w:t>
      </w:r>
      <w:r>
        <w:rPr>
          <w:rFonts w:ascii="Times New Roman" w:eastAsia="Times New Roman" w:hAnsi="Times New Roman" w:cs="Times New Roman"/>
        </w:rPr>
        <w:t>Luna: T_crisis = 1.085 yr, T_control = 0.589 yr, Sep(Π) = 1.9×, Sep(S̅) = 1.1×. Fukushima: T_crisis = 0.879 yr, T_control = 0.485 yr, Sep(Π) = 2.3×, Sep(S̅) = 1.2×. COVID-19: T_crisis = 0.575 yr, T_control = 0.408 yr, Sep(Π) = 3,626.7×, Sep(S̅) = 2,573.2×. Supply Chain: T_crisis = 3.917 yr, T_control = 1.417 yr, Sep(Π) = 9.2×, Sep(S̅) = 3.3×. Three of the five cases (2008 Financial, COVID-19, Supply Chain) retained a strong separation after time normalization. The Terra</w:t>
      </w:r>
      <w:r w:rsidR="004167C4">
        <w:rPr>
          <w:rFonts w:ascii="Times New Roman" w:eastAsia="Times New Roman" w:hAnsi="Times New Roman" w:cs="Times New Roman"/>
        </w:rPr>
        <w:t>–</w:t>
      </w:r>
      <w:r>
        <w:rPr>
          <w:rFonts w:ascii="Times New Roman" w:eastAsia="Times New Roman" w:hAnsi="Times New Roman" w:cs="Times New Roman"/>
        </w:rPr>
        <w:t xml:space="preserve">Luna and Fukushima separation is </w:t>
      </w:r>
      <w:r w:rsidR="00C45BF2">
        <w:rPr>
          <w:rFonts w:ascii="Times New Roman" w:eastAsia="Times New Roman" w:hAnsi="Times New Roman" w:cs="Times New Roman"/>
        </w:rPr>
        <w:t xml:space="preserve">largely </w:t>
      </w:r>
      <w:r>
        <w:rPr>
          <w:rFonts w:ascii="Times New Roman" w:eastAsia="Times New Roman" w:hAnsi="Times New Roman" w:cs="Times New Roman"/>
        </w:rPr>
        <w:t>attributable to longer crisis windows.</w:t>
      </w:r>
    </w:p>
    <w:p w14:paraId="4AEC66DD" w14:textId="6B61F913"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6. </w:t>
      </w:r>
      <w:r>
        <w:rPr>
          <w:rFonts w:ascii="Times New Roman" w:eastAsia="Times New Roman" w:hAnsi="Times New Roman" w:cs="Times New Roman"/>
        </w:rPr>
        <w:t>Failure mode classification sensitivity. Three classification parameters were independently varied: preloaded cutoff (0.70–0.90, baseline 0.80), ductile lead-time cutoff (200–400 d, baseline 300), and onset threshold (5–20% of Π_max, baseline 10%). Terra</w:t>
      </w:r>
      <w:r w:rsidR="004167C4">
        <w:rPr>
          <w:rFonts w:ascii="Times New Roman" w:eastAsia="Times New Roman" w:hAnsi="Times New Roman" w:cs="Times New Roman"/>
        </w:rPr>
        <w:t>–</w:t>
      </w:r>
      <w:r>
        <w:rPr>
          <w:rFonts w:ascii="Times New Roman" w:eastAsia="Times New Roman" w:hAnsi="Times New Roman" w:cs="Times New Roman"/>
        </w:rPr>
        <w:t xml:space="preserve">Luna (preloaded across all variations) and COVID-19 (brittle across all variations) were fully invariant. The 2008 Financial market (ductile, lead = 396 d) transitions to </w:t>
      </w:r>
      <w:r w:rsidR="00402109">
        <w:rPr>
          <w:rFonts w:ascii="Times New Roman" w:eastAsia="Times New Roman" w:hAnsi="Times New Roman" w:cs="Times New Roman"/>
        </w:rPr>
        <w:t>brittle</w:t>
      </w:r>
      <w:r>
        <w:rPr>
          <w:rFonts w:ascii="Times New Roman" w:eastAsia="Times New Roman" w:hAnsi="Times New Roman" w:cs="Times New Roman"/>
        </w:rPr>
        <w:t xml:space="preserve"> only when the ductile cutoff exceeds 396 d (at the 400-d threshold). Fukushima (brittle, lead = 226 d) transitions to ductility only when the ductile cutoff is lowered below 226 d (at the 200-d threshold). The supply Chain (ductile, lead = 548 d) transitioned to brittle when the onset threshold was increased to 15% (reducing the effective lead to 242 d). Classifications reflect continuous underlying metrics; boundary cases indicate proximity to thresholds </w:t>
      </w:r>
      <w:r w:rsidR="004167C4">
        <w:rPr>
          <w:rFonts w:ascii="Times New Roman" w:eastAsia="Times New Roman" w:hAnsi="Times New Roman" w:cs="Times New Roman"/>
        </w:rPr>
        <w:t>rather than</w:t>
      </w:r>
      <w:r>
        <w:rPr>
          <w:rFonts w:ascii="Times New Roman" w:eastAsia="Times New Roman" w:hAnsi="Times New Roman" w:cs="Times New Roman"/>
        </w:rPr>
        <w:t xml:space="preserve"> arbitrary categorization.</w:t>
      </w:r>
    </w:p>
    <w:p w14:paraId="720A147F" w14:textId="7298C580"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7. </w:t>
      </w:r>
      <w:r>
        <w:rPr>
          <w:rFonts w:ascii="Times New Roman" w:eastAsia="Times New Roman" w:hAnsi="Times New Roman" w:cs="Times New Roman"/>
        </w:rPr>
        <w:t>Sliding-window control analysis. Fixed 180-d windows (6-m for Supply Chain) slid across control periods to generate multiple independent control Π values. 2008 Financial: 14 windows, Sep(Π) mean = 57.6× (95% CI: 41.0×–107.5×), Cohen’s d = 202.8. Terra-Luna: 2 windows, Sep(Π) mean = 2.3× (95% CI: 2.0×–2.7×), Cohen’s d = 6.6. Fukushima: 1 window (control shorter than 180 d), Sep(Π) = 2.3×. COVID-19:1 window (control shorter than 180 d), Sep(Π) = 3,626.7×. Supply Chain: 6 windows, Sep(Π) mean = 3,910.5× (95% CI: 19.3×–17,343.9×), Cohen’s d = 23.9. The wide Supply Chain CI reflects near-zero Π in some control windows. The 2008 case provides the strongest multicontrol validation, with crisis Π exceeding all 14 control windows by at least 41-fold.</w:t>
      </w:r>
    </w:p>
    <w:p w14:paraId="757C99EB" w14:textId="77777777" w:rsidR="00ED6D94" w:rsidRDefault="00000000">
      <w:pPr>
        <w:spacing w:after="160" w:line="360" w:lineRule="auto"/>
        <w:jc w:val="both"/>
      </w:pPr>
      <w:r>
        <w:rPr>
          <w:rFonts w:ascii="Times New Roman" w:eastAsia="Times New Roman" w:hAnsi="Times New Roman" w:cs="Times New Roman"/>
          <w:b/>
        </w:rPr>
        <w:t xml:space="preserve">Supplementary Table 8. </w:t>
      </w:r>
      <w:r>
        <w:rPr>
          <w:rFonts w:ascii="Times New Roman" w:eastAsia="Times New Roman" w:hAnsi="Times New Roman" w:cs="Times New Roman"/>
        </w:rPr>
        <w:t xml:space="preserve">Block permutation test. </w:t>
      </w:r>
      <w:r w:rsidR="00402109">
        <w:rPr>
          <w:rFonts w:ascii="Times New Roman" w:eastAsia="Times New Roman" w:hAnsi="Times New Roman" w:cs="Times New Roman"/>
        </w:rPr>
        <w:t>B</w:t>
      </w:r>
      <w:r w:rsidR="00402109" w:rsidRPr="00402109">
        <w:rPr>
          <w:rFonts w:ascii="Times New Roman" w:eastAsia="Times New Roman" w:hAnsi="Times New Roman" w:cs="Times New Roman"/>
        </w:rPr>
        <w:t>lock permutation was performed with block sizes of B = 5, 10, and 20 d</w:t>
      </w:r>
      <w:r w:rsidR="00402109">
        <w:rPr>
          <w:rFonts w:ascii="Times New Roman" w:eastAsia="Times New Roman" w:hAnsi="Times New Roman" w:cs="Times New Roman"/>
        </w:rPr>
        <w:t xml:space="preserve"> t</w:t>
      </w:r>
      <w:r>
        <w:rPr>
          <w:rFonts w:ascii="Times New Roman" w:eastAsia="Times New Roman" w:hAnsi="Times New Roman" w:cs="Times New Roman"/>
        </w:rPr>
        <w:t xml:space="preserve">o verify that independent time-index shuffling does not inflate the </w:t>
      </w:r>
      <w:r>
        <w:rPr>
          <w:rFonts w:ascii="Times New Roman" w:eastAsia="Times New Roman" w:hAnsi="Times New Roman" w:cs="Times New Roman"/>
        </w:rPr>
        <w:lastRenderedPageBreak/>
        <w:t>significance by destroying temporal autocorrelation (B = 2, 3, and 4 m for the Supply Chain; N = 10,000 per configuration). 2008 Financial: independent z = 12.77; block z = 8.78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5), 7.33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10), 6.33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20); all p &lt; 0.001. Terra</w:t>
      </w:r>
      <w:r w:rsidR="004167C4">
        <w:rPr>
          <w:rFonts w:ascii="Times New Roman" w:eastAsia="Times New Roman" w:hAnsi="Times New Roman" w:cs="Times New Roman"/>
        </w:rPr>
        <w:t>–</w:t>
      </w:r>
      <w:r>
        <w:rPr>
          <w:rFonts w:ascii="Times New Roman" w:eastAsia="Times New Roman" w:hAnsi="Times New Roman" w:cs="Times New Roman"/>
        </w:rPr>
        <w:t>Luna: independent z = 5.55; block z = 4.23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5), 4.23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10), 3.98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20); all p &lt; 0.001. Fukushima: independent z = 4.17; block z = 3.82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5, p = 0.003), 3.56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10, p = 0.0016), 3.29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20, p = 0.0025); all p &lt; 0.005. COVID-19: independent z = 17.85; block z = 8.26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5), 5.87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10, p = 0.0002), 5.16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20, p = 0.0007); all p &lt; 0.001. Supply Chain: independent z = 0.36; block z = 0.30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2), 0.32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3), 0.31 (B</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4); all p &gt; 0.27, not significant. The same four cases that are significant under independent shuffling remain significant under block permutation for all block sizes tested, confirming that the results are not artifacts of autocorrelation destruction.</w:t>
      </w:r>
      <w:r w:rsidR="00ED6D94" w:rsidRPr="00ED6D94">
        <w:t xml:space="preserve"> </w:t>
      </w:r>
    </w:p>
    <w:p w14:paraId="12FA3BE6" w14:textId="10FDD90E" w:rsidR="00576BDC" w:rsidRDefault="00ED6D94">
      <w:pPr>
        <w:spacing w:after="160" w:line="360" w:lineRule="auto"/>
        <w:jc w:val="both"/>
        <w:rPr>
          <w:rFonts w:ascii="Times New Roman" w:eastAsia="Times New Roman" w:hAnsi="Times New Roman" w:cs="Times New Roman"/>
        </w:rPr>
      </w:pPr>
      <w:r w:rsidRPr="00ED6D94">
        <w:rPr>
          <w:rFonts w:ascii="Times New Roman" w:hAnsi="Times New Roman" w:cs="Times New Roman"/>
        </w:rPr>
        <w:t>Independent z-scores in this table were obtained from the block-permutation pipeline (B = 1) and may differ slightly from Supplementary Table 19 owing to independent random-seed realizations (N = 10,000 each).</w:t>
      </w:r>
    </w:p>
    <w:p w14:paraId="133963F0" w14:textId="364B35CA"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9. </w:t>
      </w:r>
      <w:r>
        <w:rPr>
          <w:rFonts w:ascii="Times New Roman" w:eastAsia="Times New Roman" w:hAnsi="Times New Roman" w:cs="Times New Roman"/>
        </w:rPr>
        <w:t>Variable substitution robustness (the 2008 Financial case). Each baseline variable was independently replaced with a conceptually similar alternative to FRED, using the same crisis/control date indices (N_crisis = 990, N_control = 574) and an identical normalization procedure. Baseline (DFF |Δ5d| × TEDRATE |Δ5d| × TOTBKCR interpolated): Sep = 18.6×. ρ → DGS2 (2-Y Treasury Yield): Sep = 5.0× (−73.2%). Ψ → VIXCLS (VIX): Sep = 6.4× (−65.7%). Ω → COMPOUT (Commercial Paper Outstanding): Sep = 77.2× (+315.4%). All three substituted (DGS2 × VIXCLS × COMPOUT): Sep = 4.2× (−77.5%). All five configurations maintained crisis–control separation (Sep &gt; 1), confirming their directional robustness. The large quantitative variation reflects genuine differences in how alternative indicators capture the three stress dimensions, and is consistent with the framework’s dependence on the non-redundancy criterion for optimal performance.</w:t>
      </w:r>
    </w:p>
    <w:p w14:paraId="368ACB8A" w14:textId="1D305D86"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10. </w:t>
      </w:r>
      <w:r>
        <w:rPr>
          <w:rFonts w:ascii="Times New Roman" w:eastAsia="Times New Roman" w:hAnsi="Times New Roman" w:cs="Times New Roman"/>
        </w:rPr>
        <w:t xml:space="preserve">Specificity validation using identical variables at different time points. To test whether the framework detects specific stress types </w:t>
      </w:r>
      <w:r w:rsidR="00402109">
        <w:rPr>
          <w:rFonts w:ascii="Times New Roman" w:eastAsia="Times New Roman" w:hAnsi="Times New Roman" w:cs="Times New Roman"/>
        </w:rPr>
        <w:t>instead of</w:t>
      </w:r>
      <w:r>
        <w:rPr>
          <w:rFonts w:ascii="Times New Roman" w:eastAsia="Times New Roman" w:hAnsi="Times New Roman" w:cs="Times New Roman"/>
        </w:rPr>
        <w:t xml:space="preserve"> generic turbulence, the existing variable sets were applied to additional historical periods without redefinition. 2000 Dot-com Crash (DFF × TEDRATE × TOTBKCR, same series as 2008; raw levels at weekly frequency): stable (1993–1998), control 1996–1998 (N = 154), crisis 1999–2002 (N = 204), Sep = 1.2×. 2019 Repo Near-miss (DFF × TEDRATE × TOTBKCR): Stable (2014–2018), Control 2017–2018 (N = 101), Crisis 2019-01 to 2020-02 (N = 59), Sep = 0.7×. 2011 Thailand Floods (PCEDG |Δ%| × Delivery Time (clip ≥ 0) × WPU3012 |Δ%|, identical transforms to </w:t>
      </w:r>
      <w:r>
        <w:rPr>
          <w:rFonts w:ascii="Times New Roman" w:eastAsia="Times New Roman" w:hAnsi="Times New Roman" w:cs="Times New Roman"/>
        </w:rPr>
        <w:lastRenderedPageBreak/>
        <w:t>Supply Chain): Stable (2006–2010), Control 2009–2010 (N = 19), Crisis 2011-01 to 2012-06 (N = 18), Sep = 3.5×. The banking credit variables produce a near-unity separation for non-banking events (Dot-com, Repo), confirming domain specificity. The supply chain variables replicate an elevated separation (3.5×) for a second logistics disruption, providing within-domain validation.</w:t>
      </w:r>
    </w:p>
    <w:p w14:paraId="58158A36" w14:textId="443EA33D"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11. </w:t>
      </w:r>
      <w:r>
        <w:rPr>
          <w:rFonts w:ascii="Times New Roman" w:eastAsia="Times New Roman" w:hAnsi="Times New Roman" w:cs="Times New Roman"/>
        </w:rPr>
        <w:t>Permutation tests for additional validation cases (N = 10,000 per case). 2000 Dot-com: z = 8.44, p &lt; 0.001 (significant). 2019 Repo: z = −2.44, p = 0.993 (not significant). 2011 Thailand: z = −0.17, p = 0.485 (not significant). The Dot-com case achieves statistical significance despite the weak separation (1.2×) because the temporal co</w:t>
      </w:r>
      <w:r w:rsidR="00D55EF4">
        <w:rPr>
          <w:rFonts w:ascii="Times New Roman" w:eastAsia="Times New Roman" w:hAnsi="Times New Roman" w:cs="Times New Roman"/>
        </w:rPr>
        <w:t>-</w:t>
      </w:r>
      <w:r>
        <w:rPr>
          <w:rFonts w:ascii="Times New Roman" w:eastAsia="Times New Roman" w:hAnsi="Times New Roman" w:cs="Times New Roman"/>
        </w:rPr>
        <w:t>movement of the three channels is nonrandom, even though the magnitudes do not exceed the control levels. The Repo and Thailand cases are not significant: Repo, because the crisis period shows less co-elevation than the control, and Thailand, because of the limited sample size (N = 18 monthly observations).</w:t>
      </w:r>
    </w:p>
    <w:p w14:paraId="7BF2BBB2" w14:textId="2B969000" w:rsidR="00576BDC"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12. </w:t>
      </w:r>
      <w:proofErr w:type="spellStart"/>
      <w:r>
        <w:rPr>
          <w:rFonts w:ascii="Times New Roman" w:eastAsia="Times New Roman" w:hAnsi="Times New Roman" w:cs="Times New Roman"/>
        </w:rPr>
        <w:t>Nonredundancy</w:t>
      </w:r>
      <w:proofErr w:type="spellEnd"/>
      <w:r>
        <w:rPr>
          <w:rFonts w:ascii="Times New Roman" w:eastAsia="Times New Roman" w:hAnsi="Times New Roman" w:cs="Times New Roman"/>
        </w:rPr>
        <w:t xml:space="preserve"> verification for additional cases. Pairwise Pearson correlations during stable periods. 2000 Dot-com: r(ρ,Ψ) = 0.576, r(ρ,Ω) = 0.607, r(Ψ,Ω) = 0.765, max|r| = 0.765 (fails |r| &lt; 0.7 criterion). 2019 Repo: r(ρ,Ψ) = 0.267, r(ρ,Ω) = 0.866, r(Ψ,Ω) = 0.547, max|r| = 0.866 (fails). 2011 Thailand: r(ρ,Ψ) = 0.361, r(ρ,Ω) = −0.185, r(Ψ,Ω) = −0.200, max|r| = 0.361 (passes). The two cases that fail nonredundancy (Dot-com, Repo) also </w:t>
      </w:r>
      <w:r w:rsidR="00402109">
        <w:rPr>
          <w:rFonts w:ascii="Times New Roman" w:eastAsia="Times New Roman" w:hAnsi="Times New Roman" w:cs="Times New Roman"/>
        </w:rPr>
        <w:t xml:space="preserve">exhibit </w:t>
      </w:r>
      <w:r>
        <w:rPr>
          <w:rFonts w:ascii="Times New Roman" w:eastAsia="Times New Roman" w:hAnsi="Times New Roman" w:cs="Times New Roman"/>
        </w:rPr>
        <w:t>weak separation (1.2× and 0.7×), consistent with the boundary condition identified in the main analysis: multiplicative amplification requires non-redundant channels.</w:t>
      </w:r>
    </w:p>
    <w:p w14:paraId="2F0CBB7F" w14:textId="608C0A8F" w:rsidR="00DA5A18"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Supplementary Table 13. </w:t>
      </w:r>
      <w:r>
        <w:rPr>
          <w:rFonts w:ascii="Times New Roman" w:eastAsia="Times New Roman" w:hAnsi="Times New Roman" w:cs="Times New Roman"/>
        </w:rPr>
        <w:t xml:space="preserve">Time-normalized stress intensity for additional cases (T = N × τ₀; see Supplementary Table 5 for definition). For weekly-frequency cases (Dot-com, Repo), τ₀ = 1/365 y per observation; T therefore reflects the number of weekly observations scaled to annual units, not the calendar duration of the window. 2000 Dot-com: T_crisis = 0.559 yr, T_control = 0.422 yr, Sep(Π) = 1.2×, Sep(S̅) = 0.9×. 2019 Repo: T_crisis = 0.162 yr, T_control = 0.277 yr, Sep(Π) = 0.7×, Sep(S̅) = 1.2×. 2011 Thailand: T_crisis = 1.500 yr, T_control = 1.583 yr, Sep(Π) = 3.5×, Sep(S̅) = 3.7×. Thailand retained separation after time normalization (3.7×), indicating a genuine stress elevation </w:t>
      </w:r>
      <w:r w:rsidR="00402109">
        <w:rPr>
          <w:rFonts w:ascii="Times New Roman" w:eastAsia="Times New Roman" w:hAnsi="Times New Roman" w:cs="Times New Roman"/>
        </w:rPr>
        <w:t>instead of</w:t>
      </w:r>
      <w:r>
        <w:rPr>
          <w:rFonts w:ascii="Times New Roman" w:eastAsia="Times New Roman" w:hAnsi="Times New Roman" w:cs="Times New Roman"/>
        </w:rPr>
        <w:t xml:space="preserve"> a window-length artifact. The Dot-com and Repo results are consistent with the specificity interpretation: banking credit variables do not detect nonbanking stress, regardless of the normalization method.</w:t>
      </w:r>
    </w:p>
    <w:p w14:paraId="6E05CF54" w14:textId="77777777" w:rsidR="00576BDC" w:rsidRDefault="00576BDC">
      <w:pPr>
        <w:spacing w:after="160" w:line="360" w:lineRule="auto"/>
        <w:jc w:val="both"/>
        <w:rPr>
          <w:rFonts w:ascii="Times New Roman" w:eastAsia="Times New Roman" w:hAnsi="Times New Roman" w:cs="Times New Roman"/>
        </w:rPr>
      </w:pPr>
    </w:p>
    <w:p w14:paraId="3405E22F" w14:textId="77777777" w:rsidR="00EC722F" w:rsidRDefault="00000000">
      <w:pPr>
        <w:spacing w:after="160" w:line="360" w:lineRule="auto"/>
        <w:jc w:val="both"/>
      </w:pPr>
      <w:r w:rsidRPr="004C33EC">
        <w:rPr>
          <w:rFonts w:ascii="Times New Roman" w:eastAsia="Times New Roman" w:hAnsi="Times New Roman" w:cs="Times New Roman"/>
          <w:b/>
        </w:rPr>
        <w:lastRenderedPageBreak/>
        <w:t>Supplementary Table 14.</w:t>
      </w:r>
      <w:r>
        <w:rPr>
          <w:rFonts w:ascii="Times New Roman" w:eastAsia="Times New Roman" w:hAnsi="Times New Roman" w:cs="Times New Roman"/>
        </w:rPr>
        <w:t xml:space="preserve"> Transform window sensitivity for the 2008 Financial case. The baseline pipeline uses |Δ5d| (k = 5 business days) for ρ and Ψ transforms. This table reports Sep(Π) and permutation test results for k = 1, 3, 5, 10, and 20 d, with all other settings held constant. k = 1: Sep(Π) = 17.0×, Sep(S̅) = 9.9×, z = 18.43, p &lt; 0.001. k = 3: Sep(Π) = 17.3×, Sep(S̅) = 10.1×, z = 14.30, p &lt; 0.001. k = 5 (baseline): Sep(Π) = 17.9×, Sep(S̅) = 10.4×, z = 13.72, p &lt; 0.001. k = 10: Sep(Π) = 21.1×, Sep(S̅) = 12.2×, z = 15.21, p &lt; 0.001. k = 20: Sep(Π) = 16.6×, Sep(S̅) = 9.4×, z = 13.91, p &lt; 0.001. Sep(Π) ranges from 16.6× to 21.1× across all tested values of k, confirming that the crisis–control separation is robust to the transform window choice. Baseline k = 5 yields a mid-range separation, indicating that the business-week convention does not favor the reported result.</w:t>
      </w:r>
      <w:r w:rsidR="00EC722F" w:rsidRPr="00EC722F">
        <w:t xml:space="preserve"> </w:t>
      </w:r>
    </w:p>
    <w:p w14:paraId="57B87F97" w14:textId="544E7EDB" w:rsidR="00576BDC" w:rsidRDefault="00EC722F">
      <w:pPr>
        <w:spacing w:after="160" w:line="360" w:lineRule="auto"/>
        <w:jc w:val="both"/>
        <w:rPr>
          <w:rFonts w:ascii="Times New Roman" w:eastAsia="Times New Roman" w:hAnsi="Times New Roman" w:cs="Times New Roman"/>
        </w:rPr>
      </w:pPr>
      <w:r w:rsidRPr="00EC722F">
        <w:rPr>
          <w:rFonts w:ascii="Times New Roman" w:hAnsi="Times New Roman" w:cs="Times New Roman"/>
        </w:rPr>
        <w:t xml:space="preserve">Caption Note: </w:t>
      </w:r>
      <w:r w:rsidR="00ED6D94" w:rsidRPr="00ED6D94">
        <w:rPr>
          <w:rFonts w:ascii="Times New Roman" w:hAnsi="Times New Roman" w:cs="Times New Roman"/>
        </w:rPr>
        <w:t>The observation counts (</w:t>
      </w:r>
      <w:proofErr w:type="spellStart"/>
      <w:r w:rsidR="00ED6D94" w:rsidRPr="00ED6D94">
        <w:rPr>
          <w:rFonts w:ascii="Times New Roman" w:hAnsi="Times New Roman" w:cs="Times New Roman"/>
        </w:rPr>
        <w:t>N_crisis</w:t>
      </w:r>
      <w:proofErr w:type="spellEnd"/>
      <w:r w:rsidR="00ED6D94" w:rsidRPr="00ED6D94">
        <w:rPr>
          <w:rFonts w:ascii="Times New Roman" w:hAnsi="Times New Roman" w:cs="Times New Roman"/>
        </w:rPr>
        <w:t xml:space="preserve"> = 1,045; </w:t>
      </w:r>
      <w:proofErr w:type="spellStart"/>
      <w:r w:rsidR="00ED6D94" w:rsidRPr="00ED6D94">
        <w:rPr>
          <w:rFonts w:ascii="Times New Roman" w:hAnsi="Times New Roman" w:cs="Times New Roman"/>
        </w:rPr>
        <w:t>N_control</w:t>
      </w:r>
      <w:proofErr w:type="spellEnd"/>
      <w:r w:rsidR="00ED6D94" w:rsidRPr="00ED6D94">
        <w:rPr>
          <w:rFonts w:ascii="Times New Roman" w:hAnsi="Times New Roman" w:cs="Times New Roman"/>
        </w:rPr>
        <w:t xml:space="preserve"> = 608) differ from Table 2 because the sensitivity analysis extends the evaluation window to accommodate larger transform sizes; the baseline separation (18.6×) in Table 2 reflects the narrower, case-specific window defined in Supplementary Table 18.</w:t>
      </w:r>
    </w:p>
    <w:p w14:paraId="4053A231" w14:textId="3A491F0C" w:rsidR="00576BDC" w:rsidRDefault="00000000">
      <w:pPr>
        <w:spacing w:after="160" w:line="360" w:lineRule="auto"/>
        <w:jc w:val="both"/>
        <w:rPr>
          <w:rFonts w:ascii="Times New Roman" w:eastAsia="Times New Roman" w:hAnsi="Times New Roman" w:cs="Times New Roman"/>
        </w:rPr>
      </w:pPr>
      <w:r w:rsidRPr="004C33EC">
        <w:rPr>
          <w:rFonts w:ascii="Times New Roman" w:eastAsia="Times New Roman" w:hAnsi="Times New Roman" w:cs="Times New Roman"/>
          <w:b/>
        </w:rPr>
        <w:t>Supplementary Table 15.</w:t>
      </w:r>
      <w:r>
        <w:rPr>
          <w:rFonts w:ascii="Times New Roman" w:eastAsia="Times New Roman" w:hAnsi="Times New Roman" w:cs="Times New Roman"/>
        </w:rPr>
        <w:t xml:space="preserve"> Matched pipeline specificity tests for additional cases. The Dot-com and Repo cases are re-analyzed using the identical pipeline as the 2008 Financial case (|Δ5d| transforms, daily TOTBKCR interpolation, τ₀ = 1/365). 2000 Dot-com (matched pipeline): N_crisis = 978, N_control = 739, Sep(Π) = 1.3×, Sep(S̅) = 1.0×, z = 9.47, p &lt; 0.001. 2019 Repo (matched pipeline): N_crisis = 285, N_control = 491, Sep(Π) = 0.8×, Sep(S̅) = 1.3×, z = 3.11, p = 0.001. For comparison, Dot-com (raw weekly): Sep(Π) = 1.2×; Repo (raw weekly): Sep(Π) = 0.7×; 2008 Financial (baseline): Sep(Π) = 18.6×. Even with an identical pipeline, the Dot-com and Repo separations remain near unity (1.3× and 0.8×, respectively), wh</w:t>
      </w:r>
      <w:r w:rsidR="00402109">
        <w:rPr>
          <w:rFonts w:ascii="Times New Roman" w:eastAsia="Times New Roman" w:hAnsi="Times New Roman" w:cs="Times New Roman"/>
        </w:rPr>
        <w:t>ereas</w:t>
      </w:r>
      <w:r>
        <w:rPr>
          <w:rFonts w:ascii="Times New Roman" w:eastAsia="Times New Roman" w:hAnsi="Times New Roman" w:cs="Times New Roman"/>
        </w:rPr>
        <w:t xml:space="preserve"> the 2008 case achieves 18.6×, a 14-fold difference. This confirms that the 2008 </w:t>
      </w:r>
      <w:r w:rsidR="00A92CA9">
        <w:rPr>
          <w:rFonts w:ascii="Times New Roman" w:eastAsia="Times New Roman" w:hAnsi="Times New Roman" w:cs="Times New Roman"/>
        </w:rPr>
        <w:t xml:space="preserve">Financial </w:t>
      </w:r>
      <w:r>
        <w:rPr>
          <w:rFonts w:ascii="Times New Roman" w:eastAsia="Times New Roman" w:hAnsi="Times New Roman" w:cs="Times New Roman"/>
        </w:rPr>
        <w:t xml:space="preserve">separation reflects genuine banking-credit stress detection </w:t>
      </w:r>
      <w:r w:rsidR="00A92CA9">
        <w:rPr>
          <w:rFonts w:ascii="Times New Roman" w:eastAsia="Times New Roman" w:hAnsi="Times New Roman" w:cs="Times New Roman"/>
        </w:rPr>
        <w:t>and not</w:t>
      </w:r>
      <w:r>
        <w:rPr>
          <w:rFonts w:ascii="Times New Roman" w:eastAsia="Times New Roman" w:hAnsi="Times New Roman" w:cs="Times New Roman"/>
        </w:rPr>
        <w:t xml:space="preserve"> a pipeline artifact, and that the banking-credit variables do not flag non-banking financial stress regardless of preprocessing choices.</w:t>
      </w:r>
    </w:p>
    <w:p w14:paraId="7BC5BF65" w14:textId="77777777" w:rsidR="00ED6D94" w:rsidRDefault="00000000">
      <w:pPr>
        <w:spacing w:after="160" w:line="360" w:lineRule="auto"/>
        <w:jc w:val="both"/>
        <w:rPr>
          <w:rFonts w:ascii="Times New Roman" w:eastAsia="Times New Roman" w:hAnsi="Times New Roman" w:cs="Times New Roman"/>
        </w:rPr>
      </w:pPr>
      <w:r w:rsidRPr="004C33EC">
        <w:rPr>
          <w:rFonts w:ascii="Times New Roman" w:eastAsia="Times New Roman" w:hAnsi="Times New Roman" w:cs="Times New Roman"/>
          <w:b/>
        </w:rPr>
        <w:t>Supplementary Table 16</w:t>
      </w:r>
      <w:r>
        <w:rPr>
          <w:rFonts w:ascii="Times New Roman" w:eastAsia="Times New Roman" w:hAnsi="Times New Roman" w:cs="Times New Roman"/>
        </w:rPr>
        <w:t>. Head-to-head comparison with existing crisis detection methods. Six methods were applied to identical crisis and control data across all five cases: multiplicative Π (ρ</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Ψ</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Ω), critical slowing down rolling variance (CSD Variance), critical slowing down lag-1 autocorrelation (CSD AC(1)), first principal component (PCA-PC1), additive aggregation (ρ</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Ψ</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 xml:space="preserve">Ω), and channel maximum (max(ρ,Ψ,Ω)). The rolling windows for the CSD indicators were set to one-fifth the length of each series. PCA was computed on the three normalized channels, with the first component integrated over time. Separation ratios </w:t>
      </w:r>
      <w:r>
        <w:rPr>
          <w:rFonts w:ascii="Times New Roman" w:eastAsia="Times New Roman" w:hAnsi="Times New Roman" w:cs="Times New Roman"/>
        </w:rPr>
        <w:lastRenderedPageBreak/>
        <w:t>(crisis/control): 2008 Financial: Π = 18.6×, CSD Variance = 12.1×, CSD AC(1) = 1.1×, PCA-PC1 = 6.5×, Additive = 2.7×, Max = 2.6×. Terra-Luna: Π = 1.9×, CSD Variance = 1.3×, CSD AC(1) = 1.1×, PCA-PC1 = 1.8×, Additive = 1.8×, Max = 1.9×. Fukushima: Π = 2.3×, CSD Variance = 1.8×, CSD AC(1) = 1.2×, PCA-PC1 = 2.0×, Additive = 1.9×, Max = 1.9×. COVID-19: Π = 3,626.7×, CSD Variance = 9,674.5×, CSD AC(1) = 1.1×, PCA-PC1 = 439.3×, Additive = 11.0×, Max = 17.4×. Supply Chain: Π = 9.2×, CSD Variance = 4.8×, CSD AC(1) = −1.1×, PCA-PC1 = 10.2×, Additive = 7.1×, Max = 8.3×. The multiplicative Π achieve</w:t>
      </w:r>
      <w:r w:rsidR="00402109">
        <w:rPr>
          <w:rFonts w:ascii="Times New Roman" w:eastAsia="Times New Roman" w:hAnsi="Times New Roman" w:cs="Times New Roman"/>
        </w:rPr>
        <w:t>d</w:t>
      </w:r>
      <w:r>
        <w:rPr>
          <w:rFonts w:ascii="Times New Roman" w:eastAsia="Times New Roman" w:hAnsi="Times New Roman" w:cs="Times New Roman"/>
        </w:rPr>
        <w:t xml:space="preserve"> the highest separation in three of five cases (2008, Terra</w:t>
      </w:r>
      <w:r w:rsidR="00A92CA9">
        <w:rPr>
          <w:rFonts w:ascii="Times New Roman" w:eastAsia="Times New Roman" w:hAnsi="Times New Roman" w:cs="Times New Roman"/>
        </w:rPr>
        <w:t>–</w:t>
      </w:r>
      <w:r>
        <w:rPr>
          <w:rFonts w:ascii="Times New Roman" w:eastAsia="Times New Roman" w:hAnsi="Times New Roman" w:cs="Times New Roman"/>
        </w:rPr>
        <w:t xml:space="preserve">Luna, Fukushima). The CSD variance outperformed the COVID-19 case, where the multiplicative floor effect (near-zero control baseline) amplified both methods. PCA-PC1 narrowly </w:t>
      </w:r>
      <w:r w:rsidR="00A92CA9">
        <w:rPr>
          <w:rFonts w:ascii="Times New Roman" w:eastAsia="Times New Roman" w:hAnsi="Times New Roman" w:cs="Times New Roman"/>
        </w:rPr>
        <w:t>outperformed the other methods in</w:t>
      </w:r>
      <w:r w:rsidR="00402109">
        <w:rPr>
          <w:rFonts w:ascii="Times New Roman" w:eastAsia="Times New Roman" w:hAnsi="Times New Roman" w:cs="Times New Roman"/>
        </w:rPr>
        <w:t xml:space="preserve"> </w:t>
      </w:r>
      <w:r>
        <w:rPr>
          <w:rFonts w:ascii="Times New Roman" w:eastAsia="Times New Roman" w:hAnsi="Times New Roman" w:cs="Times New Roman"/>
        </w:rPr>
        <w:t>the Supply Chain case (10.2× vs 9.2×), consistent with ρ</w:t>
      </w:r>
      <w:r w:rsidR="00402109">
        <w:rPr>
          <w:rFonts w:ascii="Times New Roman" w:eastAsia="Times New Roman" w:hAnsi="Times New Roman" w:cs="Times New Roman"/>
        </w:rPr>
        <w:t xml:space="preserve"> </w:t>
      </w:r>
      <w:r>
        <w:rPr>
          <w:rFonts w:ascii="Times New Roman" w:eastAsia="Times New Roman" w:hAnsi="Times New Roman" w:cs="Times New Roman"/>
        </w:rPr>
        <w:t>–</w:t>
      </w:r>
      <w:r w:rsidR="00402109">
        <w:rPr>
          <w:rFonts w:ascii="Times New Roman" w:eastAsia="Times New Roman" w:hAnsi="Times New Roman" w:cs="Times New Roman"/>
        </w:rPr>
        <w:t xml:space="preserve"> </w:t>
      </w:r>
      <w:r>
        <w:rPr>
          <w:rFonts w:ascii="Times New Roman" w:eastAsia="Times New Roman" w:hAnsi="Times New Roman" w:cs="Times New Roman"/>
        </w:rPr>
        <w:t xml:space="preserve">Ω redundancy. </w:t>
      </w:r>
    </w:p>
    <w:p w14:paraId="06C8E8E1" w14:textId="62B2ADE3" w:rsidR="00576BDC" w:rsidRDefault="00ED6D94">
      <w:pPr>
        <w:spacing w:after="160" w:line="360" w:lineRule="auto"/>
        <w:jc w:val="both"/>
        <w:rPr>
          <w:rFonts w:ascii="Times New Roman" w:eastAsia="Times New Roman" w:hAnsi="Times New Roman" w:cs="Times New Roman"/>
        </w:rPr>
      </w:pPr>
      <w:r w:rsidRPr="00ED6D94">
        <w:rPr>
          <w:rFonts w:ascii="Times New Roman" w:hAnsi="Times New Roman" w:cs="Times New Roman"/>
        </w:rPr>
        <w:t>CSD autocorrelation, which is a canonical early warning signal, produces near-unity separation in four of five domains; the Supply Chain case yields a negative ratio (−1.1×) owing to sign reversal in control-period lag-1 autocorrelation.</w:t>
      </w:r>
    </w:p>
    <w:p w14:paraId="0B91C5B8" w14:textId="1AB4F289" w:rsidR="00576BDC" w:rsidRDefault="00000000">
      <w:pPr>
        <w:spacing w:after="160" w:line="360" w:lineRule="auto"/>
        <w:jc w:val="both"/>
        <w:rPr>
          <w:rFonts w:ascii="Times New Roman" w:eastAsia="Times New Roman" w:hAnsi="Times New Roman" w:cs="Times New Roman"/>
        </w:rPr>
      </w:pPr>
      <w:r w:rsidRPr="004C33EC">
        <w:rPr>
          <w:rFonts w:ascii="Times New Roman" w:eastAsia="Times New Roman" w:hAnsi="Times New Roman" w:cs="Times New Roman"/>
          <w:b/>
        </w:rPr>
        <w:t>Supplementary Table 17</w:t>
      </w:r>
      <w:r>
        <w:rPr>
          <w:rFonts w:ascii="Times New Roman" w:eastAsia="Times New Roman" w:hAnsi="Times New Roman" w:cs="Times New Roman"/>
        </w:rPr>
        <w:t xml:space="preserve">. Pseudo-prospective signal analysis. Rolling mean stress S̅(t) was computed for each case using an expanding window, with alert thresholds set </w:t>
      </w:r>
      <w:r w:rsidR="00402109">
        <w:rPr>
          <w:rFonts w:ascii="Times New Roman" w:eastAsia="Times New Roman" w:hAnsi="Times New Roman" w:cs="Times New Roman"/>
        </w:rPr>
        <w:t xml:space="preserve">to </w:t>
      </w:r>
      <w:r>
        <w:rPr>
          <w:rFonts w:ascii="Times New Roman" w:eastAsia="Times New Roman" w:hAnsi="Times New Roman" w:cs="Times New Roman"/>
        </w:rPr>
        <w:t>2σ and 3σ above the control-period mean stress. Rolling window sizes: 90 d (2008 Financial), 30 d (Terra</w:t>
      </w:r>
      <w:r w:rsidR="004C33EC">
        <w:rPr>
          <w:rFonts w:ascii="Times New Roman" w:eastAsia="Times New Roman" w:hAnsi="Times New Roman" w:cs="Times New Roman"/>
        </w:rPr>
        <w:t>–</w:t>
      </w:r>
      <w:r>
        <w:rPr>
          <w:rFonts w:ascii="Times New Roman" w:eastAsia="Times New Roman" w:hAnsi="Times New Roman" w:cs="Times New Roman"/>
        </w:rPr>
        <w:t>Luna, Fukushima, COVID-19), and 3 m (Supply Chain). 2008 Financial: collapse = 2008-09-15; control mean stress = 0.043; 2σ threshold = 0.207; first 2σ exceedance = 2007-08-14; lead = 398 d (13 m); signal type = Precollapse. Terra</w:t>
      </w:r>
      <w:r w:rsidR="004C33EC">
        <w:rPr>
          <w:rFonts w:ascii="Times New Roman" w:eastAsia="Times New Roman" w:hAnsi="Times New Roman" w:cs="Times New Roman"/>
        </w:rPr>
        <w:t>–</w:t>
      </w:r>
      <w:r>
        <w:rPr>
          <w:rFonts w:ascii="Times New Roman" w:eastAsia="Times New Roman" w:hAnsi="Times New Roman" w:cs="Times New Roman"/>
        </w:rPr>
        <w:t>Luna: collapse = 2022-05-09; first 2σ = N/A; signal type = No signal (rolling stress never exceeded threshold before collapse). Fukushima: collapse = 2011-03-11; first 2σ = 2011-03-18; signal type = Post-collapse (exogenous seismic trigger). COVID-19: collapse = 2020-03-23; first 2σ = 2020-02-05; lead = 47 d; signal type = Precollapse. Supply Chain: collapse = 2021-10-01; first 2σ = 2021-03-01; lead = 214 d (7 m); signal type = Precollapse. Three of the five cases produced precollapse signals, and all three corresponded to ductile or late brittle failure modes. The two cases without a precollapse signal (Terra</w:t>
      </w:r>
      <w:r w:rsidR="004C33EC">
        <w:rPr>
          <w:rFonts w:ascii="Times New Roman" w:eastAsia="Times New Roman" w:hAnsi="Times New Roman" w:cs="Times New Roman"/>
        </w:rPr>
        <w:t>–</w:t>
      </w:r>
      <w:r>
        <w:rPr>
          <w:rFonts w:ascii="Times New Roman" w:eastAsia="Times New Roman" w:hAnsi="Times New Roman" w:cs="Times New Roman"/>
        </w:rPr>
        <w:t>Luna and Fukushima) corresponded to the preloaded and exogenous-trigger failure modes, respectively. This alignment between the signal lead-time and failure mode classification provide</w:t>
      </w:r>
      <w:r w:rsidR="00402109">
        <w:rPr>
          <w:rFonts w:ascii="Times New Roman" w:eastAsia="Times New Roman" w:hAnsi="Times New Roman" w:cs="Times New Roman"/>
        </w:rPr>
        <w:t>d</w:t>
      </w:r>
      <w:r>
        <w:rPr>
          <w:rFonts w:ascii="Times New Roman" w:eastAsia="Times New Roman" w:hAnsi="Times New Roman" w:cs="Times New Roman"/>
        </w:rPr>
        <w:t xml:space="preserve"> an independent validation of the taxonomy.</w:t>
      </w:r>
    </w:p>
    <w:p w14:paraId="25141BD6" w14:textId="161D704D" w:rsidR="00B76A40" w:rsidRDefault="00000000">
      <w:pPr>
        <w:spacing w:after="160" w:line="360" w:lineRule="auto"/>
        <w:jc w:val="both"/>
        <w:rPr>
          <w:rFonts w:ascii="Times New Roman" w:eastAsia="Times New Roman" w:hAnsi="Times New Roman" w:cs="Times New Roman"/>
        </w:rPr>
      </w:pPr>
      <w:r w:rsidRPr="004C33EC">
        <w:rPr>
          <w:rFonts w:ascii="Times New Roman" w:eastAsia="Times New Roman" w:hAnsi="Times New Roman" w:cs="Times New Roman"/>
          <w:b/>
        </w:rPr>
        <w:t xml:space="preserve">Supplementary Table 18. </w:t>
      </w:r>
      <w:r>
        <w:rPr>
          <w:rFonts w:ascii="Times New Roman" w:eastAsia="Times New Roman" w:hAnsi="Times New Roman" w:cs="Times New Roman"/>
        </w:rPr>
        <w:t xml:space="preserve">Window definitions for all cases. Three temporally ordered windows were defined for each case: stable (P-limit calibration only; no Π computed), control (noncrisis comparison), and crisis (stress episode). Windows may overlap as described in the </w:t>
      </w:r>
      <w:r>
        <w:rPr>
          <w:rFonts w:ascii="Times New Roman" w:eastAsia="Times New Roman" w:hAnsi="Times New Roman" w:cs="Times New Roman"/>
        </w:rPr>
        <w:lastRenderedPageBreak/>
        <w:t>Methods section. 2008 Financial: Stable 2004-01 to 2006-12; Control 2004-01-09 to 2006-06-30 (N = 574 d); Crisis 2005-01-05 to 2009-03-31 (N = 990 d); Stable–Control overlap (control period is itself stable); Control is a subset of Crisis. Terra</w:t>
      </w:r>
      <w:r w:rsidR="004C33EC">
        <w:rPr>
          <w:rFonts w:ascii="Times New Roman" w:eastAsia="Times New Roman" w:hAnsi="Times New Roman" w:cs="Times New Roman"/>
        </w:rPr>
        <w:t>–</w:t>
      </w:r>
      <w:r>
        <w:rPr>
          <w:rFonts w:ascii="Times New Roman" w:eastAsia="Times New Roman" w:hAnsi="Times New Roman" w:cs="Times New Roman"/>
        </w:rPr>
        <w:t>Luna: Stable 2021-01 to 2021-12; Control 2021-07-01 to 2022-01-31 (N = 215 d); Crisis 2021-07-01 to 2022-07-31 (N = 396 d). Control is a subset of Crisis. Fukushima: Stable 2009-01 to 2010-12; Control 2010-06-08 to 2011-02-28 (N = 177 d); Crisis 2010-06-08 to 2011-09-29 (N = 321 d). Control is a subset of Crisis. COVID-19: Stable 2018-01 to 2019-12; Control 2019-07-01 to 2020-01-31 (N = 149 d); Crisis 2019-07-01 to 2020-04-29 (N = 210 d); Control is a subset of Crisis. Supply Chain: Stable from 2015-01 to 2019-12; Control from 2019-02 to 2020-06 (N = 17 m); Crisis from 2019-02 to 2022-12 (N = 47 m); Control is a subset of crisis. In all cases, the stable window preceded the crisis episode, ensuring no look-ahead bias in the P-limit calibration.</w:t>
      </w:r>
    </w:p>
    <w:p w14:paraId="2FB95A55" w14:textId="40846040" w:rsidR="00576BDC" w:rsidRPr="00523E0F" w:rsidRDefault="00576BDC" w:rsidP="00576BDC">
      <w:pPr>
        <w:spacing w:after="80" w:line="480" w:lineRule="auto"/>
        <w:rPr>
          <w:bCs/>
          <w:color w:val="000000" w:themeColor="text1"/>
        </w:rPr>
      </w:pPr>
      <w:r w:rsidRPr="00523E0F">
        <w:rPr>
          <w:rFonts w:ascii="Times New Roman" w:eastAsia="Times New Roman" w:hAnsi="Times New Roman" w:cs="Times New Roman"/>
          <w:b/>
          <w:color w:val="000000" w:themeColor="text1"/>
        </w:rPr>
        <w:t>Supplementary</w:t>
      </w:r>
      <w:r w:rsidRPr="00523E0F">
        <w:rPr>
          <w:b/>
          <w:color w:val="000000" w:themeColor="text1"/>
        </w:rPr>
        <w:t xml:space="preserve"> </w:t>
      </w:r>
      <w:r w:rsidRPr="00523E0F">
        <w:rPr>
          <w:rFonts w:ascii="Times New Roman" w:hAnsi="Times New Roman" w:cs="Times New Roman"/>
          <w:b/>
          <w:color w:val="000000" w:themeColor="text1"/>
        </w:rPr>
        <w:t>Table 19</w:t>
      </w:r>
      <w:r w:rsidR="007348FE">
        <w:rPr>
          <w:rFonts w:ascii="Times New Roman" w:hAnsi="Times New Roman" w:cs="Times New Roman" w:hint="eastAsia"/>
          <w:b/>
          <w:color w:val="000000" w:themeColor="text1"/>
        </w:rPr>
        <w:t>.</w:t>
      </w:r>
      <w:r w:rsidRPr="00523E0F">
        <w:rPr>
          <w:bCs/>
          <w:color w:val="000000" w:themeColor="text1"/>
        </w:rPr>
        <w:t xml:space="preserve"> Permutation test results (N = 10,000 per case). Fisher combined p = 1.66 × 10</w:t>
      </w:r>
      <w:r w:rsidRPr="00523E0F">
        <w:rPr>
          <w:rFonts w:ascii="Cambria Math" w:hAnsi="Cambria Math" w:cs="Cambria Math"/>
          <w:bCs/>
          <w:color w:val="000000" w:themeColor="text1"/>
        </w:rPr>
        <w:t>⁻</w:t>
      </w:r>
      <w:r w:rsidRPr="00523E0F">
        <w:rPr>
          <w:bCs/>
          <w:color w:val="000000" w:themeColor="text1"/>
        </w:rPr>
        <w:t>¹¹.</w:t>
      </w:r>
    </w:p>
    <w:tbl>
      <w:tblPr>
        <w:tblW w:w="9026" w:type="dxa"/>
        <w:jc w:val="center"/>
        <w:tblLayout w:type="fixed"/>
        <w:tblLook w:val="0420" w:firstRow="1" w:lastRow="0" w:firstColumn="0" w:lastColumn="0" w:noHBand="0" w:noVBand="1"/>
      </w:tblPr>
      <w:tblGrid>
        <w:gridCol w:w="2199"/>
        <w:gridCol w:w="1201"/>
        <w:gridCol w:w="1600"/>
        <w:gridCol w:w="1599"/>
        <w:gridCol w:w="2427"/>
      </w:tblGrid>
      <w:tr w:rsidR="00576BDC" w:rsidRPr="00576BDC" w14:paraId="1CF333B1" w14:textId="77777777" w:rsidTr="0019276E">
        <w:trPr>
          <w:jc w:val="center"/>
        </w:trPr>
        <w:tc>
          <w:tcPr>
            <w:tcW w:w="2199" w:type="dxa"/>
            <w:tcBorders>
              <w:top w:val="single" w:sz="12" w:space="0" w:color="000000"/>
              <w:bottom w:val="single" w:sz="6" w:space="0" w:color="000000"/>
            </w:tcBorders>
          </w:tcPr>
          <w:p w14:paraId="74CB36E2" w14:textId="77777777" w:rsidR="00576BDC" w:rsidRPr="00523E0F" w:rsidRDefault="00576BDC" w:rsidP="0019276E">
            <w:pPr>
              <w:spacing w:line="480" w:lineRule="auto"/>
              <w:rPr>
                <w:bCs/>
                <w:color w:val="000000" w:themeColor="text1"/>
                <w:sz w:val="18"/>
              </w:rPr>
            </w:pPr>
            <w:r w:rsidRPr="00523E0F">
              <w:rPr>
                <w:bCs/>
                <w:color w:val="000000" w:themeColor="text1"/>
                <w:sz w:val="18"/>
              </w:rPr>
              <w:t>Case</w:t>
            </w:r>
          </w:p>
        </w:tc>
        <w:tc>
          <w:tcPr>
            <w:tcW w:w="1201" w:type="dxa"/>
            <w:tcBorders>
              <w:top w:val="single" w:sz="12" w:space="0" w:color="000000"/>
              <w:bottom w:val="single" w:sz="6" w:space="0" w:color="000000"/>
            </w:tcBorders>
          </w:tcPr>
          <w:p w14:paraId="33056B4C" w14:textId="77777777" w:rsidR="00576BDC" w:rsidRPr="00523E0F" w:rsidRDefault="00576BDC" w:rsidP="0019276E">
            <w:pPr>
              <w:spacing w:line="480" w:lineRule="auto"/>
              <w:rPr>
                <w:bCs/>
                <w:color w:val="000000" w:themeColor="text1"/>
                <w:sz w:val="18"/>
              </w:rPr>
            </w:pPr>
            <w:r w:rsidRPr="00523E0F">
              <w:rPr>
                <w:bCs/>
                <w:color w:val="000000" w:themeColor="text1"/>
                <w:sz w:val="18"/>
              </w:rPr>
              <w:t>N</w:t>
            </w:r>
          </w:p>
        </w:tc>
        <w:tc>
          <w:tcPr>
            <w:tcW w:w="1600" w:type="dxa"/>
            <w:tcBorders>
              <w:top w:val="single" w:sz="12" w:space="0" w:color="000000"/>
              <w:bottom w:val="single" w:sz="6" w:space="0" w:color="000000"/>
            </w:tcBorders>
          </w:tcPr>
          <w:p w14:paraId="71F20B5D" w14:textId="77777777" w:rsidR="00576BDC" w:rsidRPr="00523E0F" w:rsidRDefault="00576BDC" w:rsidP="0019276E">
            <w:pPr>
              <w:spacing w:line="480" w:lineRule="auto"/>
              <w:rPr>
                <w:bCs/>
                <w:color w:val="000000" w:themeColor="text1"/>
                <w:sz w:val="18"/>
              </w:rPr>
            </w:pPr>
            <w:r w:rsidRPr="00523E0F">
              <w:rPr>
                <w:bCs/>
                <w:color w:val="000000" w:themeColor="text1"/>
                <w:sz w:val="18"/>
              </w:rPr>
              <w:t>z-score</w:t>
            </w:r>
          </w:p>
        </w:tc>
        <w:tc>
          <w:tcPr>
            <w:tcW w:w="1599" w:type="dxa"/>
            <w:tcBorders>
              <w:top w:val="single" w:sz="12" w:space="0" w:color="000000"/>
              <w:bottom w:val="single" w:sz="6" w:space="0" w:color="000000"/>
            </w:tcBorders>
          </w:tcPr>
          <w:p w14:paraId="6DAAD6EF" w14:textId="77777777" w:rsidR="00576BDC" w:rsidRPr="00523E0F" w:rsidRDefault="00576BDC" w:rsidP="0019276E">
            <w:pPr>
              <w:spacing w:line="480" w:lineRule="auto"/>
              <w:rPr>
                <w:bCs/>
                <w:color w:val="000000" w:themeColor="text1"/>
                <w:sz w:val="18"/>
              </w:rPr>
            </w:pPr>
            <w:r w:rsidRPr="00523E0F">
              <w:rPr>
                <w:bCs/>
                <w:color w:val="000000" w:themeColor="text1"/>
                <w:sz w:val="18"/>
              </w:rPr>
              <w:t>p-value</w:t>
            </w:r>
          </w:p>
        </w:tc>
        <w:tc>
          <w:tcPr>
            <w:tcW w:w="2427" w:type="dxa"/>
            <w:tcBorders>
              <w:top w:val="single" w:sz="12" w:space="0" w:color="000000"/>
              <w:bottom w:val="single" w:sz="6" w:space="0" w:color="000000"/>
            </w:tcBorders>
          </w:tcPr>
          <w:p w14:paraId="4E047B18" w14:textId="77777777" w:rsidR="00576BDC" w:rsidRPr="00523E0F" w:rsidRDefault="00576BDC" w:rsidP="0019276E">
            <w:pPr>
              <w:spacing w:line="480" w:lineRule="auto"/>
              <w:rPr>
                <w:bCs/>
                <w:color w:val="000000" w:themeColor="text1"/>
                <w:sz w:val="18"/>
              </w:rPr>
            </w:pPr>
            <w:r w:rsidRPr="00523E0F">
              <w:rPr>
                <w:bCs/>
                <w:color w:val="000000" w:themeColor="text1"/>
                <w:sz w:val="18"/>
              </w:rPr>
              <w:t>Significant</w:t>
            </w:r>
          </w:p>
        </w:tc>
      </w:tr>
      <w:tr w:rsidR="00576BDC" w:rsidRPr="00576BDC" w14:paraId="47BE2497" w14:textId="77777777" w:rsidTr="0019276E">
        <w:trPr>
          <w:jc w:val="center"/>
        </w:trPr>
        <w:tc>
          <w:tcPr>
            <w:tcW w:w="2199" w:type="dxa"/>
          </w:tcPr>
          <w:p w14:paraId="3912DD53" w14:textId="77777777" w:rsidR="00576BDC" w:rsidRPr="00523E0F" w:rsidRDefault="00576BDC" w:rsidP="0019276E">
            <w:pPr>
              <w:spacing w:line="480" w:lineRule="auto"/>
              <w:rPr>
                <w:bCs/>
                <w:color w:val="000000" w:themeColor="text1"/>
                <w:sz w:val="18"/>
              </w:rPr>
            </w:pPr>
            <w:r w:rsidRPr="00523E0F">
              <w:rPr>
                <w:bCs/>
                <w:color w:val="000000" w:themeColor="text1"/>
                <w:sz w:val="18"/>
              </w:rPr>
              <w:t>2008 Financial</w:t>
            </w:r>
          </w:p>
        </w:tc>
        <w:tc>
          <w:tcPr>
            <w:tcW w:w="1201" w:type="dxa"/>
          </w:tcPr>
          <w:p w14:paraId="23C192B2" w14:textId="77777777" w:rsidR="00576BDC" w:rsidRPr="00523E0F" w:rsidRDefault="00576BDC" w:rsidP="0019276E">
            <w:pPr>
              <w:spacing w:line="480" w:lineRule="auto"/>
              <w:rPr>
                <w:bCs/>
                <w:color w:val="000000" w:themeColor="text1"/>
                <w:sz w:val="18"/>
              </w:rPr>
            </w:pPr>
            <w:r w:rsidRPr="00523E0F">
              <w:rPr>
                <w:bCs/>
                <w:color w:val="000000" w:themeColor="text1"/>
                <w:sz w:val="18"/>
              </w:rPr>
              <w:t>990</w:t>
            </w:r>
          </w:p>
        </w:tc>
        <w:tc>
          <w:tcPr>
            <w:tcW w:w="1600" w:type="dxa"/>
          </w:tcPr>
          <w:p w14:paraId="54256C76" w14:textId="77777777" w:rsidR="00576BDC" w:rsidRPr="00523E0F" w:rsidRDefault="00576BDC" w:rsidP="0019276E">
            <w:pPr>
              <w:spacing w:line="480" w:lineRule="auto"/>
              <w:rPr>
                <w:bCs/>
                <w:color w:val="000000" w:themeColor="text1"/>
                <w:sz w:val="18"/>
              </w:rPr>
            </w:pPr>
            <w:r w:rsidRPr="00523E0F">
              <w:rPr>
                <w:bCs/>
                <w:color w:val="000000" w:themeColor="text1"/>
                <w:sz w:val="18"/>
              </w:rPr>
              <w:t>12.77</w:t>
            </w:r>
          </w:p>
        </w:tc>
        <w:tc>
          <w:tcPr>
            <w:tcW w:w="1599" w:type="dxa"/>
          </w:tcPr>
          <w:p w14:paraId="3ABED4BE" w14:textId="77777777" w:rsidR="00576BDC" w:rsidRPr="00523E0F" w:rsidRDefault="00576BDC" w:rsidP="0019276E">
            <w:pPr>
              <w:spacing w:line="480" w:lineRule="auto"/>
              <w:rPr>
                <w:bCs/>
                <w:color w:val="000000" w:themeColor="text1"/>
                <w:sz w:val="18"/>
              </w:rPr>
            </w:pPr>
            <w:r w:rsidRPr="00523E0F">
              <w:rPr>
                <w:bCs/>
                <w:color w:val="000000" w:themeColor="text1"/>
                <w:sz w:val="18"/>
              </w:rPr>
              <w:t>&lt;0.001</w:t>
            </w:r>
          </w:p>
        </w:tc>
        <w:tc>
          <w:tcPr>
            <w:tcW w:w="2427" w:type="dxa"/>
          </w:tcPr>
          <w:p w14:paraId="45F449C0" w14:textId="77777777" w:rsidR="00576BDC" w:rsidRPr="00523E0F" w:rsidRDefault="00576BDC" w:rsidP="0019276E">
            <w:pPr>
              <w:spacing w:line="480" w:lineRule="auto"/>
              <w:rPr>
                <w:bCs/>
                <w:color w:val="000000" w:themeColor="text1"/>
                <w:sz w:val="18"/>
              </w:rPr>
            </w:pPr>
            <w:r w:rsidRPr="00523E0F">
              <w:rPr>
                <w:bCs/>
                <w:color w:val="000000" w:themeColor="text1"/>
                <w:sz w:val="18"/>
              </w:rPr>
              <w:t>***</w:t>
            </w:r>
          </w:p>
        </w:tc>
      </w:tr>
      <w:tr w:rsidR="00576BDC" w:rsidRPr="00576BDC" w14:paraId="01924AFF" w14:textId="77777777" w:rsidTr="0019276E">
        <w:trPr>
          <w:jc w:val="center"/>
        </w:trPr>
        <w:tc>
          <w:tcPr>
            <w:tcW w:w="2199" w:type="dxa"/>
          </w:tcPr>
          <w:p w14:paraId="648E8687" w14:textId="77777777" w:rsidR="00576BDC" w:rsidRPr="00523E0F" w:rsidRDefault="00576BDC" w:rsidP="0019276E">
            <w:pPr>
              <w:spacing w:line="480" w:lineRule="auto"/>
              <w:rPr>
                <w:bCs/>
                <w:color w:val="000000" w:themeColor="text1"/>
                <w:sz w:val="18"/>
              </w:rPr>
            </w:pPr>
            <w:r w:rsidRPr="00523E0F">
              <w:rPr>
                <w:bCs/>
                <w:color w:val="000000" w:themeColor="text1"/>
                <w:sz w:val="18"/>
              </w:rPr>
              <w:t>Terra-Luna</w:t>
            </w:r>
          </w:p>
        </w:tc>
        <w:tc>
          <w:tcPr>
            <w:tcW w:w="1201" w:type="dxa"/>
          </w:tcPr>
          <w:p w14:paraId="4ACBC26F" w14:textId="77777777" w:rsidR="00576BDC" w:rsidRPr="00523E0F" w:rsidRDefault="00576BDC" w:rsidP="0019276E">
            <w:pPr>
              <w:spacing w:line="480" w:lineRule="auto"/>
              <w:rPr>
                <w:bCs/>
                <w:color w:val="000000" w:themeColor="text1"/>
                <w:sz w:val="18"/>
              </w:rPr>
            </w:pPr>
            <w:r w:rsidRPr="00523E0F">
              <w:rPr>
                <w:bCs/>
                <w:color w:val="000000" w:themeColor="text1"/>
                <w:sz w:val="18"/>
              </w:rPr>
              <w:t>396</w:t>
            </w:r>
          </w:p>
        </w:tc>
        <w:tc>
          <w:tcPr>
            <w:tcW w:w="1600" w:type="dxa"/>
          </w:tcPr>
          <w:p w14:paraId="05EEEA8E" w14:textId="77777777" w:rsidR="00576BDC" w:rsidRPr="00523E0F" w:rsidRDefault="00576BDC" w:rsidP="0019276E">
            <w:pPr>
              <w:spacing w:line="480" w:lineRule="auto"/>
              <w:rPr>
                <w:bCs/>
                <w:color w:val="000000" w:themeColor="text1"/>
                <w:sz w:val="18"/>
              </w:rPr>
            </w:pPr>
            <w:r w:rsidRPr="00523E0F">
              <w:rPr>
                <w:bCs/>
                <w:color w:val="000000" w:themeColor="text1"/>
                <w:sz w:val="18"/>
              </w:rPr>
              <w:t>5.49</w:t>
            </w:r>
          </w:p>
        </w:tc>
        <w:tc>
          <w:tcPr>
            <w:tcW w:w="1599" w:type="dxa"/>
          </w:tcPr>
          <w:p w14:paraId="39A8EEFA" w14:textId="77777777" w:rsidR="00576BDC" w:rsidRPr="00523E0F" w:rsidRDefault="00576BDC" w:rsidP="0019276E">
            <w:pPr>
              <w:spacing w:line="480" w:lineRule="auto"/>
              <w:rPr>
                <w:bCs/>
                <w:color w:val="000000" w:themeColor="text1"/>
                <w:sz w:val="18"/>
              </w:rPr>
            </w:pPr>
            <w:r w:rsidRPr="00523E0F">
              <w:rPr>
                <w:bCs/>
                <w:color w:val="000000" w:themeColor="text1"/>
                <w:sz w:val="18"/>
              </w:rPr>
              <w:t>&lt;0.001</w:t>
            </w:r>
          </w:p>
        </w:tc>
        <w:tc>
          <w:tcPr>
            <w:tcW w:w="2427" w:type="dxa"/>
          </w:tcPr>
          <w:p w14:paraId="20E4B8CD" w14:textId="77777777" w:rsidR="00576BDC" w:rsidRPr="00523E0F" w:rsidRDefault="00576BDC" w:rsidP="0019276E">
            <w:pPr>
              <w:spacing w:line="480" w:lineRule="auto"/>
              <w:rPr>
                <w:bCs/>
                <w:color w:val="000000" w:themeColor="text1"/>
                <w:sz w:val="18"/>
              </w:rPr>
            </w:pPr>
            <w:r w:rsidRPr="00523E0F">
              <w:rPr>
                <w:bCs/>
                <w:color w:val="000000" w:themeColor="text1"/>
                <w:sz w:val="18"/>
              </w:rPr>
              <w:t>***</w:t>
            </w:r>
          </w:p>
        </w:tc>
      </w:tr>
      <w:tr w:rsidR="00576BDC" w:rsidRPr="00576BDC" w14:paraId="34110269" w14:textId="77777777" w:rsidTr="0019276E">
        <w:trPr>
          <w:jc w:val="center"/>
        </w:trPr>
        <w:tc>
          <w:tcPr>
            <w:tcW w:w="2199" w:type="dxa"/>
          </w:tcPr>
          <w:p w14:paraId="6453C6CA" w14:textId="77777777" w:rsidR="00576BDC" w:rsidRPr="00523E0F" w:rsidRDefault="00576BDC" w:rsidP="0019276E">
            <w:pPr>
              <w:spacing w:line="480" w:lineRule="auto"/>
              <w:rPr>
                <w:bCs/>
                <w:color w:val="000000" w:themeColor="text1"/>
                <w:sz w:val="18"/>
              </w:rPr>
            </w:pPr>
            <w:r w:rsidRPr="00523E0F">
              <w:rPr>
                <w:bCs/>
                <w:color w:val="000000" w:themeColor="text1"/>
                <w:sz w:val="18"/>
              </w:rPr>
              <w:t>Fukushima</w:t>
            </w:r>
          </w:p>
        </w:tc>
        <w:tc>
          <w:tcPr>
            <w:tcW w:w="1201" w:type="dxa"/>
          </w:tcPr>
          <w:p w14:paraId="7CFE2F63" w14:textId="77777777" w:rsidR="00576BDC" w:rsidRPr="00523E0F" w:rsidRDefault="00576BDC" w:rsidP="0019276E">
            <w:pPr>
              <w:spacing w:line="480" w:lineRule="auto"/>
              <w:rPr>
                <w:bCs/>
                <w:color w:val="000000" w:themeColor="text1"/>
                <w:sz w:val="18"/>
              </w:rPr>
            </w:pPr>
            <w:r w:rsidRPr="00523E0F">
              <w:rPr>
                <w:bCs/>
                <w:color w:val="000000" w:themeColor="text1"/>
                <w:sz w:val="18"/>
              </w:rPr>
              <w:t>321</w:t>
            </w:r>
          </w:p>
        </w:tc>
        <w:tc>
          <w:tcPr>
            <w:tcW w:w="1600" w:type="dxa"/>
          </w:tcPr>
          <w:p w14:paraId="3E6CE5DF" w14:textId="77777777" w:rsidR="00576BDC" w:rsidRPr="00523E0F" w:rsidRDefault="00576BDC" w:rsidP="0019276E">
            <w:pPr>
              <w:spacing w:line="480" w:lineRule="auto"/>
              <w:rPr>
                <w:bCs/>
                <w:color w:val="000000" w:themeColor="text1"/>
                <w:sz w:val="18"/>
              </w:rPr>
            </w:pPr>
            <w:r w:rsidRPr="00523E0F">
              <w:rPr>
                <w:bCs/>
                <w:color w:val="000000" w:themeColor="text1"/>
                <w:sz w:val="18"/>
              </w:rPr>
              <w:t>4.16</w:t>
            </w:r>
          </w:p>
        </w:tc>
        <w:tc>
          <w:tcPr>
            <w:tcW w:w="1599" w:type="dxa"/>
          </w:tcPr>
          <w:p w14:paraId="72BB6E0E" w14:textId="77777777" w:rsidR="00576BDC" w:rsidRPr="00523E0F" w:rsidRDefault="00576BDC" w:rsidP="0019276E">
            <w:pPr>
              <w:spacing w:line="480" w:lineRule="auto"/>
              <w:rPr>
                <w:bCs/>
                <w:color w:val="000000" w:themeColor="text1"/>
                <w:sz w:val="18"/>
              </w:rPr>
            </w:pPr>
            <w:r w:rsidRPr="00523E0F">
              <w:rPr>
                <w:bCs/>
                <w:color w:val="000000" w:themeColor="text1"/>
                <w:sz w:val="18"/>
              </w:rPr>
              <w:t>0.0008</w:t>
            </w:r>
          </w:p>
        </w:tc>
        <w:tc>
          <w:tcPr>
            <w:tcW w:w="2427" w:type="dxa"/>
          </w:tcPr>
          <w:p w14:paraId="1B7A0B52" w14:textId="77777777" w:rsidR="00576BDC" w:rsidRPr="00523E0F" w:rsidRDefault="00576BDC" w:rsidP="0019276E">
            <w:pPr>
              <w:spacing w:line="480" w:lineRule="auto"/>
              <w:rPr>
                <w:bCs/>
                <w:color w:val="000000" w:themeColor="text1"/>
                <w:sz w:val="18"/>
              </w:rPr>
            </w:pPr>
            <w:r w:rsidRPr="00523E0F">
              <w:rPr>
                <w:bCs/>
                <w:color w:val="000000" w:themeColor="text1"/>
                <w:sz w:val="18"/>
              </w:rPr>
              <w:t>***</w:t>
            </w:r>
          </w:p>
        </w:tc>
      </w:tr>
      <w:tr w:rsidR="00576BDC" w:rsidRPr="00576BDC" w14:paraId="3A6C778D" w14:textId="77777777" w:rsidTr="0019276E">
        <w:trPr>
          <w:jc w:val="center"/>
        </w:trPr>
        <w:tc>
          <w:tcPr>
            <w:tcW w:w="2199" w:type="dxa"/>
          </w:tcPr>
          <w:p w14:paraId="0B9643C6" w14:textId="77777777" w:rsidR="00576BDC" w:rsidRPr="00523E0F" w:rsidRDefault="00576BDC" w:rsidP="0019276E">
            <w:pPr>
              <w:spacing w:line="480" w:lineRule="auto"/>
              <w:rPr>
                <w:bCs/>
                <w:color w:val="000000" w:themeColor="text1"/>
                <w:sz w:val="18"/>
              </w:rPr>
            </w:pPr>
            <w:r w:rsidRPr="00523E0F">
              <w:rPr>
                <w:bCs/>
                <w:color w:val="000000" w:themeColor="text1"/>
                <w:sz w:val="18"/>
              </w:rPr>
              <w:t>COVID-19</w:t>
            </w:r>
          </w:p>
        </w:tc>
        <w:tc>
          <w:tcPr>
            <w:tcW w:w="1201" w:type="dxa"/>
          </w:tcPr>
          <w:p w14:paraId="1EB2BD4D" w14:textId="77777777" w:rsidR="00576BDC" w:rsidRPr="00523E0F" w:rsidRDefault="00576BDC" w:rsidP="0019276E">
            <w:pPr>
              <w:spacing w:line="480" w:lineRule="auto"/>
              <w:rPr>
                <w:bCs/>
                <w:color w:val="000000" w:themeColor="text1"/>
                <w:sz w:val="18"/>
              </w:rPr>
            </w:pPr>
            <w:r w:rsidRPr="00523E0F">
              <w:rPr>
                <w:bCs/>
                <w:color w:val="000000" w:themeColor="text1"/>
                <w:sz w:val="18"/>
              </w:rPr>
              <w:t>210</w:t>
            </w:r>
          </w:p>
        </w:tc>
        <w:tc>
          <w:tcPr>
            <w:tcW w:w="1600" w:type="dxa"/>
          </w:tcPr>
          <w:p w14:paraId="4A14F98E" w14:textId="77777777" w:rsidR="00576BDC" w:rsidRPr="00523E0F" w:rsidRDefault="00576BDC" w:rsidP="0019276E">
            <w:pPr>
              <w:spacing w:line="480" w:lineRule="auto"/>
              <w:rPr>
                <w:bCs/>
                <w:color w:val="000000" w:themeColor="text1"/>
                <w:sz w:val="18"/>
              </w:rPr>
            </w:pPr>
            <w:r w:rsidRPr="00523E0F">
              <w:rPr>
                <w:bCs/>
                <w:color w:val="000000" w:themeColor="text1"/>
                <w:sz w:val="18"/>
              </w:rPr>
              <w:t>17.98</w:t>
            </w:r>
          </w:p>
        </w:tc>
        <w:tc>
          <w:tcPr>
            <w:tcW w:w="1599" w:type="dxa"/>
          </w:tcPr>
          <w:p w14:paraId="21B69A79" w14:textId="77777777" w:rsidR="00576BDC" w:rsidRPr="00523E0F" w:rsidRDefault="00576BDC" w:rsidP="0019276E">
            <w:pPr>
              <w:spacing w:line="480" w:lineRule="auto"/>
              <w:rPr>
                <w:bCs/>
                <w:color w:val="000000" w:themeColor="text1"/>
                <w:sz w:val="18"/>
              </w:rPr>
            </w:pPr>
            <w:r w:rsidRPr="00523E0F">
              <w:rPr>
                <w:bCs/>
                <w:color w:val="000000" w:themeColor="text1"/>
                <w:sz w:val="18"/>
              </w:rPr>
              <w:t>&lt;0.001</w:t>
            </w:r>
          </w:p>
        </w:tc>
        <w:tc>
          <w:tcPr>
            <w:tcW w:w="2427" w:type="dxa"/>
          </w:tcPr>
          <w:p w14:paraId="7550DE48" w14:textId="77777777" w:rsidR="00576BDC" w:rsidRPr="00523E0F" w:rsidRDefault="00576BDC" w:rsidP="0019276E">
            <w:pPr>
              <w:spacing w:line="480" w:lineRule="auto"/>
              <w:rPr>
                <w:bCs/>
                <w:color w:val="000000" w:themeColor="text1"/>
                <w:sz w:val="18"/>
              </w:rPr>
            </w:pPr>
            <w:r w:rsidRPr="00523E0F">
              <w:rPr>
                <w:bCs/>
                <w:color w:val="000000" w:themeColor="text1"/>
                <w:sz w:val="18"/>
              </w:rPr>
              <w:t>***</w:t>
            </w:r>
          </w:p>
        </w:tc>
      </w:tr>
      <w:tr w:rsidR="00576BDC" w:rsidRPr="00576BDC" w14:paraId="1BAF12F8" w14:textId="77777777" w:rsidTr="0019276E">
        <w:trPr>
          <w:jc w:val="center"/>
        </w:trPr>
        <w:tc>
          <w:tcPr>
            <w:tcW w:w="2199" w:type="dxa"/>
            <w:tcBorders>
              <w:bottom w:val="single" w:sz="12" w:space="0" w:color="000000"/>
            </w:tcBorders>
          </w:tcPr>
          <w:p w14:paraId="6E333EC0" w14:textId="77777777" w:rsidR="00576BDC" w:rsidRPr="00523E0F" w:rsidRDefault="00576BDC" w:rsidP="0019276E">
            <w:pPr>
              <w:spacing w:line="480" w:lineRule="auto"/>
              <w:rPr>
                <w:bCs/>
                <w:color w:val="000000" w:themeColor="text1"/>
                <w:sz w:val="18"/>
              </w:rPr>
            </w:pPr>
            <w:r w:rsidRPr="00523E0F">
              <w:rPr>
                <w:bCs/>
                <w:color w:val="000000" w:themeColor="text1"/>
                <w:sz w:val="18"/>
              </w:rPr>
              <w:t>Supply Chain</w:t>
            </w:r>
          </w:p>
        </w:tc>
        <w:tc>
          <w:tcPr>
            <w:tcW w:w="1201" w:type="dxa"/>
            <w:tcBorders>
              <w:bottom w:val="single" w:sz="12" w:space="0" w:color="000000"/>
            </w:tcBorders>
          </w:tcPr>
          <w:p w14:paraId="3EFB467C" w14:textId="77777777" w:rsidR="00576BDC" w:rsidRPr="00523E0F" w:rsidRDefault="00576BDC" w:rsidP="0019276E">
            <w:pPr>
              <w:spacing w:line="480" w:lineRule="auto"/>
              <w:rPr>
                <w:bCs/>
                <w:color w:val="000000" w:themeColor="text1"/>
                <w:sz w:val="18"/>
              </w:rPr>
            </w:pPr>
            <w:r w:rsidRPr="00523E0F">
              <w:rPr>
                <w:bCs/>
                <w:color w:val="000000" w:themeColor="text1"/>
                <w:sz w:val="18"/>
              </w:rPr>
              <w:t>47</w:t>
            </w:r>
          </w:p>
        </w:tc>
        <w:tc>
          <w:tcPr>
            <w:tcW w:w="1600" w:type="dxa"/>
            <w:tcBorders>
              <w:bottom w:val="single" w:sz="12" w:space="0" w:color="000000"/>
            </w:tcBorders>
          </w:tcPr>
          <w:p w14:paraId="48CBCAC1" w14:textId="77777777" w:rsidR="00576BDC" w:rsidRPr="00523E0F" w:rsidRDefault="00576BDC" w:rsidP="0019276E">
            <w:pPr>
              <w:spacing w:line="480" w:lineRule="auto"/>
              <w:rPr>
                <w:bCs/>
                <w:color w:val="000000" w:themeColor="text1"/>
                <w:sz w:val="18"/>
              </w:rPr>
            </w:pPr>
            <w:r w:rsidRPr="00523E0F">
              <w:rPr>
                <w:bCs/>
                <w:color w:val="000000" w:themeColor="text1"/>
                <w:sz w:val="18"/>
              </w:rPr>
              <w:t>0.37</w:t>
            </w:r>
          </w:p>
        </w:tc>
        <w:tc>
          <w:tcPr>
            <w:tcW w:w="1599" w:type="dxa"/>
            <w:tcBorders>
              <w:bottom w:val="single" w:sz="12" w:space="0" w:color="000000"/>
            </w:tcBorders>
          </w:tcPr>
          <w:p w14:paraId="4D2E216F" w14:textId="77777777" w:rsidR="00576BDC" w:rsidRPr="00523E0F" w:rsidRDefault="00576BDC" w:rsidP="0019276E">
            <w:pPr>
              <w:spacing w:line="480" w:lineRule="auto"/>
              <w:rPr>
                <w:bCs/>
                <w:color w:val="000000" w:themeColor="text1"/>
                <w:sz w:val="18"/>
              </w:rPr>
            </w:pPr>
            <w:r w:rsidRPr="00523E0F">
              <w:rPr>
                <w:bCs/>
                <w:color w:val="000000" w:themeColor="text1"/>
                <w:sz w:val="18"/>
              </w:rPr>
              <w:t>0.262</w:t>
            </w:r>
          </w:p>
        </w:tc>
        <w:tc>
          <w:tcPr>
            <w:tcW w:w="2427" w:type="dxa"/>
            <w:tcBorders>
              <w:bottom w:val="single" w:sz="12" w:space="0" w:color="000000"/>
            </w:tcBorders>
          </w:tcPr>
          <w:p w14:paraId="7DC5788F" w14:textId="77777777" w:rsidR="00576BDC" w:rsidRPr="00523E0F" w:rsidRDefault="00576BDC" w:rsidP="0019276E">
            <w:pPr>
              <w:spacing w:line="480" w:lineRule="auto"/>
              <w:rPr>
                <w:bCs/>
                <w:color w:val="000000" w:themeColor="text1"/>
                <w:sz w:val="18"/>
              </w:rPr>
            </w:pPr>
            <w:proofErr w:type="spellStart"/>
            <w:r w:rsidRPr="00523E0F">
              <w:rPr>
                <w:bCs/>
                <w:color w:val="000000" w:themeColor="text1"/>
                <w:sz w:val="18"/>
              </w:rPr>
              <w:t>n.s</w:t>
            </w:r>
            <w:proofErr w:type="spellEnd"/>
            <w:r w:rsidRPr="00523E0F">
              <w:rPr>
                <w:bCs/>
                <w:color w:val="000000" w:themeColor="text1"/>
                <w:sz w:val="18"/>
              </w:rPr>
              <w:t>.</w:t>
            </w:r>
          </w:p>
        </w:tc>
      </w:tr>
    </w:tbl>
    <w:p w14:paraId="4B60104F" w14:textId="77777777" w:rsidR="00DA5A18" w:rsidRDefault="00DA5A18">
      <w:pPr>
        <w:spacing w:after="160" w:line="360" w:lineRule="auto"/>
        <w:jc w:val="both"/>
        <w:rPr>
          <w:rFonts w:ascii="Times New Roman" w:eastAsia="Times New Roman" w:hAnsi="Times New Roman" w:cs="Times New Roman"/>
        </w:rPr>
      </w:pPr>
    </w:p>
    <w:p w14:paraId="3931B8A5" w14:textId="75C9EE2C" w:rsidR="00576BDC" w:rsidRDefault="00576BDC" w:rsidP="00576BDC">
      <w:pPr>
        <w:spacing w:after="80" w:line="480" w:lineRule="auto"/>
      </w:pPr>
      <w:r w:rsidRPr="00523E0F">
        <w:rPr>
          <w:rFonts w:ascii="Times New Roman" w:eastAsia="Times New Roman" w:hAnsi="Times New Roman" w:cs="Times New Roman"/>
          <w:b/>
          <w:color w:val="000000" w:themeColor="text1"/>
        </w:rPr>
        <w:t>Supplementary</w:t>
      </w:r>
      <w:r w:rsidRPr="00523E0F">
        <w:rPr>
          <w:b/>
          <w:color w:val="000000" w:themeColor="text1"/>
        </w:rPr>
        <w:t xml:space="preserve"> </w:t>
      </w:r>
      <w:r w:rsidRPr="00523E0F">
        <w:rPr>
          <w:rFonts w:ascii="Times New Roman" w:hAnsi="Times New Roman" w:cs="Times New Roman"/>
          <w:b/>
          <w:color w:val="000000" w:themeColor="text1"/>
        </w:rPr>
        <w:t>Table 20</w:t>
      </w:r>
      <w:r w:rsidR="007348FE">
        <w:rPr>
          <w:rFonts w:ascii="Times New Roman" w:hAnsi="Times New Roman" w:cs="Times New Roman" w:hint="eastAsia"/>
          <w:b/>
          <w:color w:val="000000" w:themeColor="text1"/>
        </w:rPr>
        <w:t>.</w:t>
      </w:r>
      <w:r>
        <w:rPr>
          <w:b/>
        </w:rPr>
        <w:t xml:space="preserve"> </w:t>
      </w:r>
      <w:r>
        <w:t>Failure mode classification based on Π accumulation at collapse and temporal lead time.</w:t>
      </w:r>
    </w:p>
    <w:tbl>
      <w:tblPr>
        <w:tblW w:w="9026" w:type="dxa"/>
        <w:jc w:val="center"/>
        <w:tblLayout w:type="fixed"/>
        <w:tblLook w:val="0420" w:firstRow="1" w:lastRow="0" w:firstColumn="0" w:lastColumn="0" w:noHBand="0" w:noVBand="1"/>
      </w:tblPr>
      <w:tblGrid>
        <w:gridCol w:w="1799"/>
        <w:gridCol w:w="1800"/>
        <w:gridCol w:w="1201"/>
        <w:gridCol w:w="1199"/>
        <w:gridCol w:w="3027"/>
      </w:tblGrid>
      <w:tr w:rsidR="00576BDC" w14:paraId="34AA4F19" w14:textId="77777777" w:rsidTr="0019276E">
        <w:trPr>
          <w:jc w:val="center"/>
        </w:trPr>
        <w:tc>
          <w:tcPr>
            <w:tcW w:w="1799" w:type="dxa"/>
            <w:tcBorders>
              <w:top w:val="single" w:sz="12" w:space="0" w:color="000000"/>
              <w:bottom w:val="single" w:sz="6" w:space="0" w:color="000000"/>
            </w:tcBorders>
          </w:tcPr>
          <w:p w14:paraId="43855E38" w14:textId="77777777" w:rsidR="00576BDC" w:rsidRDefault="00576BDC" w:rsidP="0019276E">
            <w:pPr>
              <w:spacing w:line="480" w:lineRule="auto"/>
              <w:rPr>
                <w:b/>
                <w:sz w:val="18"/>
              </w:rPr>
            </w:pPr>
            <w:r>
              <w:rPr>
                <w:b/>
                <w:sz w:val="18"/>
              </w:rPr>
              <w:t>Case</w:t>
            </w:r>
          </w:p>
        </w:tc>
        <w:tc>
          <w:tcPr>
            <w:tcW w:w="1800" w:type="dxa"/>
            <w:tcBorders>
              <w:top w:val="single" w:sz="12" w:space="0" w:color="000000"/>
              <w:bottom w:val="single" w:sz="6" w:space="0" w:color="000000"/>
            </w:tcBorders>
          </w:tcPr>
          <w:p w14:paraId="6E7C60BC" w14:textId="77777777" w:rsidR="00576BDC" w:rsidRDefault="00576BDC" w:rsidP="0019276E">
            <w:pPr>
              <w:spacing w:line="480" w:lineRule="auto"/>
              <w:rPr>
                <w:b/>
                <w:sz w:val="18"/>
              </w:rPr>
            </w:pPr>
            <w:proofErr w:type="spellStart"/>
            <w:r>
              <w:rPr>
                <w:b/>
                <w:sz w:val="18"/>
              </w:rPr>
              <w:t>Π@collapse</w:t>
            </w:r>
            <w:proofErr w:type="spellEnd"/>
            <w:r>
              <w:rPr>
                <w:b/>
                <w:sz w:val="18"/>
              </w:rPr>
              <w:t xml:space="preserve"> / </w:t>
            </w:r>
            <w:proofErr w:type="spellStart"/>
            <w:r>
              <w:rPr>
                <w:b/>
                <w:sz w:val="18"/>
              </w:rPr>
              <w:t>Π_max</w:t>
            </w:r>
            <w:proofErr w:type="spellEnd"/>
          </w:p>
        </w:tc>
        <w:tc>
          <w:tcPr>
            <w:tcW w:w="1201" w:type="dxa"/>
            <w:tcBorders>
              <w:top w:val="single" w:sz="12" w:space="0" w:color="000000"/>
              <w:bottom w:val="single" w:sz="6" w:space="0" w:color="000000"/>
            </w:tcBorders>
          </w:tcPr>
          <w:p w14:paraId="3497F6B2" w14:textId="77777777" w:rsidR="00576BDC" w:rsidRDefault="00576BDC" w:rsidP="0019276E">
            <w:pPr>
              <w:spacing w:line="480" w:lineRule="auto"/>
              <w:rPr>
                <w:b/>
                <w:sz w:val="18"/>
              </w:rPr>
            </w:pPr>
            <w:r>
              <w:rPr>
                <w:b/>
                <w:sz w:val="18"/>
              </w:rPr>
              <w:t>Lead (days)</w:t>
            </w:r>
          </w:p>
        </w:tc>
        <w:tc>
          <w:tcPr>
            <w:tcW w:w="1199" w:type="dxa"/>
            <w:tcBorders>
              <w:top w:val="single" w:sz="12" w:space="0" w:color="000000"/>
              <w:bottom w:val="single" w:sz="6" w:space="0" w:color="000000"/>
            </w:tcBorders>
          </w:tcPr>
          <w:p w14:paraId="44DFE1CE" w14:textId="77777777" w:rsidR="00576BDC" w:rsidRDefault="00576BDC" w:rsidP="0019276E">
            <w:pPr>
              <w:spacing w:line="480" w:lineRule="auto"/>
              <w:rPr>
                <w:b/>
                <w:sz w:val="18"/>
              </w:rPr>
            </w:pPr>
            <w:r>
              <w:rPr>
                <w:b/>
                <w:sz w:val="18"/>
              </w:rPr>
              <w:t>Mode</w:t>
            </w:r>
          </w:p>
        </w:tc>
        <w:tc>
          <w:tcPr>
            <w:tcW w:w="3027" w:type="dxa"/>
            <w:tcBorders>
              <w:top w:val="single" w:sz="12" w:space="0" w:color="000000"/>
              <w:bottom w:val="single" w:sz="6" w:space="0" w:color="000000"/>
            </w:tcBorders>
          </w:tcPr>
          <w:p w14:paraId="5BE67F31" w14:textId="77777777" w:rsidR="00576BDC" w:rsidRDefault="00576BDC" w:rsidP="0019276E">
            <w:pPr>
              <w:spacing w:line="480" w:lineRule="auto"/>
              <w:rPr>
                <w:b/>
                <w:sz w:val="18"/>
              </w:rPr>
            </w:pPr>
            <w:r>
              <w:rPr>
                <w:b/>
                <w:sz w:val="18"/>
              </w:rPr>
              <w:t>Analogy</w:t>
            </w:r>
          </w:p>
        </w:tc>
      </w:tr>
      <w:tr w:rsidR="00576BDC" w14:paraId="4A71E0B4" w14:textId="77777777" w:rsidTr="0019276E">
        <w:trPr>
          <w:jc w:val="center"/>
        </w:trPr>
        <w:tc>
          <w:tcPr>
            <w:tcW w:w="1799" w:type="dxa"/>
          </w:tcPr>
          <w:p w14:paraId="04A932D3" w14:textId="77777777" w:rsidR="00576BDC" w:rsidRDefault="00576BDC" w:rsidP="0019276E">
            <w:pPr>
              <w:spacing w:line="480" w:lineRule="auto"/>
              <w:rPr>
                <w:sz w:val="18"/>
              </w:rPr>
            </w:pPr>
            <w:r>
              <w:rPr>
                <w:sz w:val="18"/>
              </w:rPr>
              <w:t>2008 Financial</w:t>
            </w:r>
          </w:p>
        </w:tc>
        <w:tc>
          <w:tcPr>
            <w:tcW w:w="1800" w:type="dxa"/>
          </w:tcPr>
          <w:p w14:paraId="6A0F79BA" w14:textId="77777777" w:rsidR="00576BDC" w:rsidRDefault="00576BDC" w:rsidP="0019276E">
            <w:pPr>
              <w:spacing w:line="480" w:lineRule="auto"/>
              <w:rPr>
                <w:sz w:val="18"/>
              </w:rPr>
            </w:pPr>
            <w:r>
              <w:rPr>
                <w:sz w:val="18"/>
              </w:rPr>
              <w:t>49.9%</w:t>
            </w:r>
          </w:p>
        </w:tc>
        <w:tc>
          <w:tcPr>
            <w:tcW w:w="1201" w:type="dxa"/>
          </w:tcPr>
          <w:p w14:paraId="6EBDD3CC" w14:textId="77777777" w:rsidR="00576BDC" w:rsidRDefault="00576BDC" w:rsidP="0019276E">
            <w:pPr>
              <w:spacing w:line="480" w:lineRule="auto"/>
              <w:rPr>
                <w:sz w:val="18"/>
              </w:rPr>
            </w:pPr>
            <w:r>
              <w:rPr>
                <w:sz w:val="18"/>
              </w:rPr>
              <w:t>396</w:t>
            </w:r>
          </w:p>
        </w:tc>
        <w:tc>
          <w:tcPr>
            <w:tcW w:w="1199" w:type="dxa"/>
          </w:tcPr>
          <w:p w14:paraId="03732349" w14:textId="77777777" w:rsidR="00576BDC" w:rsidRDefault="00576BDC" w:rsidP="0019276E">
            <w:pPr>
              <w:spacing w:line="480" w:lineRule="auto"/>
              <w:rPr>
                <w:sz w:val="18"/>
              </w:rPr>
            </w:pPr>
            <w:r>
              <w:rPr>
                <w:sz w:val="18"/>
              </w:rPr>
              <w:t>Ductile</w:t>
            </w:r>
          </w:p>
        </w:tc>
        <w:tc>
          <w:tcPr>
            <w:tcW w:w="3027" w:type="dxa"/>
          </w:tcPr>
          <w:p w14:paraId="731D69D4" w14:textId="77777777" w:rsidR="00576BDC" w:rsidRDefault="00576BDC" w:rsidP="0019276E">
            <w:pPr>
              <w:spacing w:line="480" w:lineRule="auto"/>
              <w:rPr>
                <w:sz w:val="18"/>
              </w:rPr>
            </w:pPr>
            <w:r>
              <w:rPr>
                <w:sz w:val="18"/>
              </w:rPr>
              <w:t>Metal fatigue</w:t>
            </w:r>
          </w:p>
        </w:tc>
      </w:tr>
      <w:tr w:rsidR="00576BDC" w14:paraId="3F0D1419" w14:textId="77777777" w:rsidTr="0019276E">
        <w:trPr>
          <w:jc w:val="center"/>
        </w:trPr>
        <w:tc>
          <w:tcPr>
            <w:tcW w:w="1799" w:type="dxa"/>
          </w:tcPr>
          <w:p w14:paraId="0DC62872" w14:textId="77777777" w:rsidR="00576BDC" w:rsidRDefault="00576BDC" w:rsidP="0019276E">
            <w:pPr>
              <w:spacing w:line="480" w:lineRule="auto"/>
              <w:rPr>
                <w:sz w:val="18"/>
              </w:rPr>
            </w:pPr>
            <w:r>
              <w:rPr>
                <w:sz w:val="18"/>
              </w:rPr>
              <w:t>Terra-Luna</w:t>
            </w:r>
          </w:p>
        </w:tc>
        <w:tc>
          <w:tcPr>
            <w:tcW w:w="1800" w:type="dxa"/>
          </w:tcPr>
          <w:p w14:paraId="060A42BB" w14:textId="77777777" w:rsidR="00576BDC" w:rsidRDefault="00576BDC" w:rsidP="0019276E">
            <w:pPr>
              <w:spacing w:line="480" w:lineRule="auto"/>
              <w:rPr>
                <w:sz w:val="18"/>
              </w:rPr>
            </w:pPr>
            <w:r>
              <w:rPr>
                <w:sz w:val="18"/>
              </w:rPr>
              <w:t>93.3%</w:t>
            </w:r>
          </w:p>
        </w:tc>
        <w:tc>
          <w:tcPr>
            <w:tcW w:w="1201" w:type="dxa"/>
          </w:tcPr>
          <w:p w14:paraId="52AEC4F1" w14:textId="77777777" w:rsidR="00576BDC" w:rsidRDefault="00576BDC" w:rsidP="0019276E">
            <w:pPr>
              <w:spacing w:line="480" w:lineRule="auto"/>
              <w:rPr>
                <w:sz w:val="18"/>
              </w:rPr>
            </w:pPr>
            <w:r>
              <w:rPr>
                <w:sz w:val="18"/>
              </w:rPr>
              <w:t>230</w:t>
            </w:r>
          </w:p>
        </w:tc>
        <w:tc>
          <w:tcPr>
            <w:tcW w:w="1199" w:type="dxa"/>
          </w:tcPr>
          <w:p w14:paraId="15C6368F" w14:textId="77777777" w:rsidR="00576BDC" w:rsidRDefault="00576BDC" w:rsidP="0019276E">
            <w:pPr>
              <w:spacing w:line="480" w:lineRule="auto"/>
              <w:rPr>
                <w:sz w:val="18"/>
              </w:rPr>
            </w:pPr>
            <w:r>
              <w:rPr>
                <w:sz w:val="18"/>
              </w:rPr>
              <w:t>Pre-loaded</w:t>
            </w:r>
          </w:p>
        </w:tc>
        <w:tc>
          <w:tcPr>
            <w:tcW w:w="3027" w:type="dxa"/>
          </w:tcPr>
          <w:p w14:paraId="7027B9BA" w14:textId="77777777" w:rsidR="00576BDC" w:rsidRDefault="00576BDC" w:rsidP="0019276E">
            <w:pPr>
              <w:spacing w:line="480" w:lineRule="auto"/>
              <w:rPr>
                <w:sz w:val="18"/>
              </w:rPr>
            </w:pPr>
            <w:r>
              <w:rPr>
                <w:sz w:val="18"/>
              </w:rPr>
              <w:t>Creep rupture</w:t>
            </w:r>
          </w:p>
        </w:tc>
      </w:tr>
      <w:tr w:rsidR="00576BDC" w14:paraId="22649816" w14:textId="77777777" w:rsidTr="0019276E">
        <w:trPr>
          <w:jc w:val="center"/>
        </w:trPr>
        <w:tc>
          <w:tcPr>
            <w:tcW w:w="1799" w:type="dxa"/>
          </w:tcPr>
          <w:p w14:paraId="73C8E2C3" w14:textId="77777777" w:rsidR="00576BDC" w:rsidRDefault="00576BDC" w:rsidP="0019276E">
            <w:pPr>
              <w:spacing w:line="480" w:lineRule="auto"/>
              <w:rPr>
                <w:sz w:val="18"/>
              </w:rPr>
            </w:pPr>
            <w:r>
              <w:rPr>
                <w:sz w:val="18"/>
              </w:rPr>
              <w:t>Fukushima</w:t>
            </w:r>
          </w:p>
        </w:tc>
        <w:tc>
          <w:tcPr>
            <w:tcW w:w="1800" w:type="dxa"/>
          </w:tcPr>
          <w:p w14:paraId="7CB05151" w14:textId="77777777" w:rsidR="00576BDC" w:rsidRDefault="00576BDC" w:rsidP="0019276E">
            <w:pPr>
              <w:spacing w:line="480" w:lineRule="auto"/>
              <w:rPr>
                <w:sz w:val="18"/>
              </w:rPr>
            </w:pPr>
            <w:r>
              <w:rPr>
                <w:sz w:val="18"/>
              </w:rPr>
              <w:t>45.9%</w:t>
            </w:r>
          </w:p>
        </w:tc>
        <w:tc>
          <w:tcPr>
            <w:tcW w:w="1201" w:type="dxa"/>
          </w:tcPr>
          <w:p w14:paraId="132C81A5" w14:textId="77777777" w:rsidR="00576BDC" w:rsidRDefault="00576BDC" w:rsidP="0019276E">
            <w:pPr>
              <w:spacing w:line="480" w:lineRule="auto"/>
              <w:rPr>
                <w:sz w:val="18"/>
              </w:rPr>
            </w:pPr>
            <w:r>
              <w:rPr>
                <w:sz w:val="18"/>
              </w:rPr>
              <w:t>226</w:t>
            </w:r>
          </w:p>
        </w:tc>
        <w:tc>
          <w:tcPr>
            <w:tcW w:w="1199" w:type="dxa"/>
          </w:tcPr>
          <w:p w14:paraId="2D765C1A" w14:textId="77777777" w:rsidR="00576BDC" w:rsidRDefault="00576BDC" w:rsidP="0019276E">
            <w:pPr>
              <w:spacing w:line="480" w:lineRule="auto"/>
              <w:rPr>
                <w:sz w:val="18"/>
              </w:rPr>
            </w:pPr>
            <w:r>
              <w:rPr>
                <w:sz w:val="18"/>
              </w:rPr>
              <w:t>Brittle</w:t>
            </w:r>
          </w:p>
        </w:tc>
        <w:tc>
          <w:tcPr>
            <w:tcW w:w="3027" w:type="dxa"/>
          </w:tcPr>
          <w:p w14:paraId="30B81E06" w14:textId="77777777" w:rsidR="00576BDC" w:rsidRDefault="00576BDC" w:rsidP="0019276E">
            <w:pPr>
              <w:spacing w:line="480" w:lineRule="auto"/>
              <w:rPr>
                <w:sz w:val="18"/>
              </w:rPr>
            </w:pPr>
            <w:r>
              <w:rPr>
                <w:sz w:val="18"/>
              </w:rPr>
              <w:t>Glass fracture</w:t>
            </w:r>
          </w:p>
        </w:tc>
      </w:tr>
      <w:tr w:rsidR="00576BDC" w14:paraId="1E10B202" w14:textId="77777777" w:rsidTr="0019276E">
        <w:trPr>
          <w:jc w:val="center"/>
        </w:trPr>
        <w:tc>
          <w:tcPr>
            <w:tcW w:w="1799" w:type="dxa"/>
          </w:tcPr>
          <w:p w14:paraId="082B378C" w14:textId="77777777" w:rsidR="00576BDC" w:rsidRDefault="00576BDC" w:rsidP="0019276E">
            <w:pPr>
              <w:spacing w:line="480" w:lineRule="auto"/>
              <w:rPr>
                <w:sz w:val="18"/>
              </w:rPr>
            </w:pPr>
            <w:r>
              <w:rPr>
                <w:sz w:val="18"/>
              </w:rPr>
              <w:t>COVID-19</w:t>
            </w:r>
          </w:p>
        </w:tc>
        <w:tc>
          <w:tcPr>
            <w:tcW w:w="1800" w:type="dxa"/>
          </w:tcPr>
          <w:p w14:paraId="7CFEA822" w14:textId="77777777" w:rsidR="00576BDC" w:rsidRDefault="00576BDC" w:rsidP="0019276E">
            <w:pPr>
              <w:spacing w:line="480" w:lineRule="auto"/>
              <w:rPr>
                <w:sz w:val="18"/>
              </w:rPr>
            </w:pPr>
            <w:r>
              <w:rPr>
                <w:sz w:val="18"/>
              </w:rPr>
              <w:t>10.3%</w:t>
            </w:r>
          </w:p>
        </w:tc>
        <w:tc>
          <w:tcPr>
            <w:tcW w:w="1201" w:type="dxa"/>
          </w:tcPr>
          <w:p w14:paraId="50851BFC" w14:textId="77777777" w:rsidR="00576BDC" w:rsidRDefault="00576BDC" w:rsidP="0019276E">
            <w:pPr>
              <w:spacing w:line="480" w:lineRule="auto"/>
              <w:rPr>
                <w:sz w:val="18"/>
              </w:rPr>
            </w:pPr>
            <w:r>
              <w:rPr>
                <w:sz w:val="18"/>
              </w:rPr>
              <w:t>0</w:t>
            </w:r>
          </w:p>
        </w:tc>
        <w:tc>
          <w:tcPr>
            <w:tcW w:w="1199" w:type="dxa"/>
          </w:tcPr>
          <w:p w14:paraId="1D8F6126" w14:textId="77777777" w:rsidR="00576BDC" w:rsidRDefault="00576BDC" w:rsidP="0019276E">
            <w:pPr>
              <w:spacing w:line="480" w:lineRule="auto"/>
              <w:rPr>
                <w:sz w:val="18"/>
              </w:rPr>
            </w:pPr>
            <w:r>
              <w:rPr>
                <w:sz w:val="18"/>
              </w:rPr>
              <w:t>Brittle</w:t>
            </w:r>
          </w:p>
        </w:tc>
        <w:tc>
          <w:tcPr>
            <w:tcW w:w="3027" w:type="dxa"/>
          </w:tcPr>
          <w:p w14:paraId="208EB70A" w14:textId="77777777" w:rsidR="00576BDC" w:rsidRDefault="00576BDC" w:rsidP="0019276E">
            <w:pPr>
              <w:spacing w:line="480" w:lineRule="auto"/>
              <w:rPr>
                <w:sz w:val="18"/>
              </w:rPr>
            </w:pPr>
            <w:r>
              <w:rPr>
                <w:sz w:val="18"/>
              </w:rPr>
              <w:t>Glass fracture</w:t>
            </w:r>
          </w:p>
        </w:tc>
      </w:tr>
      <w:tr w:rsidR="00576BDC" w14:paraId="0CE4DF4C" w14:textId="77777777" w:rsidTr="0019276E">
        <w:trPr>
          <w:jc w:val="center"/>
        </w:trPr>
        <w:tc>
          <w:tcPr>
            <w:tcW w:w="1799" w:type="dxa"/>
            <w:tcBorders>
              <w:bottom w:val="single" w:sz="12" w:space="0" w:color="000000"/>
            </w:tcBorders>
          </w:tcPr>
          <w:p w14:paraId="0189B31F" w14:textId="77777777" w:rsidR="00576BDC" w:rsidRDefault="00576BDC" w:rsidP="0019276E">
            <w:pPr>
              <w:spacing w:line="480" w:lineRule="auto"/>
              <w:rPr>
                <w:sz w:val="18"/>
              </w:rPr>
            </w:pPr>
            <w:r>
              <w:rPr>
                <w:sz w:val="18"/>
              </w:rPr>
              <w:t>Supply Chain</w:t>
            </w:r>
          </w:p>
        </w:tc>
        <w:tc>
          <w:tcPr>
            <w:tcW w:w="1800" w:type="dxa"/>
            <w:tcBorders>
              <w:bottom w:val="single" w:sz="12" w:space="0" w:color="000000"/>
            </w:tcBorders>
          </w:tcPr>
          <w:p w14:paraId="1AA96F2D" w14:textId="77777777" w:rsidR="00576BDC" w:rsidRDefault="00576BDC" w:rsidP="0019276E">
            <w:pPr>
              <w:spacing w:line="480" w:lineRule="auto"/>
              <w:rPr>
                <w:sz w:val="18"/>
              </w:rPr>
            </w:pPr>
            <w:r>
              <w:rPr>
                <w:sz w:val="18"/>
              </w:rPr>
              <w:t>65.7%</w:t>
            </w:r>
          </w:p>
        </w:tc>
        <w:tc>
          <w:tcPr>
            <w:tcW w:w="1201" w:type="dxa"/>
            <w:tcBorders>
              <w:bottom w:val="single" w:sz="12" w:space="0" w:color="000000"/>
            </w:tcBorders>
          </w:tcPr>
          <w:p w14:paraId="711ACCB0" w14:textId="77777777" w:rsidR="00576BDC" w:rsidRDefault="00576BDC" w:rsidP="0019276E">
            <w:pPr>
              <w:spacing w:line="480" w:lineRule="auto"/>
              <w:rPr>
                <w:sz w:val="18"/>
              </w:rPr>
            </w:pPr>
            <w:r>
              <w:rPr>
                <w:sz w:val="18"/>
              </w:rPr>
              <w:t>548</w:t>
            </w:r>
          </w:p>
        </w:tc>
        <w:tc>
          <w:tcPr>
            <w:tcW w:w="1199" w:type="dxa"/>
            <w:tcBorders>
              <w:bottom w:val="single" w:sz="12" w:space="0" w:color="000000"/>
            </w:tcBorders>
          </w:tcPr>
          <w:p w14:paraId="2C2B823F" w14:textId="77777777" w:rsidR="00576BDC" w:rsidRDefault="00576BDC" w:rsidP="0019276E">
            <w:pPr>
              <w:spacing w:line="480" w:lineRule="auto"/>
              <w:rPr>
                <w:sz w:val="18"/>
              </w:rPr>
            </w:pPr>
            <w:r>
              <w:rPr>
                <w:sz w:val="18"/>
              </w:rPr>
              <w:t>Ductile</w:t>
            </w:r>
          </w:p>
        </w:tc>
        <w:tc>
          <w:tcPr>
            <w:tcW w:w="3027" w:type="dxa"/>
            <w:tcBorders>
              <w:bottom w:val="single" w:sz="12" w:space="0" w:color="000000"/>
            </w:tcBorders>
          </w:tcPr>
          <w:p w14:paraId="1C30882D" w14:textId="77777777" w:rsidR="00576BDC" w:rsidRDefault="00576BDC" w:rsidP="0019276E">
            <w:pPr>
              <w:spacing w:line="480" w:lineRule="auto"/>
              <w:rPr>
                <w:sz w:val="18"/>
              </w:rPr>
            </w:pPr>
            <w:r>
              <w:rPr>
                <w:sz w:val="18"/>
              </w:rPr>
              <w:t>Metal fatigue</w:t>
            </w:r>
          </w:p>
        </w:tc>
      </w:tr>
    </w:tbl>
    <w:p w14:paraId="11827995" w14:textId="77777777" w:rsidR="00EC722F" w:rsidRDefault="00EC722F">
      <w:pPr>
        <w:spacing w:after="160" w:line="360" w:lineRule="auto"/>
        <w:jc w:val="both"/>
        <w:rPr>
          <w:rFonts w:ascii="Times New Roman" w:eastAsia="Times New Roman" w:hAnsi="Times New Roman" w:cs="Times New Roman"/>
        </w:rPr>
      </w:pPr>
    </w:p>
    <w:p w14:paraId="04431142" w14:textId="617958DD" w:rsidR="00EC722F" w:rsidRDefault="00000000">
      <w:pPr>
        <w:spacing w:after="16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Supplementary Note </w:t>
      </w:r>
      <w:r w:rsidR="00584C79">
        <w:rPr>
          <w:rFonts w:ascii="Times New Roman" w:eastAsia="Times New Roman" w:hAnsi="Times New Roman" w:cs="Times New Roman" w:hint="eastAsia"/>
          <w:b/>
        </w:rPr>
        <w:t>1</w:t>
      </w:r>
      <w:r>
        <w:rPr>
          <w:rFonts w:ascii="Times New Roman" w:eastAsia="Times New Roman" w:hAnsi="Times New Roman" w:cs="Times New Roman"/>
          <w:b/>
        </w:rPr>
        <w:t>.</w:t>
      </w:r>
    </w:p>
    <w:p w14:paraId="3F5E83B0" w14:textId="7335AB69" w:rsidR="00DA5A18"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Information-theoretic derivation of the multiplicative formulation.</w:t>
      </w:r>
    </w:p>
    <w:p w14:paraId="27EEBA60" w14:textId="451BCA20" w:rsidR="00DA5A18"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Let X₁(t), X₂(t), X₃(t) denote the P-limit-normalized channel values ρ̂(t), Ψ̂(t),</w:t>
      </w:r>
      <w:r w:rsidR="00FA4345">
        <w:rPr>
          <w:rFonts w:ascii="Times New Roman" w:eastAsia="Times New Roman" w:hAnsi="Times New Roman" w:cs="Times New Roman"/>
        </w:rPr>
        <w:t xml:space="preserve"> and</w:t>
      </w:r>
      <w:r>
        <w:rPr>
          <w:rFonts w:ascii="Times New Roman" w:eastAsia="Times New Roman" w:hAnsi="Times New Roman" w:cs="Times New Roman"/>
        </w:rPr>
        <w:t xml:space="preserve"> Ω̂(t) at time t. By construction, Xᵢ(t) ≈ 1 corresponds to the 99th percentile of channel i during the stable reference period, so Pr(Xᵢ &gt; 1) ≈ 0.01 under stable-period conditions.</w:t>
      </w:r>
    </w:p>
    <w:p w14:paraId="0C70BAA3" w14:textId="6D928D90" w:rsidR="00DA5A18" w:rsidRDefault="00000000">
      <w:pPr>
        <w:spacing w:after="160" w:line="360" w:lineRule="auto"/>
        <w:jc w:val="both"/>
        <w:rPr>
          <w:rFonts w:ascii="Times New Roman" w:eastAsia="Times New Roman" w:hAnsi="Times New Roman" w:cs="Times New Roman"/>
          <w:b/>
        </w:rPr>
      </w:pPr>
      <w:r>
        <w:rPr>
          <w:rFonts w:ascii="Times New Roman" w:eastAsia="Times New Roman" w:hAnsi="Times New Roman" w:cs="Times New Roman"/>
          <w:b/>
        </w:rPr>
        <w:t>Proposition.</w:t>
      </w:r>
      <w:r>
        <w:rPr>
          <w:rFonts w:ascii="Times New Roman" w:eastAsia="Times New Roman" w:hAnsi="Times New Roman" w:cs="Times New Roman"/>
        </w:rPr>
        <w:t xml:space="preserve"> If X₁, X₂, X₃ are stochastically independent and each marginal survivor function S̄ᵢ(x) = Pr(Xᵢ &gt; x) is strictly decreasing, then the Shannon surprise of simultaneous exceedance, I(x₁, x₂, x₃) = −log Pr(X₁ &gt; x₁, X₂ &gt; x₂, X₃ &gt; x₃), decomposes as I = ∑ᵢ gᵢ(xᵢ)</w:t>
      </w:r>
      <w:r w:rsidR="004C33EC">
        <w:rPr>
          <w:rFonts w:ascii="Times New Roman" w:eastAsia="Times New Roman" w:hAnsi="Times New Roman" w:cs="Times New Roman"/>
        </w:rPr>
        <w:t>,</w:t>
      </w:r>
      <w:r>
        <w:rPr>
          <w:rFonts w:ascii="Times New Roman" w:eastAsia="Times New Roman" w:hAnsi="Times New Roman" w:cs="Times New Roman"/>
        </w:rPr>
        <w:t xml:space="preserve"> where gᵢ(x) = −log S̄ᵢ(x) ≥ 0 is strictly increasing. The product g₁ · g₂ · g₃ is monotone increasing in each argument and serves as an exact joint-surprise statistic. The raw-magnitude product x₁ · x₂ · x₃ is a monotone proxy for g₁ · g₂ · g₃ (</w:t>
      </w:r>
      <w:r w:rsidR="00FA4345">
        <w:rPr>
          <w:rFonts w:ascii="Times New Roman" w:eastAsia="Times New Roman" w:hAnsi="Times New Roman" w:cs="Times New Roman"/>
        </w:rPr>
        <w:t xml:space="preserve">as </w:t>
      </w:r>
      <w:r>
        <w:rPr>
          <w:rFonts w:ascii="Times New Roman" w:eastAsia="Times New Roman" w:hAnsi="Times New Roman" w:cs="Times New Roman"/>
        </w:rPr>
        <w:t>each gᵢ is monotone increasing in xᵢ), though the two products are exactly proportional only when the gᵢ are linear in xᵢ (i.e., exponential-tailed marginals). For heavier or lighter tails, the raw product preserves the ordering of co-exceedance events but not their relative magnitudes.</w:t>
      </w:r>
    </w:p>
    <w:p w14:paraId="5BB4B6CF" w14:textId="4B661B83" w:rsidR="00DA5A18"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i/>
        </w:rPr>
        <w:t>Proof.</w:t>
      </w:r>
      <w:r>
        <w:rPr>
          <w:rFonts w:ascii="Times New Roman" w:eastAsia="Times New Roman" w:hAnsi="Times New Roman" w:cs="Times New Roman"/>
        </w:rPr>
        <w:t xml:space="preserve"> Independence implies Pr(X₁ &gt; x₁, X₂ &gt; x₂, X₃ &gt; x₃) = ∏ᵢ S̄ᵢ(xᵢ). Taking −log: I = ∑ᵢ gᵢ(xᵢ) where gᵢ = −log S̄ᵢ ≥ 0 is strictly increasing. Consider the product G = g₁ · g₂ · g₃. </w:t>
      </w:r>
      <w:r w:rsidR="00FA4345">
        <w:rPr>
          <w:rFonts w:ascii="Times New Roman" w:eastAsia="Times New Roman" w:hAnsi="Times New Roman" w:cs="Times New Roman"/>
        </w:rPr>
        <w:t xml:space="preserve">As </w:t>
      </w:r>
      <w:r>
        <w:rPr>
          <w:rFonts w:ascii="Times New Roman" w:eastAsia="Times New Roman" w:hAnsi="Times New Roman" w:cs="Times New Roman"/>
        </w:rPr>
        <w:t xml:space="preserve">each factor is non-negative and increasing in its argument, G is monotone increasing in each xᵢ; moreover, G = 0 if and only if at least one channel is at or below its baseline (gᵢ = 0), capturing the coincidence-filter property. Now, </w:t>
      </w:r>
      <w:r w:rsidR="00FA4345">
        <w:rPr>
          <w:rFonts w:ascii="Times New Roman" w:eastAsia="Times New Roman" w:hAnsi="Times New Roman" w:cs="Times New Roman"/>
        </w:rPr>
        <w:t xml:space="preserve">as </w:t>
      </w:r>
      <w:r>
        <w:rPr>
          <w:rFonts w:ascii="Times New Roman" w:eastAsia="Times New Roman" w:hAnsi="Times New Roman" w:cs="Times New Roman"/>
        </w:rPr>
        <w:t xml:space="preserve">each gᵢ is a strictly increasing function of xᵢ, the raw product P = x₁ · x₂ · x₃ preserves the partial ordering: if (x₁, x₂, x₃) ≥ (x₁′, x₂′, x₃′) componentwise, then G ≥ G′ and P ≥ P′. For exponential-tailed marginals, gᵢ </w:t>
      </w:r>
      <w:r>
        <w:rPr>
          <w:rFonts w:ascii="Cambria Math" w:eastAsia="Cambria Math" w:hAnsi="Cambria Math" w:cs="Cambria Math"/>
        </w:rPr>
        <w:t>∝</w:t>
      </w:r>
      <w:r>
        <w:rPr>
          <w:rFonts w:ascii="Times New Roman" w:eastAsia="Times New Roman" w:hAnsi="Times New Roman" w:cs="Times New Roman"/>
        </w:rPr>
        <w:t xml:space="preserve"> xᵢ and P </w:t>
      </w:r>
      <w:r>
        <w:rPr>
          <w:rFonts w:ascii="Cambria Math" w:eastAsia="Cambria Math" w:hAnsi="Cambria Math" w:cs="Cambria Math"/>
        </w:rPr>
        <w:t>∝</w:t>
      </w:r>
      <w:r>
        <w:rPr>
          <w:rFonts w:ascii="Times New Roman" w:eastAsia="Times New Roman" w:hAnsi="Times New Roman" w:cs="Times New Roman"/>
        </w:rPr>
        <w:t xml:space="preserve"> G exactly. For general tail shapes, P and G rank events identically along any monotone path in (x₁, x₂, x₃)-space, though their ratio is not constant. </w:t>
      </w:r>
    </w:p>
    <w:p w14:paraId="3ED61ADC" w14:textId="0AA083F4" w:rsidR="00DA5A18"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Corollary (redundancy penalty).</w:t>
      </w:r>
      <w:r>
        <w:rPr>
          <w:rFonts w:ascii="Times New Roman" w:eastAsia="Times New Roman" w:hAnsi="Times New Roman" w:cs="Times New Roman"/>
        </w:rPr>
        <w:t xml:space="preserve"> When channels are positively correlated, the true joint survivor function satisfies Pr(X₁ &gt; x₁, X₂ &gt; x₂) &gt; S̄₁(x₁) · S̄₂(x₂) (positive dependence increases joint tail probability). The product ∏ᵢ xᵢ therefore overstates the surprise of co-exceedance relative to the true dependence structure. This inflates the baseline (stable period) stress product, reducing the crisis-to-control separation ratio. The empirical consequence is observed in the Supply Chain case: channels ρ and Ω share r = 0.952, the three-channel product (Sep = 9.2×) is outperformed by the two-channel Ψ × Ω product (34.5×), and the permutation test fails to reach significance. Thus, the nonredundancy criterion (max|r| &lt; 0.7) is not merely an empirical </w:t>
      </w:r>
      <w:r>
        <w:rPr>
          <w:rFonts w:ascii="Times New Roman" w:eastAsia="Times New Roman" w:hAnsi="Times New Roman" w:cs="Times New Roman"/>
        </w:rPr>
        <w:lastRenderedPageBreak/>
        <w:t>heuristic, but a necessary condition for the factorization that underlies the multiplicative formulation.</w:t>
      </w:r>
    </w:p>
    <w:p w14:paraId="15973C36" w14:textId="16853327" w:rsidR="00DA5A18" w:rsidRDefault="00000000" w:rsidP="00544031">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Remark.</w:t>
      </w:r>
      <w:r>
        <w:rPr>
          <w:rFonts w:ascii="Times New Roman" w:eastAsia="Times New Roman" w:hAnsi="Times New Roman" w:cs="Times New Roman"/>
        </w:rPr>
        <w:t xml:space="preserve"> The derivation requires only (i) channel independence during the reference period, (ii) continuous marginal distributions with strictly decreasing survivor functions, and (iii) the monotonicity of the transformation from magnitude to exceedance probability. No distributional assumptions (Gaussian</w:t>
      </w:r>
      <w:r w:rsidR="00FA4345">
        <w:rPr>
          <w:rFonts w:ascii="Times New Roman" w:eastAsia="Times New Roman" w:hAnsi="Times New Roman" w:cs="Times New Roman"/>
        </w:rPr>
        <w:t xml:space="preserve"> and</w:t>
      </w:r>
      <w:r>
        <w:rPr>
          <w:rFonts w:ascii="Times New Roman" w:eastAsia="Times New Roman" w:hAnsi="Times New Roman" w:cs="Times New Roman"/>
        </w:rPr>
        <w:t xml:space="preserve"> Pareto) were required. Therefore, the multiplicative form is distribution-free within this class of monotonicity. The cumulative integral Π(t) = ∫ S(t′) dt′ / τ₀ then accumulates surprise over time, measuring total information content of the co-exceedance history.</w:t>
      </w:r>
    </w:p>
    <w:sectPr w:rsidR="00DA5A18">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D935" w14:textId="77777777" w:rsidR="008501D2" w:rsidRDefault="008501D2">
      <w:r>
        <w:separator/>
      </w:r>
    </w:p>
  </w:endnote>
  <w:endnote w:type="continuationSeparator" w:id="0">
    <w:p w14:paraId="2A8C28F8" w14:textId="77777777" w:rsidR="008501D2" w:rsidRDefault="0085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13EE" w14:textId="77777777" w:rsidR="004C33EC" w:rsidRDefault="004C33E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A993" w14:textId="77777777" w:rsidR="004C33EC" w:rsidRDefault="004C33E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5360" w14:textId="77777777" w:rsidR="004C33EC" w:rsidRDefault="004C33E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EC4E" w14:textId="77777777" w:rsidR="008501D2" w:rsidRDefault="008501D2">
      <w:r>
        <w:separator/>
      </w:r>
    </w:p>
  </w:footnote>
  <w:footnote w:type="continuationSeparator" w:id="0">
    <w:p w14:paraId="67BB2AD7" w14:textId="77777777" w:rsidR="008501D2" w:rsidRDefault="00850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F910" w14:textId="77777777" w:rsidR="004C33EC" w:rsidRDefault="004C33E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552C" w14:textId="77777777" w:rsidR="004C33EC" w:rsidRDefault="004C33EC">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EDE0" w14:textId="77777777" w:rsidR="004C33EC" w:rsidRDefault="004C33EC">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proofState w:spelling="clean" w:grammar="clean"/>
  <w:defaultTabStop w:val="80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18"/>
    <w:rsid w:val="000377FB"/>
    <w:rsid w:val="00186757"/>
    <w:rsid w:val="001867BB"/>
    <w:rsid w:val="001D59A4"/>
    <w:rsid w:val="00226113"/>
    <w:rsid w:val="0025375F"/>
    <w:rsid w:val="003E35EB"/>
    <w:rsid w:val="003F5D26"/>
    <w:rsid w:val="00402109"/>
    <w:rsid w:val="004167C4"/>
    <w:rsid w:val="00423BA0"/>
    <w:rsid w:val="004C33EC"/>
    <w:rsid w:val="00523E0F"/>
    <w:rsid w:val="00526957"/>
    <w:rsid w:val="00544031"/>
    <w:rsid w:val="0054424D"/>
    <w:rsid w:val="00576BDC"/>
    <w:rsid w:val="00584C79"/>
    <w:rsid w:val="005B3F87"/>
    <w:rsid w:val="00630298"/>
    <w:rsid w:val="006577DF"/>
    <w:rsid w:val="007348FE"/>
    <w:rsid w:val="007934F1"/>
    <w:rsid w:val="007C246E"/>
    <w:rsid w:val="008501D2"/>
    <w:rsid w:val="00977999"/>
    <w:rsid w:val="009A4937"/>
    <w:rsid w:val="00A92CA9"/>
    <w:rsid w:val="00B60B14"/>
    <w:rsid w:val="00B76A40"/>
    <w:rsid w:val="00BD79E1"/>
    <w:rsid w:val="00C45BF2"/>
    <w:rsid w:val="00CD7DDE"/>
    <w:rsid w:val="00D55EF4"/>
    <w:rsid w:val="00D91441"/>
    <w:rsid w:val="00DA5A18"/>
    <w:rsid w:val="00DD45E9"/>
    <w:rsid w:val="00E633D3"/>
    <w:rsid w:val="00EC722F"/>
    <w:rsid w:val="00ED6490"/>
    <w:rsid w:val="00ED6D94"/>
    <w:rsid w:val="00F00B8D"/>
    <w:rsid w:val="00F45B39"/>
    <w:rsid w:val="00FA434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pPr>
    <w:rPr>
      <w:rFonts w:ascii="Arial" w:eastAsia="Arial" w:hAnsi="Arial" w:cs="Arial"/>
      <w:sz w:val="24"/>
    </w:rPr>
  </w:style>
  <w:style w:type="paragraph" w:styleId="1">
    <w:name w:val="heading 1"/>
    <w:basedOn w:val="a"/>
    <w:next w:val="a"/>
    <w:qFormat/>
    <w:pPr>
      <w:keepNext/>
      <w:keepLines/>
      <w:spacing w:before="280" w:after="80"/>
      <w:outlineLvl w:val="0"/>
    </w:pPr>
    <w:rPr>
      <w:rFonts w:ascii="맑은 고딕" w:eastAsia="맑은 고딕" w:hAnsi="맑은 고딕" w:cs="맑은 고딕"/>
      <w:color w:val="000000"/>
      <w:sz w:val="32"/>
    </w:rPr>
  </w:style>
  <w:style w:type="paragraph" w:styleId="2">
    <w:name w:val="heading 2"/>
    <w:basedOn w:val="a"/>
    <w:next w:val="a"/>
    <w:qFormat/>
    <w:pPr>
      <w:keepNext/>
      <w:keepLines/>
      <w:spacing w:before="160" w:after="80"/>
      <w:outlineLvl w:val="1"/>
    </w:pPr>
    <w:rPr>
      <w:rFonts w:ascii="맑은 고딕" w:eastAsia="맑은 고딕" w:hAnsi="맑은 고딕" w:cs="맑은 고딕"/>
      <w:color w:val="000000"/>
      <w:sz w:val="28"/>
    </w:rPr>
  </w:style>
  <w:style w:type="paragraph" w:styleId="3">
    <w:name w:val="heading 3"/>
    <w:basedOn w:val="a"/>
    <w:next w:val="a"/>
    <w:qFormat/>
    <w:pPr>
      <w:keepNext/>
      <w:keepLines/>
      <w:spacing w:before="160" w:after="80"/>
      <w:outlineLvl w:val="2"/>
    </w:pPr>
    <w:rPr>
      <w:rFonts w:ascii="맑은 고딕" w:eastAsia="맑은 고딕" w:hAnsi="맑은 고딕" w:cs="맑은 고딕"/>
      <w:color w:val="000000"/>
    </w:rPr>
  </w:style>
  <w:style w:type="paragraph" w:styleId="4">
    <w:name w:val="heading 4"/>
    <w:basedOn w:val="a"/>
    <w:next w:val="a"/>
    <w:pPr>
      <w:keepNext/>
      <w:keepLines/>
      <w:spacing w:before="80" w:after="40"/>
      <w:outlineLvl w:val="3"/>
    </w:pPr>
    <w:rPr>
      <w:rFonts w:ascii="맑은 고딕" w:eastAsia="맑은 고딕" w:hAnsi="맑은 고딕" w:cs="맑은 고딕"/>
      <w:color w:val="000000"/>
      <w:sz w:val="22"/>
    </w:rPr>
  </w:style>
  <w:style w:type="paragraph" w:styleId="5">
    <w:name w:val="heading 5"/>
    <w:basedOn w:val="a"/>
    <w:next w:val="a"/>
    <w:pPr>
      <w:keepNext/>
      <w:keepLines/>
      <w:spacing w:before="80" w:after="40"/>
      <w:ind w:left="100"/>
      <w:outlineLvl w:val="4"/>
    </w:pPr>
    <w:rPr>
      <w:rFonts w:ascii="맑은 고딕" w:eastAsia="맑은 고딕" w:hAnsi="맑은 고딕" w:cs="맑은 고딕"/>
      <w:color w:val="000000"/>
      <w:sz w:val="22"/>
    </w:rPr>
  </w:style>
  <w:style w:type="paragraph" w:styleId="6">
    <w:name w:val="heading 6"/>
    <w:basedOn w:val="a"/>
    <w:next w:val="a"/>
    <w:pPr>
      <w:keepNext/>
      <w:keepLines/>
      <w:spacing w:before="80" w:after="40"/>
      <w:ind w:left="200"/>
      <w:outlineLvl w:val="5"/>
    </w:pPr>
    <w:rPr>
      <w:rFonts w:ascii="맑은 고딕" w:eastAsia="맑은 고딕" w:hAnsi="맑은 고딕" w:cs="맑은 고딕"/>
      <w:color w:val="000000"/>
      <w:sz w:val="22"/>
    </w:rPr>
  </w:style>
  <w:style w:type="paragraph" w:styleId="7">
    <w:name w:val="heading 7"/>
    <w:basedOn w:val="a"/>
    <w:next w:val="a"/>
    <w:pPr>
      <w:keepNext/>
      <w:keepLines/>
      <w:spacing w:before="80" w:after="40"/>
      <w:ind w:left="300"/>
      <w:outlineLvl w:val="6"/>
    </w:pPr>
    <w:rPr>
      <w:rFonts w:ascii="맑은 고딕" w:eastAsia="맑은 고딕" w:hAnsi="맑은 고딕" w:cs="맑은 고딕"/>
      <w:color w:val="000000"/>
      <w:sz w:val="22"/>
    </w:rPr>
  </w:style>
  <w:style w:type="paragraph" w:styleId="8">
    <w:name w:val="heading 8"/>
    <w:basedOn w:val="a"/>
    <w:next w:val="a"/>
    <w:pPr>
      <w:keepNext/>
      <w:keepLines/>
      <w:spacing w:before="80" w:after="40"/>
      <w:ind w:left="400"/>
      <w:outlineLvl w:val="7"/>
    </w:pPr>
    <w:rPr>
      <w:rFonts w:ascii="맑은 고딕" w:eastAsia="맑은 고딕" w:hAnsi="맑은 고딕" w:cs="맑은 고딕"/>
      <w:color w:val="000000"/>
      <w:sz w:val="22"/>
    </w:rPr>
  </w:style>
  <w:style w:type="paragraph" w:styleId="9">
    <w:name w:val="heading 9"/>
    <w:basedOn w:val="a"/>
    <w:next w:val="a"/>
    <w:pPr>
      <w:keepNext/>
      <w:keepLines/>
      <w:spacing w:before="80" w:after="40"/>
      <w:ind w:left="500"/>
      <w:outlineLvl w:val="8"/>
    </w:pPr>
    <w:rPr>
      <w:rFonts w:ascii="맑은 고딕" w:eastAsia="맑은 고딕" w:hAnsi="맑은 고딕" w:cs="맑은 고딕"/>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1">
    <w:name w:val="TOC 11"/>
    <w:basedOn w:val="a"/>
    <w:pPr>
      <w:spacing w:line="305" w:lineRule="auto"/>
    </w:pPr>
    <w:rPr>
      <w:rFonts w:ascii="Calibri" w:eastAsia="Calibri" w:hAnsi="Calibri" w:cs="Calibri"/>
      <w:sz w:val="26"/>
    </w:rPr>
  </w:style>
  <w:style w:type="paragraph" w:customStyle="1" w:styleId="TOC21">
    <w:name w:val="TOC 21"/>
    <w:basedOn w:val="a"/>
    <w:pPr>
      <w:spacing w:line="330" w:lineRule="auto"/>
    </w:pPr>
    <w:rPr>
      <w:rFonts w:ascii="Calibri" w:eastAsia="Calibri" w:hAnsi="Calibri" w:cs="Calibri"/>
    </w:rPr>
  </w:style>
  <w:style w:type="paragraph" w:customStyle="1" w:styleId="TOC31">
    <w:name w:val="TOC 31"/>
    <w:basedOn w:val="a"/>
    <w:pPr>
      <w:spacing w:line="360" w:lineRule="auto"/>
    </w:pPr>
    <w:rPr>
      <w:rFonts w:ascii="Calibri" w:eastAsia="Calibri" w:hAnsi="Calibri" w:cs="Calibri"/>
      <w:sz w:val="22"/>
    </w:rPr>
  </w:style>
  <w:style w:type="paragraph" w:customStyle="1" w:styleId="TOC41">
    <w:name w:val="TOC 41"/>
    <w:basedOn w:val="a"/>
    <w:pPr>
      <w:spacing w:line="330" w:lineRule="exact"/>
    </w:pPr>
    <w:rPr>
      <w:rFonts w:ascii="Calibri" w:eastAsia="Calibri" w:hAnsi="Calibri" w:cs="Calibri"/>
    </w:rPr>
  </w:style>
  <w:style w:type="paragraph" w:customStyle="1" w:styleId="TOC51">
    <w:name w:val="TOC 51"/>
    <w:basedOn w:val="a"/>
    <w:pPr>
      <w:spacing w:line="330" w:lineRule="exact"/>
    </w:pPr>
    <w:rPr>
      <w:rFonts w:ascii="Calibri" w:eastAsia="Calibri" w:hAnsi="Calibri" w:cs="Calibri"/>
    </w:rPr>
  </w:style>
  <w:style w:type="paragraph" w:customStyle="1" w:styleId="TOC61">
    <w:name w:val="TOC 61"/>
    <w:basedOn w:val="a"/>
    <w:pPr>
      <w:spacing w:line="330" w:lineRule="exact"/>
    </w:pPr>
    <w:rPr>
      <w:rFonts w:ascii="Calibri" w:eastAsia="Calibri" w:hAnsi="Calibri" w:cs="Calibri"/>
    </w:rPr>
  </w:style>
  <w:style w:type="paragraph" w:customStyle="1" w:styleId="TOC71">
    <w:name w:val="TOC 71"/>
    <w:basedOn w:val="a"/>
    <w:pPr>
      <w:spacing w:line="330" w:lineRule="exact"/>
    </w:pPr>
    <w:rPr>
      <w:rFonts w:ascii="Calibri" w:eastAsia="Calibri" w:hAnsi="Calibri" w:cs="Calibri"/>
    </w:rPr>
  </w:style>
  <w:style w:type="paragraph" w:customStyle="1" w:styleId="TOC81">
    <w:name w:val="TOC 81"/>
    <w:basedOn w:val="a"/>
    <w:pPr>
      <w:spacing w:line="330" w:lineRule="exact"/>
    </w:pPr>
    <w:rPr>
      <w:rFonts w:ascii="Calibri" w:eastAsia="Calibri" w:hAnsi="Calibri" w:cs="Calibri"/>
    </w:rPr>
  </w:style>
  <w:style w:type="paragraph" w:customStyle="1" w:styleId="TOC91">
    <w:name w:val="TOC 91"/>
    <w:basedOn w:val="a"/>
    <w:pPr>
      <w:spacing w:line="330" w:lineRule="exact"/>
    </w:pPr>
    <w:rPr>
      <w:rFonts w:ascii="Calibri" w:eastAsia="Calibri" w:hAnsi="Calibri" w:cs="Calibri"/>
    </w:rPr>
  </w:style>
  <w:style w:type="table" w:styleId="a3">
    <w:name w:val="Table Grid"/>
    <w:basedOn w:val="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customStyle="1" w:styleId="CommentReference1">
    <w:name w:val="Comment Reference1"/>
    <w:basedOn w:val="a0"/>
    <w:rPr>
      <w:sz w:val="16"/>
    </w:rPr>
  </w:style>
  <w:style w:type="character" w:customStyle="1" w:styleId="EndnoteReference1">
    <w:name w:val="Endnote Reference1"/>
    <w:basedOn w:val="a0"/>
    <w:rPr>
      <w:vertAlign w:val="superscript"/>
    </w:rPr>
  </w:style>
  <w:style w:type="character" w:customStyle="1" w:styleId="FootnoteReference1">
    <w:name w:val="Footnote Reference1"/>
    <w:basedOn w:val="a0"/>
    <w:rPr>
      <w:vertAlign w:val="superscript"/>
    </w:rPr>
  </w:style>
  <w:style w:type="paragraph" w:styleId="a4">
    <w:name w:val="Title"/>
    <w:basedOn w:val="a"/>
    <w:next w:val="a"/>
    <w:qFormat/>
    <w:pPr>
      <w:spacing w:after="80"/>
      <w:contextualSpacing/>
      <w:jc w:val="center"/>
    </w:pPr>
    <w:rPr>
      <w:rFonts w:ascii="맑은 고딕" w:eastAsia="맑은 고딕" w:hAnsi="맑은 고딕" w:cs="맑은 고딕"/>
      <w:sz w:val="56"/>
    </w:rPr>
  </w:style>
  <w:style w:type="paragraph" w:styleId="a5">
    <w:name w:val="Subtitle"/>
    <w:basedOn w:val="a"/>
    <w:next w:val="a"/>
    <w:qFormat/>
    <w:pPr>
      <w:spacing w:after="160"/>
      <w:jc w:val="center"/>
    </w:pPr>
    <w:rPr>
      <w:rFonts w:ascii="맑은 고딕" w:eastAsia="맑은 고딕" w:hAnsi="맑은 고딕" w:cs="맑은 고딕"/>
      <w:color w:val="595959"/>
      <w:sz w:val="28"/>
    </w:rPr>
  </w:style>
  <w:style w:type="paragraph" w:styleId="a6">
    <w:name w:val="Quote"/>
    <w:basedOn w:val="a"/>
    <w:next w:val="a"/>
    <w:qFormat/>
    <w:pPr>
      <w:spacing w:before="160" w:after="160"/>
      <w:jc w:val="center"/>
    </w:pPr>
    <w:rPr>
      <w:rFonts w:ascii="맑은 고딕" w:eastAsia="맑은 고딕" w:hAnsi="맑은 고딕" w:cs="맑은 고딕"/>
      <w:i/>
      <w:color w:val="404040"/>
      <w:sz w:val="22"/>
    </w:rPr>
  </w:style>
  <w:style w:type="paragraph" w:styleId="a7">
    <w:name w:val="List Paragraph"/>
    <w:basedOn w:val="a"/>
    <w:pPr>
      <w:spacing w:after="160"/>
      <w:ind w:left="720"/>
      <w:contextualSpacing/>
    </w:pPr>
    <w:rPr>
      <w:rFonts w:ascii="맑은 고딕" w:eastAsia="맑은 고딕" w:hAnsi="맑은 고딕" w:cs="맑은 고딕"/>
      <w:sz w:val="22"/>
    </w:rPr>
  </w:style>
  <w:style w:type="character" w:styleId="a8">
    <w:name w:val="Intense Emphasis"/>
    <w:basedOn w:val="a0"/>
    <w:qFormat/>
    <w:rPr>
      <w:i/>
      <w:color w:val="0F4761"/>
    </w:rPr>
  </w:style>
  <w:style w:type="paragraph" w:styleId="a9">
    <w:name w:val="Intense Quote"/>
    <w:basedOn w:val="a"/>
    <w:next w:val="a"/>
    <w:qFormat/>
    <w:pPr>
      <w:pBdr>
        <w:top w:val="single" w:sz="4" w:space="10" w:color="0F4761"/>
        <w:bottom w:val="single" w:sz="4" w:space="10" w:color="0F4761"/>
      </w:pBdr>
      <w:spacing w:before="360" w:after="360"/>
      <w:ind w:left="864" w:right="864"/>
      <w:jc w:val="center"/>
    </w:pPr>
    <w:rPr>
      <w:rFonts w:ascii="맑은 고딕" w:eastAsia="맑은 고딕" w:hAnsi="맑은 고딕" w:cs="맑은 고딕"/>
      <w:i/>
      <w:color w:val="0F4761"/>
      <w:sz w:val="22"/>
    </w:rPr>
  </w:style>
  <w:style w:type="character" w:styleId="aa">
    <w:name w:val="Intense Reference"/>
    <w:basedOn w:val="a0"/>
    <w:rPr>
      <w:b/>
      <w:caps w:val="0"/>
      <w:smallCaps/>
      <w:color w:val="0F4761"/>
    </w:rPr>
  </w:style>
  <w:style w:type="character" w:styleId="ab">
    <w:name w:val="Hyperlink"/>
    <w:rPr>
      <w:color w:val="0563C1"/>
      <w:u w:val="single"/>
    </w:rPr>
  </w:style>
  <w:style w:type="paragraph" w:customStyle="1" w:styleId="Abstract">
    <w:name w:val="Abstract"/>
    <w:basedOn w:val="a"/>
    <w:pPr>
      <w:spacing w:after="160" w:line="360" w:lineRule="auto"/>
      <w:ind w:left="1440" w:right="1440"/>
      <w:jc w:val="both"/>
    </w:pPr>
    <w:rPr>
      <w:rFonts w:ascii="Calibri" w:eastAsia="Calibri" w:hAnsi="Calibri" w:cs="Calibri"/>
      <w:sz w:val="22"/>
    </w:rPr>
  </w:style>
  <w:style w:type="character" w:customStyle="1" w:styleId="Source">
    <w:name w:val="Source"/>
    <w:basedOn w:val="a0"/>
    <w:rPr>
      <w:shd w:val="clear" w:color="auto" w:fill="C1EDFF"/>
    </w:rPr>
  </w:style>
  <w:style w:type="paragraph" w:customStyle="1" w:styleId="Copyright">
    <w:name w:val="Copyright"/>
    <w:basedOn w:val="a"/>
    <w:pPr>
      <w:shd w:val="clear" w:color="auto" w:fill="E9F9FF"/>
    </w:pPr>
    <w:rPr>
      <w:rFonts w:ascii="Calibri" w:eastAsia="Calibri" w:hAnsi="Calibri" w:cs="Calibri"/>
      <w:sz w:val="18"/>
    </w:rPr>
  </w:style>
  <w:style w:type="character" w:customStyle="1" w:styleId="Organization">
    <w:name w:val="Organization"/>
    <w:basedOn w:val="a0"/>
    <w:rPr>
      <w:shd w:val="clear" w:color="auto" w:fill="D1FFB5"/>
    </w:rPr>
  </w:style>
  <w:style w:type="paragraph" w:customStyle="1" w:styleId="Quotation">
    <w:name w:val="Quotation"/>
    <w:basedOn w:val="a"/>
    <w:pPr>
      <w:spacing w:after="160" w:line="360" w:lineRule="auto"/>
      <w:ind w:left="1200" w:right="1200"/>
      <w:jc w:val="both"/>
    </w:pPr>
    <w:rPr>
      <w:rFonts w:ascii="Calibri" w:eastAsia="Calibri" w:hAnsi="Calibri" w:cs="Calibri"/>
      <w:sz w:val="22"/>
    </w:rPr>
  </w:style>
  <w:style w:type="paragraph" w:styleId="20">
    <w:name w:val="List 2"/>
    <w:basedOn w:val="a"/>
    <w:pPr>
      <w:spacing w:line="360" w:lineRule="auto"/>
      <w:ind w:left="800" w:hanging="400"/>
      <w:jc w:val="both"/>
    </w:pPr>
    <w:rPr>
      <w:rFonts w:ascii="Calibri" w:eastAsia="Calibri" w:hAnsi="Calibri" w:cs="Calibri"/>
      <w:sz w:val="22"/>
    </w:rPr>
  </w:style>
  <w:style w:type="character" w:customStyle="1" w:styleId="Cross-reference">
    <w:name w:val="Cross-reference"/>
    <w:basedOn w:val="a0"/>
    <w:rPr>
      <w:shd w:val="clear" w:color="auto" w:fill="FFE3C9"/>
    </w:rPr>
  </w:style>
  <w:style w:type="paragraph" w:customStyle="1" w:styleId="Caption1">
    <w:name w:val="Caption1"/>
    <w:basedOn w:val="a"/>
    <w:pPr>
      <w:shd w:val="clear" w:color="auto" w:fill="FFF5ED"/>
      <w:spacing w:before="240" w:line="349" w:lineRule="auto"/>
      <w:jc w:val="both"/>
    </w:pPr>
    <w:rPr>
      <w:rFonts w:ascii="Calibri" w:eastAsia="Calibri" w:hAnsi="Calibri" w:cs="Calibri"/>
      <w:sz w:val="22"/>
    </w:rPr>
  </w:style>
  <w:style w:type="paragraph" w:customStyle="1" w:styleId="Surtitle">
    <w:name w:val="Surtitle"/>
    <w:basedOn w:val="a"/>
    <w:qFormat/>
    <w:pPr>
      <w:spacing w:after="160" w:line="208" w:lineRule="auto"/>
    </w:pPr>
    <w:rPr>
      <w:rFonts w:ascii="Calibri" w:eastAsia="Calibri" w:hAnsi="Calibri" w:cs="Calibri"/>
      <w:sz w:val="38"/>
    </w:rPr>
  </w:style>
  <w:style w:type="paragraph" w:customStyle="1" w:styleId="Reference">
    <w:name w:val="Reference"/>
    <w:basedOn w:val="a"/>
    <w:pPr>
      <w:spacing w:after="320" w:line="360" w:lineRule="auto"/>
      <w:ind w:left="400" w:hanging="400"/>
      <w:jc w:val="both"/>
    </w:pPr>
    <w:rPr>
      <w:rFonts w:ascii="Calibri" w:eastAsia="Calibri" w:hAnsi="Calibri" w:cs="Calibri"/>
      <w:sz w:val="22"/>
    </w:rPr>
  </w:style>
  <w:style w:type="paragraph" w:customStyle="1" w:styleId="Formula">
    <w:name w:val="Formula"/>
    <w:basedOn w:val="a"/>
    <w:pPr>
      <w:shd w:val="clear" w:color="auto" w:fill="FFF5ED"/>
      <w:spacing w:before="120" w:after="120" w:line="360" w:lineRule="auto"/>
    </w:pPr>
    <w:rPr>
      <w:rFonts w:ascii="Calibri" w:eastAsia="Calibri" w:hAnsi="Calibri" w:cs="Calibri"/>
      <w:sz w:val="22"/>
    </w:rPr>
  </w:style>
  <w:style w:type="character" w:customStyle="1" w:styleId="NameScientific">
    <w:name w:val="Name Scientific"/>
    <w:basedOn w:val="a0"/>
    <w:rPr>
      <w:shd w:val="clear" w:color="auto" w:fill="91E0FF"/>
    </w:rPr>
  </w:style>
  <w:style w:type="character" w:customStyle="1" w:styleId="Heading">
    <w:name w:val="Heading:"/>
    <w:basedOn w:val="a0"/>
    <w:rPr>
      <w:color w:val="5B89C1"/>
    </w:rPr>
  </w:style>
  <w:style w:type="paragraph" w:customStyle="1" w:styleId="TableList">
    <w:name w:val="Table List"/>
    <w:basedOn w:val="a"/>
    <w:pPr>
      <w:ind w:left="300" w:hanging="300"/>
    </w:pPr>
    <w:rPr>
      <w:sz w:val="20"/>
    </w:rPr>
  </w:style>
  <w:style w:type="paragraph" w:customStyle="1" w:styleId="TableBody">
    <w:name w:val="Table Body"/>
    <w:basedOn w:val="a"/>
    <w:pPr>
      <w:spacing w:after="160" w:line="396" w:lineRule="auto"/>
    </w:pPr>
    <w:rPr>
      <w:rFonts w:ascii="Calibri" w:eastAsia="Calibri" w:hAnsi="Calibri" w:cs="Calibri"/>
      <w:sz w:val="20"/>
    </w:rPr>
  </w:style>
  <w:style w:type="paragraph" w:customStyle="1" w:styleId="Authors">
    <w:name w:val="Authors"/>
    <w:basedOn w:val="a"/>
    <w:pPr>
      <w:spacing w:before="360" w:after="120" w:line="283" w:lineRule="auto"/>
    </w:pPr>
    <w:rPr>
      <w:rFonts w:ascii="Calibri" w:eastAsia="Calibri" w:hAnsi="Calibri" w:cs="Calibri"/>
      <w:sz w:val="28"/>
    </w:rPr>
  </w:style>
  <w:style w:type="character" w:customStyle="1" w:styleId="City">
    <w:name w:val="City"/>
    <w:basedOn w:val="a0"/>
    <w:rPr>
      <w:shd w:val="clear" w:color="auto" w:fill="D7D7D7"/>
    </w:rPr>
  </w:style>
  <w:style w:type="character" w:customStyle="1" w:styleId="PageNumbers">
    <w:name w:val="Page Numbers"/>
    <w:basedOn w:val="a0"/>
    <w:rPr>
      <w:shd w:val="clear" w:color="auto" w:fill="FFEDF0"/>
    </w:rPr>
  </w:style>
  <w:style w:type="character" w:customStyle="1" w:styleId="Label">
    <w:name w:val="Label"/>
    <w:basedOn w:val="a0"/>
    <w:rPr>
      <w:shd w:val="clear" w:color="auto" w:fill="FFC391"/>
      <w:vertAlign w:val="baseline"/>
    </w:rPr>
  </w:style>
  <w:style w:type="character" w:customStyle="1" w:styleId="GlossaryTerm">
    <w:name w:val="Glossary Term"/>
    <w:basedOn w:val="a0"/>
    <w:rPr>
      <w:shd w:val="clear" w:color="auto" w:fill="FFCFD7"/>
    </w:rPr>
  </w:style>
  <w:style w:type="character" w:customStyle="1" w:styleId="Country">
    <w:name w:val="Country"/>
    <w:basedOn w:val="a0"/>
    <w:rPr>
      <w:shd w:val="clear" w:color="auto" w:fill="97C5D1"/>
    </w:rPr>
  </w:style>
  <w:style w:type="paragraph" w:customStyle="1" w:styleId="QuotationSource">
    <w:name w:val="Quotation Source"/>
    <w:basedOn w:val="a"/>
    <w:pPr>
      <w:spacing w:after="170" w:line="360" w:lineRule="auto"/>
      <w:ind w:left="1200"/>
      <w:jc w:val="right"/>
    </w:pPr>
    <w:rPr>
      <w:rFonts w:ascii="Calibri" w:eastAsia="Calibri" w:hAnsi="Calibri" w:cs="Calibri"/>
      <w:sz w:val="22"/>
    </w:rPr>
  </w:style>
  <w:style w:type="paragraph" w:customStyle="1" w:styleId="List8">
    <w:name w:val="List 8"/>
    <w:basedOn w:val="a"/>
    <w:pPr>
      <w:spacing w:line="360" w:lineRule="auto"/>
      <w:ind w:left="1980" w:hanging="400"/>
    </w:pPr>
    <w:rPr>
      <w:rFonts w:ascii="Calibri" w:eastAsia="Calibri" w:hAnsi="Calibri" w:cs="Calibri"/>
      <w:sz w:val="22"/>
    </w:rPr>
  </w:style>
  <w:style w:type="character" w:customStyle="1" w:styleId="DatabaseLink">
    <w:name w:val="Database Link"/>
    <w:basedOn w:val="a0"/>
    <w:rPr>
      <w:shd w:val="clear" w:color="auto" w:fill="AFBEFF"/>
    </w:rPr>
  </w:style>
  <w:style w:type="paragraph" w:styleId="ac">
    <w:name w:val="List"/>
    <w:basedOn w:val="a"/>
    <w:pPr>
      <w:spacing w:line="360" w:lineRule="auto"/>
      <w:ind w:left="400" w:hanging="400"/>
      <w:jc w:val="both"/>
    </w:pPr>
    <w:rPr>
      <w:rFonts w:ascii="Calibri" w:eastAsia="Calibri" w:hAnsi="Calibri" w:cs="Calibri"/>
      <w:sz w:val="22"/>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rPr>
  </w:style>
  <w:style w:type="character" w:customStyle="1" w:styleId="Edition">
    <w:name w:val="Edition"/>
    <w:basedOn w:val="a0"/>
    <w:rPr>
      <w:shd w:val="clear" w:color="auto" w:fill="FFF6A4"/>
    </w:rPr>
  </w:style>
  <w:style w:type="paragraph" w:customStyle="1" w:styleId="Affiliation">
    <w:name w:val="Affiliation"/>
    <w:basedOn w:val="a"/>
    <w:pPr>
      <w:shd w:val="clear" w:color="auto" w:fill="F4FFED"/>
      <w:spacing w:before="240" w:after="120" w:line="396" w:lineRule="auto"/>
      <w:ind w:left="400" w:hanging="400"/>
    </w:pPr>
    <w:rPr>
      <w:rFonts w:ascii="Calibri" w:eastAsia="Calibri" w:hAnsi="Calibri" w:cs="Calibri"/>
      <w:sz w:val="20"/>
    </w:rPr>
  </w:style>
  <w:style w:type="paragraph" w:customStyle="1" w:styleId="ChapterNumber">
    <w:name w:val="Chapter Number"/>
    <w:basedOn w:val="a"/>
    <w:rPr>
      <w:rFonts w:ascii="Calibri" w:eastAsia="Calibri" w:hAnsi="Calibri" w:cs="Calibri"/>
    </w:rPr>
  </w:style>
  <w:style w:type="character" w:customStyle="1" w:styleId="Publisher">
    <w:name w:val="Publisher"/>
    <w:basedOn w:val="a0"/>
    <w:rPr>
      <w:shd w:val="clear" w:color="auto" w:fill="F2DDFF"/>
    </w:rPr>
  </w:style>
  <w:style w:type="character" w:customStyle="1" w:styleId="GivenName">
    <w:name w:val="Given Name"/>
    <w:basedOn w:val="a0"/>
    <w:rPr>
      <w:shd w:val="clear" w:color="auto" w:fill="D0FCE2"/>
    </w:rPr>
  </w:style>
  <w:style w:type="paragraph" w:customStyle="1" w:styleId="List7">
    <w:name w:val="List 7"/>
    <w:basedOn w:val="a"/>
    <w:pPr>
      <w:spacing w:line="360" w:lineRule="auto"/>
      <w:ind w:left="1920" w:hanging="400"/>
    </w:pPr>
    <w:rPr>
      <w:rFonts w:ascii="Calibri" w:eastAsia="Calibri" w:hAnsi="Calibri" w:cs="Calibri"/>
      <w:sz w:val="22"/>
    </w:rPr>
  </w:style>
  <w:style w:type="paragraph" w:customStyle="1" w:styleId="AbstractSubheading">
    <w:name w:val="Abstract Subheading"/>
    <w:basedOn w:val="a"/>
    <w:next w:val="a"/>
    <w:pPr>
      <w:keepNext/>
      <w:keepLines/>
      <w:numPr>
        <w:ilvl w:val="8"/>
      </w:numPr>
      <w:ind w:left="1440"/>
      <w:outlineLvl w:val="8"/>
    </w:pPr>
    <w:rPr>
      <w:sz w:val="22"/>
    </w:rPr>
  </w:style>
  <w:style w:type="paragraph" w:customStyle="1" w:styleId="List6">
    <w:name w:val="List 6"/>
    <w:basedOn w:val="a"/>
    <w:pPr>
      <w:spacing w:line="360" w:lineRule="auto"/>
      <w:ind w:left="1860" w:hanging="400"/>
    </w:pPr>
    <w:rPr>
      <w:rFonts w:ascii="Calibri" w:eastAsia="Calibri" w:hAnsi="Calibri" w:cs="Calibri"/>
      <w:sz w:val="22"/>
    </w:rPr>
  </w:style>
  <w:style w:type="paragraph" w:customStyle="1" w:styleId="Annotation">
    <w:name w:val="Annotation"/>
    <w:basedOn w:val="a"/>
    <w:pPr>
      <w:spacing w:after="160" w:line="360" w:lineRule="auto"/>
      <w:ind w:left="400"/>
    </w:pPr>
    <w:rPr>
      <w:rFonts w:ascii="Calibri" w:eastAsia="Calibri" w:hAnsi="Calibri" w:cs="Calibri"/>
      <w:sz w:val="22"/>
    </w:rPr>
  </w:style>
  <w:style w:type="paragraph" w:styleId="50">
    <w:name w:val="List 5"/>
    <w:basedOn w:val="a"/>
    <w:pPr>
      <w:spacing w:line="360" w:lineRule="auto"/>
      <w:ind w:left="1800" w:hanging="400"/>
    </w:pPr>
    <w:rPr>
      <w:rFonts w:ascii="Calibri" w:eastAsia="Calibri" w:hAnsi="Calibri" w:cs="Calibri"/>
      <w:sz w:val="22"/>
    </w:rPr>
  </w:style>
  <w:style w:type="paragraph" w:customStyle="1" w:styleId="CommentText1">
    <w:name w:val="Comment Text1"/>
    <w:basedOn w:val="a"/>
    <w:rPr>
      <w:rFonts w:ascii="Calibri" w:eastAsia="Calibri" w:hAnsi="Calibri" w:cs="Calibri"/>
      <w:sz w:val="20"/>
    </w:rPr>
  </w:style>
  <w:style w:type="character" w:customStyle="1" w:styleId="Year">
    <w:name w:val="Year"/>
    <w:basedOn w:val="a0"/>
    <w:rPr>
      <w:shd w:val="clear" w:color="auto" w:fill="FFF9C9"/>
    </w:rPr>
  </w:style>
  <w:style w:type="paragraph" w:customStyle="1" w:styleId="FootnoteText1">
    <w:name w:val="Footnote Text1"/>
    <w:basedOn w:val="a"/>
    <w:rPr>
      <w:rFonts w:ascii="Calibri" w:eastAsia="Calibri" w:hAnsi="Calibri" w:cs="Calibri"/>
    </w:rPr>
  </w:style>
  <w:style w:type="character" w:customStyle="1" w:styleId="Region">
    <w:name w:val="Region"/>
    <w:basedOn w:val="a0"/>
    <w:rPr>
      <w:shd w:val="clear" w:color="auto" w:fill="D8E9EE"/>
    </w:rPr>
  </w:style>
  <w:style w:type="character" w:customStyle="1" w:styleId="Conference">
    <w:name w:val="Conference"/>
    <w:basedOn w:val="a0"/>
    <w:rPr>
      <w:shd w:val="clear" w:color="auto" w:fill="FFAFBC"/>
    </w:rPr>
  </w:style>
  <w:style w:type="character" w:customStyle="1" w:styleId="GeneSequence">
    <w:name w:val="Gene Sequence"/>
    <w:basedOn w:val="a0"/>
    <w:rPr>
      <w:shd w:val="clear" w:color="auto" w:fill="FFCDF2"/>
    </w:rPr>
  </w:style>
  <w:style w:type="character" w:customStyle="1" w:styleId="FamilyName">
    <w:name w:val="Family Name"/>
    <w:basedOn w:val="a0"/>
    <w:rPr>
      <w:shd w:val="clear" w:color="auto" w:fill="88F4BE"/>
    </w:rPr>
  </w:style>
  <w:style w:type="paragraph" w:customStyle="1" w:styleId="TableHead">
    <w:name w:val="Table Head"/>
    <w:basedOn w:val="a"/>
    <w:pPr>
      <w:shd w:val="clear" w:color="auto" w:fill="FFEDFA"/>
    </w:pPr>
    <w:rPr>
      <w:rFonts w:ascii="Calibri" w:eastAsia="Calibri" w:hAnsi="Calibri" w:cs="Calibri"/>
      <w:sz w:val="20"/>
    </w:rPr>
  </w:style>
  <w:style w:type="paragraph" w:customStyle="1" w:styleId="Biography">
    <w:name w:val="Biography"/>
    <w:basedOn w:val="a"/>
    <w:pPr>
      <w:shd w:val="clear" w:color="auto" w:fill="EEFEF4"/>
      <w:spacing w:after="160" w:line="396" w:lineRule="auto"/>
    </w:pPr>
    <w:rPr>
      <w:rFonts w:ascii="Calibri" w:eastAsia="Calibri" w:hAnsi="Calibri" w:cs="Calibri"/>
      <w:sz w:val="20"/>
    </w:rPr>
  </w:style>
  <w:style w:type="character" w:customStyle="1" w:styleId="Miscellaneous">
    <w:name w:val="Miscellaneous"/>
    <w:basedOn w:val="a0"/>
    <w:rPr>
      <w:shd w:val="clear" w:color="auto" w:fill="F0F0F0"/>
    </w:rPr>
  </w:style>
  <w:style w:type="paragraph" w:customStyle="1" w:styleId="Note">
    <w:name w:val="Note"/>
    <w:basedOn w:val="a"/>
    <w:pPr>
      <w:shd w:val="clear" w:color="auto" w:fill="EDF0FF"/>
      <w:spacing w:line="432" w:lineRule="auto"/>
    </w:pPr>
    <w:rPr>
      <w:rFonts w:ascii="Calibri" w:eastAsia="Calibri" w:hAnsi="Calibri" w:cs="Calibri"/>
      <w:sz w:val="20"/>
    </w:rPr>
  </w:style>
  <w:style w:type="character" w:customStyle="1" w:styleId="GrantID">
    <w:name w:val="Grant ID"/>
    <w:basedOn w:val="a0"/>
    <w:rPr>
      <w:shd w:val="clear" w:color="auto" w:fill="DDA5FF"/>
    </w:rPr>
  </w:style>
  <w:style w:type="character" w:customStyle="1" w:styleId="IssueNumber">
    <w:name w:val="Issue Number"/>
    <w:basedOn w:val="a0"/>
    <w:rPr>
      <w:shd w:val="clear" w:color="auto" w:fill="CDD5FF"/>
    </w:rPr>
  </w:style>
  <w:style w:type="character" w:customStyle="1" w:styleId="VolumeNumber">
    <w:name w:val="Volume Number"/>
    <w:basedOn w:val="a0"/>
    <w:rPr>
      <w:shd w:val="clear" w:color="auto" w:fill="EDF0FF"/>
    </w:rPr>
  </w:style>
  <w:style w:type="paragraph" w:customStyle="1" w:styleId="Keywords">
    <w:name w:val="Keywords"/>
    <w:basedOn w:val="a"/>
    <w:pPr>
      <w:spacing w:line="396" w:lineRule="auto"/>
      <w:ind w:left="1000"/>
    </w:pPr>
    <w:rPr>
      <w:rFonts w:ascii="Calibri" w:eastAsia="Calibri" w:hAnsi="Calibri" w:cs="Calibri"/>
      <w:sz w:val="20"/>
    </w:rPr>
  </w:style>
  <w:style w:type="paragraph" w:customStyle="1" w:styleId="EndnoteText1">
    <w:name w:val="Endnote Text1"/>
    <w:basedOn w:val="a"/>
    <w:rPr>
      <w:rFonts w:ascii="Calibri" w:eastAsia="Calibri" w:hAnsi="Calibri" w:cs="Calibri"/>
    </w:rPr>
  </w:style>
  <w:style w:type="character" w:customStyle="1" w:styleId="Location">
    <w:name w:val="Location"/>
    <w:basedOn w:val="a0"/>
    <w:rPr>
      <w:shd w:val="clear" w:color="auto" w:fill="F9EDFF"/>
    </w:rPr>
  </w:style>
  <w:style w:type="paragraph" w:customStyle="1" w:styleId="TableNote">
    <w:name w:val="Table Note"/>
    <w:basedOn w:val="a"/>
    <w:rPr>
      <w:rFonts w:ascii="Calibri" w:eastAsia="Calibri" w:hAnsi="Calibri" w:cs="Calibri"/>
      <w:sz w:val="18"/>
    </w:rPr>
  </w:style>
  <w:style w:type="character" w:customStyle="1" w:styleId="ArticleTitle">
    <w:name w:val="Article Title"/>
    <w:basedOn w:val="a0"/>
    <w:qFormat/>
    <w:rPr>
      <w:shd w:val="clear" w:color="auto" w:fill="E9F9FF"/>
    </w:rPr>
  </w:style>
  <w:style w:type="paragraph" w:customStyle="1" w:styleId="Acknowledgements">
    <w:name w:val="Acknowledgements"/>
    <w:basedOn w:val="a"/>
    <w:pPr>
      <w:shd w:val="clear" w:color="auto" w:fill="F9EDFF"/>
      <w:spacing w:after="160" w:line="396" w:lineRule="auto"/>
      <w:jc w:val="both"/>
    </w:pPr>
    <w:rPr>
      <w:rFonts w:ascii="Calibri" w:eastAsia="Calibri" w:hAnsi="Calibri" w:cs="Calibri"/>
      <w:sz w:val="20"/>
    </w:rPr>
  </w:style>
  <w:style w:type="character" w:customStyle="1" w:styleId="Postcode">
    <w:name w:val="Postcode"/>
    <w:basedOn w:val="a0"/>
    <w:rPr>
      <w:shd w:val="clear" w:color="auto" w:fill="BEBEBE"/>
    </w:rPr>
  </w:style>
  <w:style w:type="paragraph" w:customStyle="1" w:styleId="Statement">
    <w:name w:val="Statement"/>
    <w:basedOn w:val="a"/>
    <w:pPr>
      <w:ind w:left="900"/>
    </w:pPr>
    <w:rPr>
      <w:rFonts w:ascii="Calibri" w:eastAsia="Calibri" w:hAnsi="Calibri" w:cs="Calibri"/>
      <w:sz w:val="22"/>
    </w:rPr>
  </w:style>
  <w:style w:type="paragraph" w:styleId="40">
    <w:name w:val="List 4"/>
    <w:basedOn w:val="a"/>
    <w:pPr>
      <w:spacing w:line="360" w:lineRule="auto"/>
      <w:ind w:left="1600" w:hanging="400"/>
    </w:pPr>
    <w:rPr>
      <w:rFonts w:ascii="Calibri" w:eastAsia="Calibri" w:hAnsi="Calibri" w:cs="Calibri"/>
      <w:sz w:val="22"/>
    </w:rPr>
  </w:style>
  <w:style w:type="paragraph" w:styleId="ad">
    <w:name w:val="Block Text"/>
    <w:basedOn w:val="a"/>
    <w:pPr>
      <w:spacing w:after="160" w:line="360" w:lineRule="auto"/>
      <w:ind w:left="1200"/>
    </w:pPr>
    <w:rPr>
      <w:rFonts w:ascii="Calibri" w:eastAsia="Calibri" w:hAnsi="Calibri" w:cs="Calibri"/>
      <w:sz w:val="22"/>
    </w:rPr>
  </w:style>
  <w:style w:type="paragraph" w:customStyle="1" w:styleId="Correspondence">
    <w:name w:val="Correspondence"/>
    <w:basedOn w:val="a"/>
    <w:pPr>
      <w:shd w:val="clear" w:color="auto" w:fill="F3F7F9"/>
      <w:spacing w:before="240" w:after="120" w:line="396" w:lineRule="auto"/>
      <w:ind w:left="400" w:hanging="400"/>
    </w:pPr>
    <w:rPr>
      <w:rFonts w:ascii="Calibri" w:eastAsia="Calibri" w:hAnsi="Calibri" w:cs="Calibri"/>
      <w:sz w:val="20"/>
    </w:rPr>
  </w:style>
  <w:style w:type="paragraph" w:styleId="30">
    <w:name w:val="List 3"/>
    <w:basedOn w:val="a"/>
    <w:pPr>
      <w:spacing w:line="360" w:lineRule="auto"/>
      <w:ind w:left="1200" w:hanging="400"/>
      <w:jc w:val="both"/>
    </w:pPr>
    <w:rPr>
      <w:rFonts w:ascii="Calibri" w:eastAsia="Calibri" w:hAnsi="Calibri" w:cs="Calibri"/>
      <w:sz w:val="22"/>
    </w:rPr>
  </w:style>
  <w:style w:type="paragraph" w:customStyle="1" w:styleId="List9">
    <w:name w:val="List 9"/>
    <w:basedOn w:val="a"/>
    <w:pPr>
      <w:ind w:left="1200" w:hanging="600"/>
      <w:jc w:val="both"/>
    </w:pPr>
    <w:rPr>
      <w:rFonts w:ascii="Times New Roman" w:eastAsia="Times New Roman" w:hAnsi="Times New Roman" w:cs="Times New Roman"/>
      <w:sz w:val="22"/>
    </w:rPr>
  </w:style>
  <w:style w:type="paragraph" w:customStyle="1" w:styleId="List1">
    <w:name w:val="List 1"/>
    <w:basedOn w:val="a"/>
    <w:pPr>
      <w:ind w:left="1200" w:hanging="600"/>
      <w:jc w:val="both"/>
    </w:pPr>
    <w:rPr>
      <w:rFonts w:ascii="Times New Roman" w:eastAsia="Times New Roman" w:hAnsi="Times New Roman" w:cs="Times New Roman"/>
      <w:sz w:val="22"/>
    </w:rPr>
  </w:style>
  <w:style w:type="paragraph" w:styleId="ae">
    <w:name w:val="annotation text"/>
    <w:basedOn w:val="a"/>
    <w:link w:val="Char"/>
    <w:uiPriority w:val="99"/>
    <w:rPr>
      <w:sz w:val="20"/>
      <w:szCs w:val="20"/>
    </w:rPr>
  </w:style>
  <w:style w:type="character" w:customStyle="1" w:styleId="Char">
    <w:name w:val="메모 텍스트 Char"/>
    <w:basedOn w:val="a0"/>
    <w:link w:val="ae"/>
    <w:uiPriority w:val="99"/>
    <w:rPr>
      <w:rFonts w:ascii="Arial" w:eastAsia="Arial" w:hAnsi="Arial" w:cs="Arial"/>
      <w:sz w:val="20"/>
      <w:szCs w:val="20"/>
    </w:rPr>
  </w:style>
  <w:style w:type="character" w:styleId="af">
    <w:name w:val="annotation reference"/>
    <w:basedOn w:val="a0"/>
    <w:uiPriority w:val="99"/>
    <w:rPr>
      <w:sz w:val="16"/>
      <w:szCs w:val="16"/>
    </w:rPr>
  </w:style>
  <w:style w:type="paragraph" w:styleId="af0">
    <w:name w:val="Balloon Text"/>
    <w:basedOn w:val="a"/>
    <w:link w:val="Char0"/>
    <w:uiPriority w:val="99"/>
    <w:rsid w:val="00C45BF2"/>
    <w:rPr>
      <w:rFonts w:ascii="Segoe UI" w:hAnsi="Segoe UI" w:cs="Segoe UI"/>
      <w:sz w:val="18"/>
      <w:szCs w:val="18"/>
    </w:rPr>
  </w:style>
  <w:style w:type="character" w:customStyle="1" w:styleId="Char0">
    <w:name w:val="풍선 도움말 텍스트 Char"/>
    <w:basedOn w:val="a0"/>
    <w:link w:val="af0"/>
    <w:uiPriority w:val="99"/>
    <w:rsid w:val="00C45BF2"/>
    <w:rPr>
      <w:rFonts w:ascii="Segoe UI" w:eastAsia="Arial" w:hAnsi="Segoe UI" w:cs="Segoe UI"/>
      <w:sz w:val="18"/>
      <w:szCs w:val="18"/>
    </w:rPr>
  </w:style>
  <w:style w:type="paragraph" w:styleId="af1">
    <w:name w:val="annotation subject"/>
    <w:basedOn w:val="ae"/>
    <w:next w:val="ae"/>
    <w:link w:val="Char1"/>
    <w:uiPriority w:val="99"/>
    <w:rsid w:val="00186757"/>
    <w:rPr>
      <w:b/>
      <w:bCs/>
    </w:rPr>
  </w:style>
  <w:style w:type="character" w:customStyle="1" w:styleId="Char1">
    <w:name w:val="메모 주제 Char"/>
    <w:basedOn w:val="Char"/>
    <w:link w:val="af1"/>
    <w:uiPriority w:val="99"/>
    <w:rsid w:val="00186757"/>
    <w:rPr>
      <w:rFonts w:ascii="Arial" w:eastAsia="Arial" w:hAnsi="Arial" w:cs="Arial"/>
      <w:b/>
      <w:bCs/>
      <w:sz w:val="20"/>
      <w:szCs w:val="20"/>
    </w:rPr>
  </w:style>
  <w:style w:type="paragraph" w:styleId="af2">
    <w:name w:val="header"/>
    <w:basedOn w:val="a"/>
    <w:link w:val="Char2"/>
    <w:uiPriority w:val="99"/>
    <w:rsid w:val="004C33EC"/>
    <w:pPr>
      <w:tabs>
        <w:tab w:val="center" w:pos="4680"/>
        <w:tab w:val="right" w:pos="9360"/>
      </w:tabs>
    </w:pPr>
  </w:style>
  <w:style w:type="character" w:customStyle="1" w:styleId="Char2">
    <w:name w:val="머리글 Char"/>
    <w:basedOn w:val="a0"/>
    <w:link w:val="af2"/>
    <w:uiPriority w:val="99"/>
    <w:rsid w:val="004C33EC"/>
    <w:rPr>
      <w:rFonts w:ascii="Arial" w:eastAsia="Arial" w:hAnsi="Arial" w:cs="Arial"/>
      <w:sz w:val="24"/>
    </w:rPr>
  </w:style>
  <w:style w:type="paragraph" w:styleId="af3">
    <w:name w:val="footer"/>
    <w:basedOn w:val="a"/>
    <w:link w:val="Char3"/>
    <w:uiPriority w:val="99"/>
    <w:rsid w:val="004C33EC"/>
    <w:pPr>
      <w:tabs>
        <w:tab w:val="center" w:pos="4680"/>
        <w:tab w:val="right" w:pos="9360"/>
      </w:tabs>
    </w:pPr>
  </w:style>
  <w:style w:type="character" w:customStyle="1" w:styleId="Char3">
    <w:name w:val="바닥글 Char"/>
    <w:basedOn w:val="a0"/>
    <w:link w:val="af3"/>
    <w:uiPriority w:val="99"/>
    <w:rsid w:val="004C33EC"/>
    <w:rPr>
      <w:rFonts w:ascii="Arial" w:eastAsia="Arial" w:hAnsi="Arial" w:cs="Arial"/>
      <w:sz w:val="24"/>
    </w:rPr>
  </w:style>
  <w:style w:type="paragraph" w:styleId="af4">
    <w:name w:val="Revision"/>
    <w:hidden/>
    <w:uiPriority w:val="99"/>
    <w:semiHidden/>
    <w:rsid w:val="007C246E"/>
    <w:pPr>
      <w:spacing w:after="0"/>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errang0311@dankook.ac.k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6604C-7EE8-B34F-8C98-3943A04D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3357</Words>
  <Characters>17760</Characters>
  <Application>Microsoft Office Word</Application>
  <DocSecurity>0</DocSecurity>
  <Lines>311</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2026-02-24T09:09:00Z</dcterms:created>
  <dcterms:modified xsi:type="dcterms:W3CDTF">2026-02-24T22:27:00Z</dcterms:modified>
</cp:coreProperties>
</file>