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1CC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Supplementary Fig</w:t>
      </w:r>
      <w:r>
        <w:rPr>
          <w:rFonts w:hint="eastAsia" w:ascii="Times New Roman" w:hAnsi="Times New Roman" w:eastAsia="宋体"/>
          <w:b/>
          <w:bCs w:val="0"/>
          <w:color w:val="auto"/>
          <w:sz w:val="24"/>
          <w:szCs w:val="24"/>
          <w:lang w:val="en-US" w:eastAsia="zh-CN"/>
        </w:rPr>
        <w:t>ures</w:t>
      </w:r>
    </w:p>
    <w:p w14:paraId="1A259A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56530" cy="4282440"/>
            <wp:effectExtent l="0" t="0" r="1270" b="381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10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Fig</w:t>
      </w:r>
      <w:r>
        <w:rPr>
          <w:rFonts w:hint="eastAsia" w:ascii="Times New Roman" w:hAnsi="Times New Roman" w:eastAsia="宋体"/>
          <w:b/>
          <w:bCs w:val="0"/>
          <w:color w:val="auto"/>
          <w:sz w:val="24"/>
          <w:szCs w:val="24"/>
          <w:lang w:val="en-US" w:eastAsia="zh-CN"/>
        </w:rPr>
        <w:t>ure S</w:t>
      </w: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Secondary clustering of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neutrophils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identifie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d 4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distinct </w:t>
      </w:r>
      <w:r>
        <w:rPr>
          <w:rFonts w:hint="default" w:ascii="Times New Roman" w:hAnsi="Times New Roman" w:cs="Times New Roman"/>
          <w:b w:val="0"/>
          <w:bCs w:val="0"/>
          <w:sz w:val="24"/>
          <w:highlight w:val="none"/>
        </w:rPr>
        <w:t>subpopulations</w:t>
      </w:r>
      <w:r>
        <w:rPr>
          <w:rFonts w:hint="eastAsia" w:ascii="Times New Roman" w:hAnsi="Times New Roman" w:cs="Times New Roman"/>
          <w:b w:val="0"/>
          <w:bCs w:val="0"/>
          <w:sz w:val="24"/>
          <w:highlight w:val="none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 xml:space="preserve">(A-E)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Gene Ontology (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GO)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 xml:space="preserve"> terms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 xml:space="preserve">enriched by 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differentially expressed genes (DEGs)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highlight w:val="none"/>
        </w:rPr>
        <w:t>between Cluster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0 </w:t>
      </w:r>
      <w:r>
        <w:rPr>
          <w:rFonts w:hint="eastAsia" w:ascii="Times New Roman" w:hAnsi="Times New Roman" w:cs="Times New Roman"/>
          <w:b/>
          <w:bCs/>
          <w:sz w:val="24"/>
          <w:highlight w:val="none"/>
          <w:lang w:val="en-US" w:eastAsia="zh-CN"/>
        </w:rPr>
        <w:t>(A)/</w:t>
      </w:r>
      <w:r>
        <w:rPr>
          <w:rFonts w:hint="default" w:ascii="Times New Roman" w:hAnsi="Times New Roman" w:cs="Times New Roman"/>
          <w:sz w:val="24"/>
          <w:highlight w:val="none"/>
        </w:rPr>
        <w:t>Cluster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1 </w:t>
      </w:r>
      <w:r>
        <w:rPr>
          <w:rFonts w:hint="eastAsia" w:ascii="Times New Roman" w:hAnsi="Times New Roman" w:cs="Times New Roman"/>
          <w:b/>
          <w:bCs/>
          <w:sz w:val="24"/>
          <w:highlight w:val="none"/>
          <w:lang w:val="en-US" w:eastAsia="zh-CN"/>
        </w:rPr>
        <w:t>(B)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/</w:t>
      </w:r>
      <w:r>
        <w:rPr>
          <w:rFonts w:hint="default" w:ascii="Times New Roman" w:hAnsi="Times New Roman" w:cs="Times New Roman"/>
          <w:sz w:val="24"/>
          <w:highlight w:val="none"/>
        </w:rPr>
        <w:t>Cluster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2 </w:t>
      </w:r>
      <w:r>
        <w:rPr>
          <w:rFonts w:hint="eastAsia" w:ascii="Times New Roman" w:hAnsi="Times New Roman" w:cs="Times New Roman"/>
          <w:b/>
          <w:bCs/>
          <w:sz w:val="24"/>
          <w:highlight w:val="none"/>
          <w:lang w:val="en-US" w:eastAsia="zh-CN"/>
        </w:rPr>
        <w:t>(C)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/</w:t>
      </w:r>
      <w:r>
        <w:rPr>
          <w:rFonts w:hint="default" w:ascii="Times New Roman" w:hAnsi="Times New Roman" w:cs="Times New Roman"/>
          <w:sz w:val="24"/>
          <w:highlight w:val="none"/>
        </w:rPr>
        <w:t>Cluster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3 </w:t>
      </w:r>
      <w:r>
        <w:rPr>
          <w:rFonts w:hint="eastAsia" w:ascii="Times New Roman" w:hAnsi="Times New Roman" w:cs="Times New Roman"/>
          <w:b/>
          <w:bCs/>
          <w:sz w:val="24"/>
          <w:highlight w:val="none"/>
          <w:lang w:val="en-US" w:eastAsia="zh-CN"/>
        </w:rPr>
        <w:t>(D)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/</w:t>
      </w:r>
      <w:r>
        <w:rPr>
          <w:rFonts w:hint="default" w:ascii="Times New Roman" w:hAnsi="Times New Roman" w:cs="Times New Roman"/>
          <w:sz w:val="24"/>
          <w:highlight w:val="none"/>
        </w:rPr>
        <w:t>Cluster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4 </w:t>
      </w:r>
      <w:r>
        <w:rPr>
          <w:rFonts w:hint="eastAsia" w:ascii="Times New Roman" w:hAnsi="Times New Roman" w:cs="Times New Roman"/>
          <w:b/>
          <w:bCs/>
          <w:sz w:val="24"/>
          <w:highlight w:val="none"/>
          <w:lang w:val="en-US" w:eastAsia="zh-CN"/>
        </w:rPr>
        <w:t>(E)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highlight w:val="none"/>
        </w:rPr>
        <w:t>and other cell subpopulations</w:t>
      </w:r>
      <w:r>
        <w:rPr>
          <w:rFonts w:hint="eastAsia" w:ascii="Times New Roman" w:hAnsi="Times New Roman" w:cs="Times New Roman"/>
          <w:sz w:val="24"/>
          <w:lang w:val="en-US" w:eastAsia="zh-CN"/>
        </w:rPr>
        <w:t>.</w:t>
      </w:r>
    </w:p>
    <w:p w14:paraId="38C6C8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drawing>
          <wp:inline distT="0" distB="0" distL="114300" distR="114300">
            <wp:extent cx="5262245" cy="1664970"/>
            <wp:effectExtent l="0" t="0" r="14605" b="1143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FB09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Fig</w:t>
      </w:r>
      <w:r>
        <w:rPr>
          <w:rFonts w:hint="eastAsia" w:ascii="Times New Roman" w:hAnsi="Times New Roman" w:eastAsia="宋体"/>
          <w:b/>
          <w:bCs w:val="0"/>
          <w:color w:val="auto"/>
          <w:sz w:val="24"/>
          <w:szCs w:val="24"/>
          <w:lang w:val="en-US" w:eastAsia="zh-CN"/>
        </w:rPr>
        <w:t>ure S</w:t>
      </w: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Cs/>
          <w:color w:val="auto"/>
          <w:sz w:val="24"/>
          <w:lang w:val="en-US" w:eastAsia="zh-CN"/>
        </w:rPr>
        <w:t xml:space="preserve">Differences in </w:t>
      </w:r>
      <w:r>
        <w:rPr>
          <w:rFonts w:hint="eastAsia" w:ascii="Times New Roman" w:hAnsi="Times New Roman"/>
          <w:bCs/>
          <w:color w:val="auto"/>
          <w:sz w:val="24"/>
        </w:rPr>
        <w:t>half-maximal inhibitory concentration (IC</w:t>
      </w:r>
      <w:r>
        <w:rPr>
          <w:rFonts w:hint="eastAsia" w:ascii="Times New Roman" w:hAnsi="Times New Roman"/>
          <w:bCs/>
          <w:color w:val="auto"/>
          <w:sz w:val="24"/>
          <w:vertAlign w:val="subscript"/>
        </w:rPr>
        <w:t>50</w:t>
      </w:r>
      <w:r>
        <w:rPr>
          <w:rFonts w:hint="eastAsia" w:ascii="Times New Roman" w:hAnsi="Times New Roman"/>
          <w:bCs/>
          <w:color w:val="auto"/>
          <w:sz w:val="24"/>
        </w:rPr>
        <w:t>)</w:t>
      </w:r>
      <w:r>
        <w:rPr>
          <w:rFonts w:hint="eastAsia" w:ascii="Times New Roman" w:hAnsi="Times New Roman"/>
          <w:bCs/>
          <w:color w:val="auto"/>
          <w:sz w:val="24"/>
          <w:lang w:val="en-US" w:eastAsia="zh-CN"/>
        </w:rPr>
        <w:t xml:space="preserve"> of Vinblastine_1004, Cytarabine_1006, and Docetaxel_1007 between ATP6V1E1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high- and low- expression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cohort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s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.</w:t>
      </w:r>
    </w:p>
    <w:p w14:paraId="7E103C6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A2A4E"/>
    <w:rsid w:val="4EED6ABD"/>
    <w:rsid w:val="54F8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419</Characters>
  <Lines>0</Lines>
  <Paragraphs>0</Paragraphs>
  <TotalTime>0</TotalTime>
  <ScaleCrop>false</ScaleCrop>
  <LinksUpToDate>false</LinksUpToDate>
  <CharactersWithSpaces>476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2025-12-08T07:06:00Z</dcterms:created>
  <dc:creator>Administrator</dc:creator>
  <cp:lastModifiedBy>blue</cp:lastModifiedBy>
  <dcterms:modified xsi:type="dcterms:W3CDTF">2025-12-08T07:28:52Z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eyJoZGlkIjoiYjM4NzEzYTQxMTgwMDQ2M2ZkZjQyNjEyOTgxMTkxOTIiLCJ1c2VySWQiOiI4NDQ1MDUzMDIifQ==</vt:lpwstr>
  </property>
  <property fmtid="{D5CDD505-2E9C-101B-9397-08002B2CF9AE}" pid="4" name="ICV">
    <vt:lpwstr>DFD1058DD2B445BDB47C7F57BEADF792_12</vt:lpwstr>
  </property>
</Properties>
</file>