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413B8" w14:textId="77777777" w:rsidR="004D2F90" w:rsidRDefault="004D2F90" w:rsidP="004D2F90">
      <w:pPr>
        <w:widowControl/>
        <w:spacing w:line="360" w:lineRule="auto"/>
        <w:rPr>
          <w:rFonts w:ascii="Times New Roman" w:eastAsia="Georgia" w:hAnsi="Times New Roman" w:cs="Times New Roman"/>
          <w:b/>
          <w:bCs/>
          <w:color w:val="1F1F1F"/>
          <w:sz w:val="24"/>
        </w:rPr>
      </w:pPr>
      <w:r>
        <w:rPr>
          <w:rFonts w:ascii="Times New Roman" w:eastAsia="Georgia" w:hAnsi="Times New Roman" w:cs="Times New Roman"/>
          <w:b/>
          <w:bCs/>
          <w:color w:val="1F1F1F"/>
          <w:sz w:val="24"/>
        </w:rPr>
        <w:t>Supplementary materials</w:t>
      </w:r>
    </w:p>
    <w:p w14:paraId="7B4571F3" w14:textId="77777777" w:rsidR="004D2F90" w:rsidRDefault="004D2F90" w:rsidP="004D2F9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eastAsia="SimSun" w:hAnsi="Times New Roman" w:cs="Times New Roman"/>
          <w:b/>
          <w:sz w:val="24"/>
        </w:rPr>
        <w:t>ure S</w:t>
      </w:r>
      <w:r>
        <w:rPr>
          <w:rFonts w:ascii="Times New Roman" w:hAnsi="Times New Roman" w:cs="Times New Roman"/>
          <w:b/>
          <w:sz w:val="24"/>
        </w:rPr>
        <w:t>1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Secondary clustering of </w:t>
      </w:r>
      <w:r>
        <w:rPr>
          <w:rFonts w:ascii="Times New Roman" w:eastAsia="SimSun" w:hAnsi="Times New Roman" w:cs="Times New Roman"/>
          <w:sz w:val="24"/>
        </w:rPr>
        <w:t>neutrophils</w:t>
      </w:r>
      <w:r>
        <w:rPr>
          <w:rFonts w:ascii="Times New Roman" w:hAnsi="Times New Roman" w:cs="Times New Roman"/>
          <w:sz w:val="24"/>
        </w:rPr>
        <w:t xml:space="preserve"> identified 4 distinct subpopulations.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(A-E) </w:t>
      </w:r>
      <w:r>
        <w:rPr>
          <w:rFonts w:ascii="Times New Roman" w:hAnsi="Times New Roman" w:cs="Times New Roman"/>
          <w:sz w:val="24"/>
        </w:rPr>
        <w:t>The Gene Ontology (</w:t>
      </w:r>
      <w:r>
        <w:rPr>
          <w:rFonts w:ascii="Times New Roman" w:hAnsi="Times New Roman" w:cs="Times New Roman"/>
          <w:bCs/>
          <w:sz w:val="24"/>
        </w:rPr>
        <w:t>GO)</w:t>
      </w:r>
      <w:r>
        <w:rPr>
          <w:rFonts w:ascii="Times New Roman" w:hAnsi="Times New Roman" w:cs="Times New Roman"/>
          <w:sz w:val="24"/>
        </w:rPr>
        <w:t xml:space="preserve"> terms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enriched by </w:t>
      </w:r>
      <w:r>
        <w:rPr>
          <w:rFonts w:ascii="Times New Roman" w:hAnsi="Times New Roman" w:cs="Times New Roman"/>
          <w:bCs/>
          <w:sz w:val="24"/>
        </w:rPr>
        <w:t>differentially expressed genes (DEGs)</w:t>
      </w:r>
      <w:r>
        <w:rPr>
          <w:rFonts w:ascii="Times New Roman" w:hAnsi="Times New Roman" w:cs="Times New Roman"/>
          <w:sz w:val="24"/>
        </w:rPr>
        <w:t xml:space="preserve"> between Cluster 0 </w:t>
      </w:r>
      <w:r>
        <w:rPr>
          <w:rFonts w:ascii="Times New Roman" w:hAnsi="Times New Roman" w:cs="Times New Roman"/>
          <w:b/>
          <w:bCs/>
          <w:sz w:val="24"/>
        </w:rPr>
        <w:t>(A)/</w:t>
      </w:r>
      <w:r>
        <w:rPr>
          <w:rFonts w:ascii="Times New Roman" w:hAnsi="Times New Roman" w:cs="Times New Roman"/>
          <w:sz w:val="24"/>
        </w:rPr>
        <w:t xml:space="preserve">Cluster 1 </w:t>
      </w:r>
      <w:r>
        <w:rPr>
          <w:rFonts w:ascii="Times New Roman" w:hAnsi="Times New Roman" w:cs="Times New Roman"/>
          <w:b/>
          <w:bCs/>
          <w:sz w:val="24"/>
        </w:rPr>
        <w:t>(B)</w:t>
      </w:r>
      <w:r>
        <w:rPr>
          <w:rFonts w:ascii="Times New Roman" w:hAnsi="Times New Roman" w:cs="Times New Roman"/>
          <w:sz w:val="24"/>
        </w:rPr>
        <w:t xml:space="preserve">/Cluster 2 </w:t>
      </w:r>
      <w:r>
        <w:rPr>
          <w:rFonts w:ascii="Times New Roman" w:hAnsi="Times New Roman" w:cs="Times New Roman"/>
          <w:b/>
          <w:bCs/>
          <w:sz w:val="24"/>
        </w:rPr>
        <w:t>(C)</w:t>
      </w:r>
      <w:r>
        <w:rPr>
          <w:rFonts w:ascii="Times New Roman" w:hAnsi="Times New Roman" w:cs="Times New Roman"/>
          <w:sz w:val="24"/>
        </w:rPr>
        <w:t xml:space="preserve">/Cluster 3 </w:t>
      </w:r>
      <w:r>
        <w:rPr>
          <w:rFonts w:ascii="Times New Roman" w:hAnsi="Times New Roman" w:cs="Times New Roman"/>
          <w:b/>
          <w:bCs/>
          <w:sz w:val="24"/>
        </w:rPr>
        <w:t>(D)</w:t>
      </w:r>
      <w:r>
        <w:rPr>
          <w:rFonts w:ascii="Times New Roman" w:hAnsi="Times New Roman" w:cs="Times New Roman"/>
          <w:sz w:val="24"/>
        </w:rPr>
        <w:t xml:space="preserve">/Cluster 4 </w:t>
      </w:r>
      <w:r>
        <w:rPr>
          <w:rFonts w:ascii="Times New Roman" w:hAnsi="Times New Roman" w:cs="Times New Roman"/>
          <w:b/>
          <w:bCs/>
          <w:sz w:val="24"/>
        </w:rPr>
        <w:t>(E)</w:t>
      </w:r>
      <w:r>
        <w:rPr>
          <w:rFonts w:ascii="Times New Roman" w:hAnsi="Times New Roman" w:cs="Times New Roman"/>
          <w:sz w:val="24"/>
        </w:rPr>
        <w:t xml:space="preserve"> and other cell subpopulations.</w:t>
      </w:r>
    </w:p>
    <w:p w14:paraId="32317E13" w14:textId="77777777" w:rsidR="004D2F90" w:rsidRDefault="004D2F90" w:rsidP="004D2F90">
      <w:pPr>
        <w:numPr>
          <w:ilvl w:val="255"/>
          <w:numId w:val="0"/>
        </w:numPr>
        <w:autoSpaceDE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>
        <w:rPr>
          <w:rFonts w:ascii="Times New Roman" w:eastAsia="SimSun" w:hAnsi="Times New Roman" w:cs="Times New Roman"/>
          <w:b/>
          <w:sz w:val="24"/>
        </w:rPr>
        <w:t>ure S</w:t>
      </w:r>
      <w:r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eastAsia="SimSu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Differences in half-maximal inhibitory concentration (IC</w:t>
      </w:r>
      <w:r>
        <w:rPr>
          <w:rFonts w:ascii="Times New Roman" w:hAnsi="Times New Roman" w:cs="Times New Roman"/>
          <w:bCs/>
          <w:sz w:val="24"/>
          <w:vertAlign w:val="subscript"/>
        </w:rPr>
        <w:t>50</w:t>
      </w:r>
      <w:r>
        <w:rPr>
          <w:rFonts w:ascii="Times New Roman" w:hAnsi="Times New Roman" w:cs="Times New Roman"/>
          <w:bCs/>
          <w:sz w:val="24"/>
        </w:rPr>
        <w:t xml:space="preserve">) of Vinblastine_1004, Cytarabine_1006, and Docetaxel_1007 between ATP6V1E1 </w:t>
      </w:r>
      <w:r>
        <w:rPr>
          <w:rFonts w:ascii="Times New Roman" w:hAnsi="Times New Roman" w:cs="Times New Roman"/>
          <w:sz w:val="24"/>
        </w:rPr>
        <w:t>high- and low- expression cohorts.</w:t>
      </w:r>
    </w:p>
    <w:p w14:paraId="2FBE700D" w14:textId="77777777" w:rsidR="004D2F90" w:rsidRDefault="004D2F90" w:rsidP="004D2F90">
      <w:pPr>
        <w:widowControl/>
        <w:spacing w:line="360" w:lineRule="auto"/>
        <w:rPr>
          <w:rFonts w:ascii="Times New Roman" w:eastAsia="Georgia" w:hAnsi="Times New Roman" w:cs="Times New Roman"/>
          <w:b/>
          <w:bCs/>
          <w:color w:val="1F1F1F"/>
          <w:sz w:val="24"/>
        </w:rPr>
      </w:pPr>
    </w:p>
    <w:p w14:paraId="37DD71B3" w14:textId="77777777" w:rsidR="004D2F90" w:rsidRDefault="004D2F90" w:rsidP="004D2F9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 S1 </w:t>
      </w:r>
      <w:r>
        <w:rPr>
          <w:rFonts w:ascii="Times New Roman" w:hAnsi="Times New Roman" w:cs="Times New Roman"/>
          <w:bCs/>
          <w:sz w:val="24"/>
        </w:rPr>
        <w:t>The list of significantly differentially expressed genes (DEGs) from the overlapping genes between oral squamous cell carcinoma (OSCC) and control samples.</w:t>
      </w:r>
    </w:p>
    <w:p w14:paraId="455FA4BD" w14:textId="77777777" w:rsidR="004D2F90" w:rsidRDefault="004D2F90" w:rsidP="004D2F9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 S2 </w:t>
      </w:r>
      <w:r>
        <w:rPr>
          <w:rFonts w:ascii="Times New Roman" w:hAnsi="Times New Roman" w:cs="Times New Roman"/>
          <w:bCs/>
          <w:sz w:val="24"/>
        </w:rPr>
        <w:t xml:space="preserve">The list of </w:t>
      </w:r>
      <w:r>
        <w:rPr>
          <w:rFonts w:ascii="Times New Roman" w:hAnsi="Times New Roman" w:cs="Times New Roman"/>
          <w:sz w:val="24"/>
        </w:rPr>
        <w:t>Gene Ontology (</w:t>
      </w:r>
      <w:r>
        <w:rPr>
          <w:rFonts w:ascii="Times New Roman" w:hAnsi="Times New Roman" w:cs="Times New Roman"/>
          <w:bCs/>
          <w:sz w:val="24"/>
        </w:rPr>
        <w:t xml:space="preserve">GO) items and </w:t>
      </w:r>
      <w:r>
        <w:rPr>
          <w:rFonts w:ascii="Times New Roman" w:hAnsi="Times New Roman" w:cs="Times New Roman"/>
          <w:sz w:val="24"/>
        </w:rPr>
        <w:t>Kyoto Encyclopedia of Genes and Genomes (</w:t>
      </w:r>
      <w:r>
        <w:rPr>
          <w:rFonts w:ascii="Times New Roman" w:hAnsi="Times New Roman" w:cs="Times New Roman"/>
          <w:bCs/>
          <w:sz w:val="24"/>
        </w:rPr>
        <w:t>KEGG) pathways enriched by significantly DEGs from the overlapping genes between OSCC and control samples.</w:t>
      </w:r>
    </w:p>
    <w:p w14:paraId="013FAFCB" w14:textId="77777777" w:rsidR="004D2F90" w:rsidRDefault="004D2F90" w:rsidP="004D2F90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 S3 </w:t>
      </w:r>
      <w:r>
        <w:rPr>
          <w:rFonts w:ascii="Times New Roman" w:hAnsi="Times New Roman" w:cs="Times New Roman"/>
          <w:bCs/>
          <w:sz w:val="24"/>
        </w:rPr>
        <w:t>The list of genes identified by univariate Cox regression analysis.</w:t>
      </w:r>
    </w:p>
    <w:p w14:paraId="0347BD04" w14:textId="77777777" w:rsidR="004D2F90" w:rsidRDefault="004D2F90" w:rsidP="004D2F90">
      <w:pPr>
        <w:spacing w:line="360" w:lineRule="auto"/>
        <w:rPr>
          <w:rFonts w:ascii="Times New Roman" w:eastAsia="SimSu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 S4 </w:t>
      </w:r>
      <w:r>
        <w:rPr>
          <w:rFonts w:ascii="Times New Roman" w:hAnsi="Times New Roman" w:cs="Times New Roman"/>
          <w:bCs/>
          <w:sz w:val="24"/>
        </w:rPr>
        <w:t xml:space="preserve">The list of genes identified by </w:t>
      </w:r>
      <w:r>
        <w:rPr>
          <w:rFonts w:ascii="Times New Roman" w:hAnsi="Times New Roman" w:cs="Times New Roman"/>
          <w:sz w:val="24"/>
        </w:rPr>
        <w:t>proportional hazards (PH) assumption testing.</w:t>
      </w:r>
    </w:p>
    <w:p w14:paraId="722AF3C1" w14:textId="77777777" w:rsidR="004D2F90" w:rsidRDefault="004D2F90" w:rsidP="004D2F90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Table S5 </w:t>
      </w:r>
      <w:r>
        <w:rPr>
          <w:rFonts w:ascii="Times New Roman" w:hAnsi="Times New Roman" w:cs="Times New Roman"/>
          <w:bCs/>
          <w:sz w:val="24"/>
        </w:rPr>
        <w:t>The list of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drugs with significant differences between ATP6V1E1 high- and low-expression groups.</w:t>
      </w:r>
    </w:p>
    <w:p w14:paraId="738668C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F90"/>
    <w:rsid w:val="00066677"/>
    <w:rsid w:val="003A4E89"/>
    <w:rsid w:val="004D2F90"/>
    <w:rsid w:val="00556784"/>
    <w:rsid w:val="006B5448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62777"/>
  <w15:chartTrackingRefBased/>
  <w15:docId w15:val="{C631FAEC-BFA6-41DD-9D1F-9CC26C548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F9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2F9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2F9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2F9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2F9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2F9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2F9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2F9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F9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2F9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F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2F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F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2F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2F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2F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2F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2F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2F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2F9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2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2F9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2F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2F9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2F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2F9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2F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2F9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2F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2F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960</Characters>
  <Application>Microsoft Office Word</Application>
  <DocSecurity>0</DocSecurity>
  <Lines>17</Lines>
  <Paragraphs>5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2026-03-25T13:57:00Z</dcterms:created>
  <dcterms:modified xsi:type="dcterms:W3CDTF">2026-03-25T13:57:00Z</dcterms:modified>
</cp:coreProperties>
</file>