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2E4E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Autospacing="0" w:afterAutospacing="0" w:line="480" w:lineRule="auto"/>
        <w:rPr>
          <w:rFonts w:hint="eastAsia"/>
          <w:b/>
          <w:bCs w:val="0"/>
          <w:lang w:val="en-US" w:eastAsia="zh-CN"/>
        </w:rPr>
      </w:pPr>
      <w:r>
        <w:rPr>
          <w:rFonts w:hint="eastAsia"/>
          <w:b/>
          <w:bCs w:val="0"/>
          <w:lang w:val="en-US" w:eastAsia="zh-CN"/>
        </w:rPr>
        <w:t>Supplementary materials</w:t>
      </w:r>
    </w:p>
    <w:p w14:paraId="5639C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>Supplementary Figure 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Before quality control of single-cell data.</w:t>
      </w:r>
    </w:p>
    <w:p w14:paraId="1ADAC1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Figure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2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After quality control of single-cell data.</w:t>
      </w:r>
    </w:p>
    <w:p w14:paraId="7E3CD1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1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GSEA enrichment analysis and GSVA enrichment analysis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51D81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Table 2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DEGs information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124E04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3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GSEA enrichment analysis pathway of biomarkers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3152F0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Supplementary Table 4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TFs and 14 miRNAs information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78C124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Supplementary Table 5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T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 w:eastAsia="zh-CN"/>
        </w:rPr>
        <w:t>he binding sites of MAZ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>.</w:t>
      </w:r>
    </w:p>
    <w:p w14:paraId="077EE140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2D219F"/>
    <w:rsid w:val="065F1B0B"/>
    <w:rsid w:val="168E50BE"/>
    <w:rsid w:val="19BE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bCs/>
      <w:kern w:val="2"/>
      <w:sz w:val="24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</Words>
  <Characters>356</Characters>
  <Lines>0</Lines>
  <Paragraphs>0</Paragraphs>
  <TotalTime>0</TotalTime>
  <ScaleCrop>false</ScaleCrop>
  <LinksUpToDate>false</LinksUpToDate>
  <CharactersWithSpaces>407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2025-09-16T03:50:00Z</dcterms:created>
  <dc:creator>Administrator</dc:creator>
  <cp:lastModifiedBy>Administor</cp:lastModifiedBy>
  <dcterms:modified xsi:type="dcterms:W3CDTF">2025-10-09T09:52:28Z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eyJoZGlkIjoiZDkwYjE3ZDBjYjk4YTEwYjllMWUzNTE0ZjBkYmU3MzUiLCJ1c2VySWQiOiI0MTcxMTU4OTIifQ==</vt:lpwstr>
  </property>
  <property fmtid="{D5CDD505-2E9C-101B-9397-08002B2CF9AE}" pid="4" name="ICV">
    <vt:lpwstr>ACC50B9F1959426AB7D8362262B80148_12</vt:lpwstr>
  </property>
</Properties>
</file>