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4"/>
          <w:szCs w:val="24"/>
        </w:rPr>
      </w:pPr>
      <w:r w:rsidDel="00000000" w:rsidR="00000000" w:rsidRPr="00000000">
        <w:rPr>
          <w:b w:val="1"/>
          <w:bCs w:val="1"/>
          <w:sz w:val="24"/>
          <w:szCs w:val="24"/>
          <w:rtl w:val="0"/>
        </w:rPr>
        <w:t xml:space="preserve">SUPPLEMENTARY MATERIALS</w:t>
      </w:r>
    </w:p>
    <w:p w:rsidR="00000000" w:rsidDel="00000000" w:rsidP="00000000" w:rsidRDefault="00000000" w:rsidRPr="00000000" w14:paraId="00000002">
      <w:pPr>
        <w:rPr>
          <w:b w:val="1"/>
          <w:bCs w:val="1"/>
          <w:sz w:val="24"/>
          <w:szCs w:val="24"/>
          <w:highlight w:val="yellow"/>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Behavioral and hormonal responses to urbanization in odorous house ants (</w:t>
      </w:r>
      <w:r w:rsidDel="00000000" w:rsidR="00000000" w:rsidRPr="00000000">
        <w:rPr>
          <w:i w:val="1"/>
          <w:iCs w:val="1"/>
          <w:sz w:val="24"/>
          <w:szCs w:val="24"/>
          <w:rtl w:val="0"/>
        </w:rPr>
        <w:t xml:space="preserve">Tapinoma sessile</w:t>
      </w:r>
      <w:r w:rsidDel="00000000" w:rsidR="00000000" w:rsidRPr="00000000">
        <w:rPr>
          <w:sz w:val="24"/>
          <w:szCs w:val="24"/>
          <w:rtl w:val="0"/>
        </w:rPr>
        <w:t xml:space="preserve">)</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b w:val="1"/>
          <w:bCs w:val="1"/>
          <w:sz w:val="24"/>
          <w:szCs w:val="24"/>
          <w:highlight w:val="yellow"/>
        </w:rPr>
      </w:pPr>
      <w:r w:rsidDel="00000000" w:rsidR="00000000" w:rsidRPr="00000000">
        <w:rPr>
          <w:sz w:val="24"/>
          <w:szCs w:val="24"/>
          <w:rtl w:val="0"/>
        </w:rPr>
        <w:t xml:space="preserve">Insectes Sociaux </w:t>
      </w:r>
      <w:r w:rsidDel="00000000" w:rsidR="00000000" w:rsidRPr="00000000">
        <w:rPr>
          <w:rtl w:val="0"/>
        </w:rPr>
      </w:r>
    </w:p>
    <w:p w:rsidR="00000000" w:rsidDel="00000000" w:rsidP="00000000" w:rsidRDefault="00000000" w:rsidRPr="00000000" w14:paraId="00000006">
      <w:pPr>
        <w:rPr>
          <w:b w:val="1"/>
          <w:bCs w:val="1"/>
          <w:sz w:val="24"/>
          <w:szCs w:val="24"/>
          <w:highlight w:val="yellow"/>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Corresponding author: Kevin Neumann; kevinn4@illinios.edu</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spacing w:line="360" w:lineRule="auto"/>
        <w:rPr>
          <w:b w:val="1"/>
          <w:bCs w:val="1"/>
          <w:sz w:val="24"/>
          <w:szCs w:val="24"/>
        </w:rPr>
      </w:pPr>
      <w:r w:rsidDel="00000000" w:rsidR="00000000" w:rsidRPr="00000000">
        <w:rPr>
          <w:b w:val="1"/>
          <w:bCs w:val="1"/>
          <w:sz w:val="24"/>
          <w:szCs w:val="24"/>
        </w:rPr>
        <w:drawing>
          <wp:inline distB="114300" distT="114300" distL="114300" distR="114300">
            <wp:extent cx="6295953" cy="3632281"/>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295953" cy="3632281"/>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line="360" w:lineRule="auto"/>
        <w:rPr>
          <w:sz w:val="24"/>
          <w:szCs w:val="24"/>
        </w:rPr>
      </w:pPr>
      <w:r w:rsidDel="00000000" w:rsidR="00000000" w:rsidRPr="00000000">
        <w:rPr>
          <w:b w:val="1"/>
          <w:bCs w:val="1"/>
          <w:sz w:val="24"/>
          <w:szCs w:val="24"/>
          <w:rtl w:val="0"/>
        </w:rPr>
        <w:t xml:space="preserve">Supplementary Figure S1 </w:t>
      </w:r>
      <w:r w:rsidDel="00000000" w:rsidR="00000000" w:rsidRPr="00000000">
        <w:rPr>
          <w:sz w:val="24"/>
          <w:szCs w:val="24"/>
          <w:rtl w:val="0"/>
        </w:rPr>
        <w:t xml:space="preserve">Relative concentration of octopamine, by colony type, from pooled samples of 10 workers collected in the field. Points represent mean values and shaded area represented the standard error. Values are log transformed for visualization.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riHXUI3EEyZknd+3ReYd5LF+5A==">CgMxLjA4AHIhMWIzRmp6Qmd4YW9tMC0tcVFZRm1yQ2RKZnBrNENDN3Rm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2025-12-12T19:48:00Z</dcterms:created>
</cp:coreProperties>
</file>