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1CA4" w14:textId="77777777" w:rsidR="00551C09" w:rsidRDefault="00551C09" w:rsidP="00551C09">
      <w:pPr>
        <w:rPr>
          <w:b/>
          <w:color w:val="000000" w:themeColor="text1"/>
          <w:sz w:val="24"/>
          <w:szCs w:val="24"/>
        </w:rPr>
      </w:pPr>
    </w:p>
    <w:p w14:paraId="348E6BFB" w14:textId="77777777" w:rsidR="00635067" w:rsidRDefault="00635067" w:rsidP="00635067">
      <w:pPr>
        <w:rPr>
          <w:b/>
          <w:sz w:val="24"/>
          <w:szCs w:val="24"/>
        </w:rPr>
      </w:pPr>
      <w:r>
        <w:rPr>
          <w:b/>
          <w:sz w:val="24"/>
          <w:szCs w:val="24"/>
        </w:rPr>
        <w:t xml:space="preserve">Supplemental Material </w:t>
      </w:r>
    </w:p>
    <w:p w14:paraId="56D15413" w14:textId="77777777" w:rsidR="00635067" w:rsidRDefault="00635067" w:rsidP="00635067">
      <w:pPr>
        <w:rPr>
          <w:sz w:val="24"/>
          <w:szCs w:val="24"/>
        </w:rPr>
      </w:pPr>
    </w:p>
    <w:p w14:paraId="37933937" w14:textId="77777777" w:rsidR="00635067" w:rsidRDefault="00635067" w:rsidP="00635067">
      <w:r>
        <w:rPr>
          <w:noProof/>
        </w:rPr>
        <w:drawing>
          <wp:inline distT="19050" distB="19050" distL="19050" distR="19050" wp14:anchorId="6A0BEA89" wp14:editId="663168C7">
            <wp:extent cx="5943600" cy="1930400"/>
            <wp:effectExtent l="0" t="0" r="0" b="0"/>
            <wp:docPr id="37" name="image7.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screenshot of a computer&#10;&#10;Description automatically generated"/>
                    <pic:cNvPicPr preferRelativeResize="0"/>
                  </pic:nvPicPr>
                  <pic:blipFill>
                    <a:blip r:embed="rId4"/>
                    <a:srcRect r="6808" b="18326"/>
                    <a:stretch>
                      <a:fillRect/>
                    </a:stretch>
                  </pic:blipFill>
                  <pic:spPr>
                    <a:xfrm>
                      <a:off x="0" y="0"/>
                      <a:ext cx="5943600" cy="1930400"/>
                    </a:xfrm>
                    <a:prstGeom prst="rect">
                      <a:avLst/>
                    </a:prstGeom>
                    <a:ln/>
                  </pic:spPr>
                </pic:pic>
              </a:graphicData>
            </a:graphic>
          </wp:inline>
        </w:drawing>
      </w:r>
    </w:p>
    <w:p w14:paraId="2606C46E" w14:textId="77777777" w:rsidR="00635067" w:rsidRDefault="00635067" w:rsidP="00635067">
      <w:r>
        <w:t>Figure S1. Mask used for the analyses.</w:t>
      </w:r>
    </w:p>
    <w:p w14:paraId="6CAA7471" w14:textId="77777777" w:rsidR="00635067" w:rsidRDefault="00635067" w:rsidP="00635067"/>
    <w:p w14:paraId="62421400" w14:textId="77777777" w:rsidR="00635067" w:rsidRDefault="00635067" w:rsidP="00635067"/>
    <w:p w14:paraId="1C063512" w14:textId="77777777" w:rsidR="00635067" w:rsidRDefault="00635067" w:rsidP="00635067"/>
    <w:p w14:paraId="352EAAB0" w14:textId="77777777" w:rsidR="00635067" w:rsidRDefault="00635067" w:rsidP="00635067">
      <w:r>
        <w:rPr>
          <w:noProof/>
        </w:rPr>
        <w:drawing>
          <wp:inline distT="114300" distB="114300" distL="114300" distR="114300" wp14:anchorId="108D806C" wp14:editId="4A52B4A7">
            <wp:extent cx="5943600" cy="4114800"/>
            <wp:effectExtent l="0" t="0" r="0" b="0"/>
            <wp:docPr id="38" name="image6.png" descr="Graphical user interface, website&#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image6.png" descr="Graphical user interface, website&#10;&#10;AI-generated content may be incorrect."/>
                    <pic:cNvPicPr preferRelativeResize="0"/>
                  </pic:nvPicPr>
                  <pic:blipFill>
                    <a:blip r:embed="rId5"/>
                    <a:srcRect/>
                    <a:stretch>
                      <a:fillRect/>
                    </a:stretch>
                  </pic:blipFill>
                  <pic:spPr>
                    <a:xfrm>
                      <a:off x="0" y="0"/>
                      <a:ext cx="5943600" cy="4114800"/>
                    </a:xfrm>
                    <a:prstGeom prst="rect">
                      <a:avLst/>
                    </a:prstGeom>
                    <a:ln/>
                  </pic:spPr>
                </pic:pic>
              </a:graphicData>
            </a:graphic>
          </wp:inline>
        </w:drawing>
      </w:r>
    </w:p>
    <w:p w14:paraId="5A56EFC9" w14:textId="77777777" w:rsidR="00635067" w:rsidRDefault="00635067" w:rsidP="00635067">
      <w:r>
        <w:t>Figure S2. Monetary Incentive Delay (MID) Task.</w:t>
      </w:r>
    </w:p>
    <w:p w14:paraId="5439E7A8" w14:textId="77777777" w:rsidR="00635067" w:rsidRDefault="00635067" w:rsidP="00635067"/>
    <w:p w14:paraId="4C78F89D" w14:textId="77777777" w:rsidR="00635067" w:rsidRDefault="00635067" w:rsidP="00635067">
      <w:pPr>
        <w:rPr>
          <w:sz w:val="24"/>
          <w:szCs w:val="24"/>
        </w:rPr>
      </w:pPr>
      <w:r>
        <w:br w:type="page"/>
      </w:r>
    </w:p>
    <w:p w14:paraId="57E67E0B" w14:textId="77777777" w:rsidR="00635067" w:rsidRDefault="00635067" w:rsidP="00635067">
      <w:pPr>
        <w:rPr>
          <w:sz w:val="24"/>
          <w:szCs w:val="24"/>
        </w:rPr>
      </w:pPr>
    </w:p>
    <w:p w14:paraId="407E5220" w14:textId="77777777" w:rsidR="00635067" w:rsidRDefault="00635067" w:rsidP="00635067">
      <w:pPr>
        <w:rPr>
          <w:sz w:val="24"/>
          <w:szCs w:val="24"/>
        </w:rPr>
      </w:pPr>
    </w:p>
    <w:p w14:paraId="49215F34" w14:textId="77777777" w:rsidR="00635067" w:rsidRDefault="00635067" w:rsidP="00635067">
      <w:pPr>
        <w:jc w:val="center"/>
        <w:rPr>
          <w:sz w:val="24"/>
          <w:szCs w:val="24"/>
        </w:rPr>
      </w:pPr>
      <w:r>
        <w:rPr>
          <w:sz w:val="24"/>
          <w:szCs w:val="24"/>
        </w:rPr>
        <w:t>Table S1. Comparison of comorbidities between the two groups</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2325"/>
        <w:gridCol w:w="1364"/>
        <w:gridCol w:w="541"/>
        <w:gridCol w:w="1170"/>
        <w:gridCol w:w="240"/>
        <w:gridCol w:w="2010"/>
        <w:gridCol w:w="90"/>
        <w:gridCol w:w="1140"/>
        <w:gridCol w:w="105"/>
      </w:tblGrid>
      <w:tr w:rsidR="00635067" w14:paraId="512A233D" w14:textId="77777777" w:rsidTr="005E4B29">
        <w:trPr>
          <w:trHeight w:val="1245"/>
        </w:trPr>
        <w:tc>
          <w:tcPr>
            <w:tcW w:w="2325" w:type="dxa"/>
            <w:tcBorders>
              <w:top w:val="nil"/>
              <w:left w:val="nil"/>
              <w:bottom w:val="nil"/>
              <w:right w:val="nil"/>
            </w:tcBorders>
            <w:tcMar>
              <w:top w:w="80" w:type="dxa"/>
              <w:left w:w="80" w:type="dxa"/>
              <w:bottom w:w="100" w:type="dxa"/>
              <w:right w:w="80" w:type="dxa"/>
            </w:tcMar>
            <w:vAlign w:val="bottom"/>
          </w:tcPr>
          <w:p w14:paraId="204E35F8" w14:textId="77777777" w:rsidR="00635067" w:rsidRDefault="00635067" w:rsidP="005E4B29">
            <w:pPr>
              <w:rPr>
                <w:b/>
              </w:rPr>
            </w:pPr>
            <w:r>
              <w:rPr>
                <w:b/>
              </w:rPr>
              <w:t>Comorbidities</w:t>
            </w:r>
          </w:p>
        </w:tc>
        <w:tc>
          <w:tcPr>
            <w:tcW w:w="1905" w:type="dxa"/>
            <w:gridSpan w:val="2"/>
            <w:tcBorders>
              <w:top w:val="nil"/>
              <w:left w:val="nil"/>
              <w:bottom w:val="nil"/>
              <w:right w:val="nil"/>
            </w:tcBorders>
            <w:tcMar>
              <w:top w:w="80" w:type="dxa"/>
              <w:left w:w="80" w:type="dxa"/>
              <w:bottom w:w="100" w:type="dxa"/>
              <w:right w:w="80" w:type="dxa"/>
            </w:tcMar>
            <w:vAlign w:val="bottom"/>
          </w:tcPr>
          <w:p w14:paraId="73792A08" w14:textId="77777777" w:rsidR="00635067" w:rsidRDefault="00635067" w:rsidP="005E4B29">
            <w:pPr>
              <w:rPr>
                <w:b/>
              </w:rPr>
            </w:pPr>
            <w:r>
              <w:rPr>
                <w:b/>
              </w:rPr>
              <w:t xml:space="preserve">   </w:t>
            </w:r>
          </w:p>
        </w:tc>
        <w:tc>
          <w:tcPr>
            <w:tcW w:w="1170" w:type="dxa"/>
            <w:tcBorders>
              <w:top w:val="nil"/>
              <w:left w:val="nil"/>
              <w:bottom w:val="nil"/>
              <w:right w:val="nil"/>
            </w:tcBorders>
            <w:tcMar>
              <w:top w:w="80" w:type="dxa"/>
              <w:left w:w="80" w:type="dxa"/>
              <w:bottom w:w="100" w:type="dxa"/>
              <w:right w:w="80" w:type="dxa"/>
            </w:tcMar>
            <w:vAlign w:val="bottom"/>
          </w:tcPr>
          <w:p w14:paraId="0A4E64ED" w14:textId="77777777" w:rsidR="00635067" w:rsidRDefault="00635067" w:rsidP="005E4B29">
            <w:pPr>
              <w:rPr>
                <w:i/>
                <w:vertAlign w:val="superscript"/>
              </w:rPr>
            </w:pPr>
            <w:r>
              <w:rPr>
                <w:b/>
              </w:rPr>
              <w:t>BA</w:t>
            </w:r>
            <w:r>
              <w:rPr>
                <w:b/>
              </w:rPr>
              <w:br/>
            </w:r>
            <w:r>
              <w:t>N = 18</w:t>
            </w:r>
            <w:r>
              <w:rPr>
                <w:i/>
                <w:vertAlign w:val="superscript"/>
              </w:rPr>
              <w:t>1</w:t>
            </w:r>
          </w:p>
        </w:tc>
        <w:tc>
          <w:tcPr>
            <w:tcW w:w="2250" w:type="dxa"/>
            <w:gridSpan w:val="2"/>
            <w:tcBorders>
              <w:top w:val="nil"/>
              <w:left w:val="nil"/>
              <w:bottom w:val="nil"/>
              <w:right w:val="nil"/>
            </w:tcBorders>
            <w:tcMar>
              <w:top w:w="80" w:type="dxa"/>
              <w:left w:w="80" w:type="dxa"/>
              <w:bottom w:w="100" w:type="dxa"/>
              <w:right w:w="80" w:type="dxa"/>
            </w:tcMar>
            <w:vAlign w:val="bottom"/>
          </w:tcPr>
          <w:p w14:paraId="7C82A0DA" w14:textId="77777777" w:rsidR="00635067" w:rsidRDefault="00635067" w:rsidP="005E4B29">
            <w:pPr>
              <w:rPr>
                <w:i/>
                <w:vertAlign w:val="superscript"/>
              </w:rPr>
            </w:pPr>
            <w:r>
              <w:rPr>
                <w:b/>
              </w:rPr>
              <w:t>non-BA</w:t>
            </w:r>
            <w:r>
              <w:rPr>
                <w:b/>
              </w:rPr>
              <w:br/>
            </w:r>
            <w:r>
              <w:t>N = 46</w:t>
            </w:r>
            <w:r>
              <w:rPr>
                <w:i/>
                <w:vertAlign w:val="superscript"/>
              </w:rPr>
              <w:t>1</w:t>
            </w:r>
          </w:p>
        </w:tc>
        <w:tc>
          <w:tcPr>
            <w:tcW w:w="1335" w:type="dxa"/>
            <w:gridSpan w:val="3"/>
            <w:tcBorders>
              <w:top w:val="nil"/>
              <w:left w:val="nil"/>
              <w:bottom w:val="nil"/>
              <w:right w:val="nil"/>
            </w:tcBorders>
            <w:tcMar>
              <w:top w:w="80" w:type="dxa"/>
              <w:left w:w="80" w:type="dxa"/>
              <w:bottom w:w="100" w:type="dxa"/>
              <w:right w:w="80" w:type="dxa"/>
            </w:tcMar>
            <w:vAlign w:val="bottom"/>
          </w:tcPr>
          <w:p w14:paraId="3A61B359" w14:textId="77777777" w:rsidR="00635067" w:rsidRDefault="00635067" w:rsidP="005E4B29">
            <w:pPr>
              <w:rPr>
                <w:i/>
                <w:vertAlign w:val="superscript"/>
              </w:rPr>
            </w:pPr>
            <w:r>
              <w:rPr>
                <w:b/>
              </w:rPr>
              <w:t>p-value</w:t>
            </w:r>
            <w:r>
              <w:rPr>
                <w:i/>
                <w:vertAlign w:val="superscript"/>
              </w:rPr>
              <w:t>2</w:t>
            </w:r>
          </w:p>
        </w:tc>
      </w:tr>
      <w:tr w:rsidR="00635067" w14:paraId="309612C5" w14:textId="77777777" w:rsidTr="005E4B29">
        <w:trPr>
          <w:trHeight w:val="540"/>
        </w:trPr>
        <w:tc>
          <w:tcPr>
            <w:tcW w:w="3689" w:type="dxa"/>
            <w:gridSpan w:val="2"/>
            <w:tcBorders>
              <w:top w:val="single" w:sz="6" w:space="0" w:color="D3D3D3"/>
              <w:left w:val="nil"/>
              <w:bottom w:val="nil"/>
              <w:right w:val="nil"/>
            </w:tcBorders>
            <w:tcMar>
              <w:top w:w="120" w:type="dxa"/>
              <w:left w:w="80" w:type="dxa"/>
              <w:bottom w:w="120" w:type="dxa"/>
              <w:right w:w="80" w:type="dxa"/>
            </w:tcMar>
          </w:tcPr>
          <w:p w14:paraId="5896C70E" w14:textId="77777777" w:rsidR="00635067" w:rsidRDefault="00635067" w:rsidP="005E4B29">
            <w:r>
              <w:t>Attention deficit hyperactivity disorder (ADHD)</w:t>
            </w:r>
          </w:p>
        </w:tc>
        <w:tc>
          <w:tcPr>
            <w:tcW w:w="541" w:type="dxa"/>
            <w:tcBorders>
              <w:top w:val="single" w:sz="6" w:space="0" w:color="D3D3D3"/>
              <w:left w:val="nil"/>
              <w:bottom w:val="nil"/>
              <w:right w:val="nil"/>
            </w:tcBorders>
            <w:tcMar>
              <w:top w:w="120" w:type="dxa"/>
              <w:left w:w="80" w:type="dxa"/>
              <w:bottom w:w="120" w:type="dxa"/>
              <w:right w:w="80" w:type="dxa"/>
            </w:tcMar>
          </w:tcPr>
          <w:p w14:paraId="2B5F5382"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03135987" w14:textId="77777777" w:rsidR="00635067" w:rsidRDefault="00635067" w:rsidP="005E4B29">
            <w:r>
              <w:t>2 (11%)</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185E4578" w14:textId="77777777" w:rsidR="00635067" w:rsidRDefault="00635067" w:rsidP="005E4B29">
            <w:r>
              <w:t>6 (13%)</w:t>
            </w:r>
          </w:p>
        </w:tc>
        <w:tc>
          <w:tcPr>
            <w:tcW w:w="1140" w:type="dxa"/>
            <w:tcBorders>
              <w:top w:val="single" w:sz="6" w:space="0" w:color="D3D3D3"/>
              <w:left w:val="nil"/>
              <w:bottom w:val="nil"/>
              <w:right w:val="nil"/>
            </w:tcBorders>
            <w:tcMar>
              <w:top w:w="120" w:type="dxa"/>
              <w:left w:w="80" w:type="dxa"/>
              <w:bottom w:w="120" w:type="dxa"/>
              <w:right w:w="80" w:type="dxa"/>
            </w:tcMar>
          </w:tcPr>
          <w:p w14:paraId="739BD3A0" w14:textId="77777777" w:rsidR="00635067" w:rsidRDefault="00635067" w:rsidP="005E4B29">
            <w:r>
              <w:t>&gt;0.9</w:t>
            </w:r>
          </w:p>
        </w:tc>
        <w:tc>
          <w:tcPr>
            <w:tcW w:w="105" w:type="dxa"/>
            <w:tcBorders>
              <w:top w:val="nil"/>
              <w:left w:val="nil"/>
              <w:bottom w:val="nil"/>
              <w:right w:val="nil"/>
            </w:tcBorders>
            <w:tcMar>
              <w:top w:w="0" w:type="dxa"/>
              <w:left w:w="0" w:type="dxa"/>
              <w:bottom w:w="0" w:type="dxa"/>
              <w:right w:w="0" w:type="dxa"/>
            </w:tcMar>
          </w:tcPr>
          <w:p w14:paraId="3C129976" w14:textId="77777777" w:rsidR="00635067" w:rsidRDefault="00635067" w:rsidP="005E4B29">
            <w:r>
              <w:t xml:space="preserve"> </w:t>
            </w:r>
          </w:p>
        </w:tc>
      </w:tr>
      <w:tr w:rsidR="00635067" w14:paraId="31FAD98E" w14:textId="77777777" w:rsidTr="005E4B29">
        <w:trPr>
          <w:trHeight w:val="261"/>
        </w:trPr>
        <w:tc>
          <w:tcPr>
            <w:tcW w:w="3689" w:type="dxa"/>
            <w:gridSpan w:val="2"/>
            <w:tcBorders>
              <w:top w:val="single" w:sz="6" w:space="0" w:color="D3D3D3"/>
              <w:left w:val="nil"/>
              <w:bottom w:val="nil"/>
              <w:right w:val="nil"/>
            </w:tcBorders>
            <w:tcMar>
              <w:top w:w="120" w:type="dxa"/>
              <w:left w:w="80" w:type="dxa"/>
              <w:bottom w:w="120" w:type="dxa"/>
              <w:right w:w="80" w:type="dxa"/>
            </w:tcMar>
          </w:tcPr>
          <w:p w14:paraId="085ACD50" w14:textId="77777777" w:rsidR="00635067" w:rsidRDefault="00635067" w:rsidP="005E4B29">
            <w:r>
              <w:t>Body dysmorphic disorder (BDD)</w:t>
            </w:r>
          </w:p>
        </w:tc>
        <w:tc>
          <w:tcPr>
            <w:tcW w:w="541" w:type="dxa"/>
            <w:tcBorders>
              <w:top w:val="single" w:sz="6" w:space="0" w:color="D3D3D3"/>
              <w:left w:val="nil"/>
              <w:bottom w:val="nil"/>
              <w:right w:val="nil"/>
            </w:tcBorders>
            <w:tcMar>
              <w:top w:w="120" w:type="dxa"/>
              <w:left w:w="80" w:type="dxa"/>
              <w:bottom w:w="120" w:type="dxa"/>
              <w:right w:w="80" w:type="dxa"/>
            </w:tcMar>
          </w:tcPr>
          <w:p w14:paraId="1E831CF4"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26FA7A89" w14:textId="77777777" w:rsidR="00635067" w:rsidRDefault="00635067" w:rsidP="005E4B29">
            <w:r>
              <w:t>2 (11%)</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723B8E97" w14:textId="77777777" w:rsidR="00635067" w:rsidRDefault="00635067" w:rsidP="005E4B29">
            <w:r>
              <w:t>1 (2.2%)</w:t>
            </w:r>
          </w:p>
        </w:tc>
        <w:tc>
          <w:tcPr>
            <w:tcW w:w="1140" w:type="dxa"/>
            <w:tcBorders>
              <w:top w:val="single" w:sz="6" w:space="0" w:color="D3D3D3"/>
              <w:left w:val="nil"/>
              <w:bottom w:val="nil"/>
              <w:right w:val="nil"/>
            </w:tcBorders>
            <w:tcMar>
              <w:top w:w="120" w:type="dxa"/>
              <w:left w:w="80" w:type="dxa"/>
              <w:bottom w:w="120" w:type="dxa"/>
              <w:right w:w="80" w:type="dxa"/>
            </w:tcMar>
          </w:tcPr>
          <w:p w14:paraId="71DA393A" w14:textId="77777777" w:rsidR="00635067" w:rsidRDefault="00635067" w:rsidP="005E4B29">
            <w:r>
              <w:t>0.2</w:t>
            </w:r>
          </w:p>
        </w:tc>
        <w:tc>
          <w:tcPr>
            <w:tcW w:w="105" w:type="dxa"/>
            <w:tcBorders>
              <w:top w:val="nil"/>
              <w:left w:val="nil"/>
              <w:bottom w:val="nil"/>
              <w:right w:val="nil"/>
            </w:tcBorders>
            <w:tcMar>
              <w:top w:w="0" w:type="dxa"/>
              <w:left w:w="0" w:type="dxa"/>
              <w:bottom w:w="0" w:type="dxa"/>
              <w:right w:w="0" w:type="dxa"/>
            </w:tcMar>
          </w:tcPr>
          <w:p w14:paraId="5BD2685F" w14:textId="77777777" w:rsidR="00635067" w:rsidRDefault="00635067" w:rsidP="005E4B29">
            <w:r>
              <w:t xml:space="preserve"> </w:t>
            </w:r>
          </w:p>
        </w:tc>
      </w:tr>
      <w:tr w:rsidR="00635067" w14:paraId="37D7CD14" w14:textId="77777777" w:rsidTr="005E4B29">
        <w:trPr>
          <w:trHeight w:val="252"/>
        </w:trPr>
        <w:tc>
          <w:tcPr>
            <w:tcW w:w="3689" w:type="dxa"/>
            <w:gridSpan w:val="2"/>
            <w:tcBorders>
              <w:top w:val="single" w:sz="6" w:space="0" w:color="D3D3D3"/>
              <w:left w:val="nil"/>
              <w:bottom w:val="nil"/>
              <w:right w:val="nil"/>
            </w:tcBorders>
            <w:tcMar>
              <w:top w:w="120" w:type="dxa"/>
              <w:left w:w="80" w:type="dxa"/>
              <w:bottom w:w="120" w:type="dxa"/>
              <w:right w:w="80" w:type="dxa"/>
            </w:tcMar>
          </w:tcPr>
          <w:p w14:paraId="7F78FCA4" w14:textId="77777777" w:rsidR="00635067" w:rsidRDefault="00635067" w:rsidP="005E4B29">
            <w:r>
              <w:t>Eating disorder</w:t>
            </w:r>
          </w:p>
        </w:tc>
        <w:tc>
          <w:tcPr>
            <w:tcW w:w="541" w:type="dxa"/>
            <w:tcBorders>
              <w:top w:val="single" w:sz="6" w:space="0" w:color="D3D3D3"/>
              <w:left w:val="nil"/>
              <w:bottom w:val="nil"/>
              <w:right w:val="nil"/>
            </w:tcBorders>
            <w:tcMar>
              <w:top w:w="120" w:type="dxa"/>
              <w:left w:w="80" w:type="dxa"/>
              <w:bottom w:w="120" w:type="dxa"/>
              <w:right w:w="80" w:type="dxa"/>
            </w:tcMar>
          </w:tcPr>
          <w:p w14:paraId="5F811A89"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76E3D674" w14:textId="77777777" w:rsidR="00635067" w:rsidRDefault="00635067" w:rsidP="005E4B29">
            <w:r>
              <w:t>0 (0%)</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1DA7146F" w14:textId="77777777" w:rsidR="00635067" w:rsidRDefault="00635067" w:rsidP="005E4B29">
            <w:r>
              <w:t>1 (2.2%)</w:t>
            </w:r>
          </w:p>
        </w:tc>
        <w:tc>
          <w:tcPr>
            <w:tcW w:w="1140" w:type="dxa"/>
            <w:tcBorders>
              <w:top w:val="single" w:sz="6" w:space="0" w:color="D3D3D3"/>
              <w:left w:val="nil"/>
              <w:bottom w:val="nil"/>
              <w:right w:val="nil"/>
            </w:tcBorders>
            <w:tcMar>
              <w:top w:w="120" w:type="dxa"/>
              <w:left w:w="80" w:type="dxa"/>
              <w:bottom w:w="120" w:type="dxa"/>
              <w:right w:w="80" w:type="dxa"/>
            </w:tcMar>
          </w:tcPr>
          <w:p w14:paraId="2DC79634" w14:textId="77777777" w:rsidR="00635067" w:rsidRDefault="00635067" w:rsidP="005E4B29">
            <w:r>
              <w:t>&gt;0.9</w:t>
            </w:r>
          </w:p>
        </w:tc>
        <w:tc>
          <w:tcPr>
            <w:tcW w:w="105" w:type="dxa"/>
            <w:tcBorders>
              <w:top w:val="nil"/>
              <w:left w:val="nil"/>
              <w:bottom w:val="nil"/>
              <w:right w:val="nil"/>
            </w:tcBorders>
            <w:tcMar>
              <w:top w:w="0" w:type="dxa"/>
              <w:left w:w="0" w:type="dxa"/>
              <w:bottom w:w="0" w:type="dxa"/>
              <w:right w:w="0" w:type="dxa"/>
            </w:tcMar>
          </w:tcPr>
          <w:p w14:paraId="5CDA255A" w14:textId="77777777" w:rsidR="00635067" w:rsidRDefault="00635067" w:rsidP="005E4B29">
            <w:r>
              <w:t xml:space="preserve"> </w:t>
            </w:r>
          </w:p>
        </w:tc>
      </w:tr>
      <w:tr w:rsidR="00635067" w14:paraId="73DFB1C9" w14:textId="77777777" w:rsidTr="005E4B29">
        <w:trPr>
          <w:trHeight w:val="540"/>
        </w:trPr>
        <w:tc>
          <w:tcPr>
            <w:tcW w:w="3689" w:type="dxa"/>
            <w:gridSpan w:val="2"/>
            <w:tcBorders>
              <w:top w:val="single" w:sz="6" w:space="0" w:color="D3D3D3"/>
              <w:left w:val="nil"/>
              <w:bottom w:val="nil"/>
              <w:right w:val="nil"/>
            </w:tcBorders>
            <w:tcMar>
              <w:top w:w="120" w:type="dxa"/>
              <w:left w:w="80" w:type="dxa"/>
              <w:bottom w:w="120" w:type="dxa"/>
              <w:right w:w="80" w:type="dxa"/>
            </w:tcMar>
          </w:tcPr>
          <w:p w14:paraId="6CE35ADE" w14:textId="77777777" w:rsidR="00635067" w:rsidRDefault="00635067" w:rsidP="005E4B29">
            <w:r>
              <w:t>Generalized anxiety disorder (GAD)</w:t>
            </w:r>
          </w:p>
        </w:tc>
        <w:tc>
          <w:tcPr>
            <w:tcW w:w="541" w:type="dxa"/>
            <w:tcBorders>
              <w:top w:val="single" w:sz="6" w:space="0" w:color="D3D3D3"/>
              <w:left w:val="nil"/>
              <w:bottom w:val="nil"/>
              <w:right w:val="nil"/>
            </w:tcBorders>
            <w:tcMar>
              <w:top w:w="120" w:type="dxa"/>
              <w:left w:w="80" w:type="dxa"/>
              <w:bottom w:w="120" w:type="dxa"/>
              <w:right w:w="80" w:type="dxa"/>
            </w:tcMar>
          </w:tcPr>
          <w:p w14:paraId="6921F859"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5741585B" w14:textId="77777777" w:rsidR="00635067" w:rsidRDefault="00635067" w:rsidP="005E4B29">
            <w:r>
              <w:t>14 (78%)</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00E775BA" w14:textId="77777777" w:rsidR="00635067" w:rsidRDefault="00635067" w:rsidP="005E4B29">
            <w:r>
              <w:t>30 (65%)</w:t>
            </w:r>
          </w:p>
        </w:tc>
        <w:tc>
          <w:tcPr>
            <w:tcW w:w="1140" w:type="dxa"/>
            <w:tcBorders>
              <w:top w:val="single" w:sz="6" w:space="0" w:color="D3D3D3"/>
              <w:left w:val="nil"/>
              <w:bottom w:val="nil"/>
              <w:right w:val="nil"/>
            </w:tcBorders>
            <w:tcMar>
              <w:top w:w="120" w:type="dxa"/>
              <w:left w:w="80" w:type="dxa"/>
              <w:bottom w:w="120" w:type="dxa"/>
              <w:right w:w="80" w:type="dxa"/>
            </w:tcMar>
          </w:tcPr>
          <w:p w14:paraId="4A9C0BCE" w14:textId="77777777" w:rsidR="00635067" w:rsidRDefault="00635067" w:rsidP="005E4B29">
            <w:r>
              <w:t>0.3</w:t>
            </w:r>
          </w:p>
        </w:tc>
        <w:tc>
          <w:tcPr>
            <w:tcW w:w="105" w:type="dxa"/>
            <w:tcBorders>
              <w:top w:val="nil"/>
              <w:left w:val="nil"/>
              <w:bottom w:val="nil"/>
              <w:right w:val="nil"/>
            </w:tcBorders>
            <w:tcMar>
              <w:top w:w="0" w:type="dxa"/>
              <w:left w:w="0" w:type="dxa"/>
              <w:bottom w:w="0" w:type="dxa"/>
              <w:right w:w="0" w:type="dxa"/>
            </w:tcMar>
          </w:tcPr>
          <w:p w14:paraId="5F7DB042" w14:textId="77777777" w:rsidR="00635067" w:rsidRDefault="00635067" w:rsidP="005E4B29">
            <w:r>
              <w:t xml:space="preserve"> </w:t>
            </w:r>
          </w:p>
        </w:tc>
      </w:tr>
      <w:tr w:rsidR="00635067" w14:paraId="1611FE62" w14:textId="77777777" w:rsidTr="005E4B29">
        <w:trPr>
          <w:trHeight w:val="495"/>
        </w:trPr>
        <w:tc>
          <w:tcPr>
            <w:tcW w:w="3689" w:type="dxa"/>
            <w:gridSpan w:val="2"/>
            <w:tcBorders>
              <w:top w:val="single" w:sz="6" w:space="0" w:color="D3D3D3"/>
              <w:left w:val="nil"/>
              <w:bottom w:val="nil"/>
              <w:right w:val="nil"/>
            </w:tcBorders>
            <w:tcMar>
              <w:top w:w="120" w:type="dxa"/>
              <w:left w:w="80" w:type="dxa"/>
              <w:bottom w:w="120" w:type="dxa"/>
              <w:right w:w="80" w:type="dxa"/>
            </w:tcMar>
          </w:tcPr>
          <w:p w14:paraId="67B455BE" w14:textId="77777777" w:rsidR="00635067" w:rsidRDefault="00635067" w:rsidP="005E4B29">
            <w:r>
              <w:t>Obsessive compulsive disorder (OCD)</w:t>
            </w:r>
          </w:p>
        </w:tc>
        <w:tc>
          <w:tcPr>
            <w:tcW w:w="541" w:type="dxa"/>
            <w:tcBorders>
              <w:top w:val="single" w:sz="6" w:space="0" w:color="D3D3D3"/>
              <w:left w:val="nil"/>
              <w:bottom w:val="nil"/>
              <w:right w:val="nil"/>
            </w:tcBorders>
            <w:tcMar>
              <w:top w:w="120" w:type="dxa"/>
              <w:left w:w="80" w:type="dxa"/>
              <w:bottom w:w="120" w:type="dxa"/>
              <w:right w:w="80" w:type="dxa"/>
            </w:tcMar>
          </w:tcPr>
          <w:p w14:paraId="0C4A3F41"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1769634D" w14:textId="77777777" w:rsidR="00635067" w:rsidRDefault="00635067" w:rsidP="005E4B29">
            <w:r>
              <w:t>2 (11%)</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41134DC6" w14:textId="77777777" w:rsidR="00635067" w:rsidRDefault="00635067" w:rsidP="005E4B29">
            <w:r>
              <w:t>1 (2.2%)</w:t>
            </w:r>
          </w:p>
        </w:tc>
        <w:tc>
          <w:tcPr>
            <w:tcW w:w="1140" w:type="dxa"/>
            <w:tcBorders>
              <w:top w:val="single" w:sz="6" w:space="0" w:color="D3D3D3"/>
              <w:left w:val="nil"/>
              <w:bottom w:val="nil"/>
              <w:right w:val="nil"/>
            </w:tcBorders>
            <w:tcMar>
              <w:top w:w="120" w:type="dxa"/>
              <w:left w:w="80" w:type="dxa"/>
              <w:bottom w:w="120" w:type="dxa"/>
              <w:right w:w="80" w:type="dxa"/>
            </w:tcMar>
          </w:tcPr>
          <w:p w14:paraId="1C9B85BD" w14:textId="77777777" w:rsidR="00635067" w:rsidRDefault="00635067" w:rsidP="005E4B29">
            <w:r>
              <w:t>0.2</w:t>
            </w:r>
          </w:p>
        </w:tc>
        <w:tc>
          <w:tcPr>
            <w:tcW w:w="105" w:type="dxa"/>
            <w:tcBorders>
              <w:top w:val="nil"/>
              <w:left w:val="nil"/>
              <w:bottom w:val="nil"/>
              <w:right w:val="nil"/>
            </w:tcBorders>
            <w:tcMar>
              <w:top w:w="0" w:type="dxa"/>
              <w:left w:w="0" w:type="dxa"/>
              <w:bottom w:w="0" w:type="dxa"/>
              <w:right w:w="0" w:type="dxa"/>
            </w:tcMar>
          </w:tcPr>
          <w:p w14:paraId="15667137" w14:textId="77777777" w:rsidR="00635067" w:rsidRDefault="00635067" w:rsidP="005E4B29">
            <w:r>
              <w:t xml:space="preserve"> </w:t>
            </w:r>
          </w:p>
        </w:tc>
      </w:tr>
      <w:tr w:rsidR="00635067" w14:paraId="63607B14" w14:textId="77777777" w:rsidTr="005E4B29">
        <w:trPr>
          <w:trHeight w:val="288"/>
        </w:trPr>
        <w:tc>
          <w:tcPr>
            <w:tcW w:w="3689" w:type="dxa"/>
            <w:gridSpan w:val="2"/>
            <w:tcBorders>
              <w:top w:val="single" w:sz="6" w:space="0" w:color="D3D3D3"/>
              <w:left w:val="nil"/>
              <w:bottom w:val="nil"/>
              <w:right w:val="nil"/>
            </w:tcBorders>
            <w:tcMar>
              <w:top w:w="120" w:type="dxa"/>
              <w:left w:w="80" w:type="dxa"/>
              <w:bottom w:w="120" w:type="dxa"/>
              <w:right w:w="80" w:type="dxa"/>
            </w:tcMar>
          </w:tcPr>
          <w:p w14:paraId="4B58C04E" w14:textId="77777777" w:rsidR="00635067" w:rsidRDefault="00635067" w:rsidP="005E4B29">
            <w:r>
              <w:t>Oppositional defiant disorder (ODD)</w:t>
            </w:r>
          </w:p>
        </w:tc>
        <w:tc>
          <w:tcPr>
            <w:tcW w:w="541" w:type="dxa"/>
            <w:tcBorders>
              <w:top w:val="single" w:sz="6" w:space="0" w:color="D3D3D3"/>
              <w:left w:val="nil"/>
              <w:bottom w:val="nil"/>
              <w:right w:val="nil"/>
            </w:tcBorders>
            <w:tcMar>
              <w:top w:w="120" w:type="dxa"/>
              <w:left w:w="80" w:type="dxa"/>
              <w:bottom w:w="120" w:type="dxa"/>
              <w:right w:w="80" w:type="dxa"/>
            </w:tcMar>
          </w:tcPr>
          <w:p w14:paraId="26D64DD9"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06754BB0" w14:textId="77777777" w:rsidR="00635067" w:rsidRDefault="00635067" w:rsidP="005E4B29">
            <w:r>
              <w:t>1 (5.6%)</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5CE547D9" w14:textId="77777777" w:rsidR="00635067" w:rsidRDefault="00635067" w:rsidP="005E4B29">
            <w:r>
              <w:t>3 (6.5%)</w:t>
            </w:r>
          </w:p>
        </w:tc>
        <w:tc>
          <w:tcPr>
            <w:tcW w:w="1140" w:type="dxa"/>
            <w:tcBorders>
              <w:top w:val="single" w:sz="6" w:space="0" w:color="D3D3D3"/>
              <w:left w:val="nil"/>
              <w:bottom w:val="nil"/>
              <w:right w:val="nil"/>
            </w:tcBorders>
            <w:tcMar>
              <w:top w:w="120" w:type="dxa"/>
              <w:left w:w="80" w:type="dxa"/>
              <w:bottom w:w="120" w:type="dxa"/>
              <w:right w:w="80" w:type="dxa"/>
            </w:tcMar>
          </w:tcPr>
          <w:p w14:paraId="6302306A" w14:textId="77777777" w:rsidR="00635067" w:rsidRDefault="00635067" w:rsidP="005E4B29">
            <w:r>
              <w:t>&gt;0.9</w:t>
            </w:r>
          </w:p>
        </w:tc>
        <w:tc>
          <w:tcPr>
            <w:tcW w:w="105" w:type="dxa"/>
            <w:tcBorders>
              <w:top w:val="nil"/>
              <w:left w:val="nil"/>
              <w:bottom w:val="nil"/>
              <w:right w:val="nil"/>
            </w:tcBorders>
            <w:tcMar>
              <w:top w:w="0" w:type="dxa"/>
              <w:left w:w="0" w:type="dxa"/>
              <w:bottom w:w="0" w:type="dxa"/>
              <w:right w:w="0" w:type="dxa"/>
            </w:tcMar>
          </w:tcPr>
          <w:p w14:paraId="66083184" w14:textId="77777777" w:rsidR="00635067" w:rsidRDefault="00635067" w:rsidP="005E4B29">
            <w:r>
              <w:t xml:space="preserve"> </w:t>
            </w:r>
          </w:p>
        </w:tc>
      </w:tr>
      <w:tr w:rsidR="00635067" w14:paraId="4194B073" w14:textId="77777777" w:rsidTr="005E4B29">
        <w:trPr>
          <w:trHeight w:val="99"/>
        </w:trPr>
        <w:tc>
          <w:tcPr>
            <w:tcW w:w="3689" w:type="dxa"/>
            <w:gridSpan w:val="2"/>
            <w:tcBorders>
              <w:top w:val="single" w:sz="6" w:space="0" w:color="D3D3D3"/>
              <w:left w:val="nil"/>
              <w:bottom w:val="nil"/>
              <w:right w:val="nil"/>
            </w:tcBorders>
            <w:tcMar>
              <w:top w:w="120" w:type="dxa"/>
              <w:left w:w="80" w:type="dxa"/>
              <w:bottom w:w="120" w:type="dxa"/>
              <w:right w:w="80" w:type="dxa"/>
            </w:tcMar>
          </w:tcPr>
          <w:p w14:paraId="075E9E36" w14:textId="77777777" w:rsidR="00635067" w:rsidRDefault="00635067" w:rsidP="005E4B29">
            <w:r>
              <w:t>Panic disorder</w:t>
            </w:r>
          </w:p>
        </w:tc>
        <w:tc>
          <w:tcPr>
            <w:tcW w:w="541" w:type="dxa"/>
            <w:tcBorders>
              <w:top w:val="single" w:sz="6" w:space="0" w:color="D3D3D3"/>
              <w:left w:val="nil"/>
              <w:bottom w:val="nil"/>
              <w:right w:val="nil"/>
            </w:tcBorders>
            <w:tcMar>
              <w:top w:w="120" w:type="dxa"/>
              <w:left w:w="80" w:type="dxa"/>
              <w:bottom w:w="120" w:type="dxa"/>
              <w:right w:w="80" w:type="dxa"/>
            </w:tcMar>
          </w:tcPr>
          <w:p w14:paraId="53E83F54"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0FD25ED2" w14:textId="77777777" w:rsidR="00635067" w:rsidRDefault="00635067" w:rsidP="005E4B29">
            <w:r>
              <w:t>1 (5.6%)</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148C67F2" w14:textId="77777777" w:rsidR="00635067" w:rsidRDefault="00635067" w:rsidP="005E4B29">
            <w:r>
              <w:t>0 (0%)</w:t>
            </w:r>
          </w:p>
        </w:tc>
        <w:tc>
          <w:tcPr>
            <w:tcW w:w="1140" w:type="dxa"/>
            <w:tcBorders>
              <w:top w:val="single" w:sz="6" w:space="0" w:color="D3D3D3"/>
              <w:left w:val="nil"/>
              <w:bottom w:val="nil"/>
              <w:right w:val="nil"/>
            </w:tcBorders>
            <w:tcMar>
              <w:top w:w="120" w:type="dxa"/>
              <w:left w:w="80" w:type="dxa"/>
              <w:bottom w:w="120" w:type="dxa"/>
              <w:right w:w="80" w:type="dxa"/>
            </w:tcMar>
          </w:tcPr>
          <w:p w14:paraId="697C7798" w14:textId="77777777" w:rsidR="00635067" w:rsidRDefault="00635067" w:rsidP="005E4B29">
            <w:r>
              <w:t>0.3</w:t>
            </w:r>
          </w:p>
        </w:tc>
        <w:tc>
          <w:tcPr>
            <w:tcW w:w="105" w:type="dxa"/>
            <w:tcBorders>
              <w:top w:val="nil"/>
              <w:left w:val="nil"/>
              <w:bottom w:val="nil"/>
              <w:right w:val="nil"/>
            </w:tcBorders>
            <w:tcMar>
              <w:top w:w="0" w:type="dxa"/>
              <w:left w:w="0" w:type="dxa"/>
              <w:bottom w:w="0" w:type="dxa"/>
              <w:right w:w="0" w:type="dxa"/>
            </w:tcMar>
          </w:tcPr>
          <w:p w14:paraId="6704E366" w14:textId="77777777" w:rsidR="00635067" w:rsidRDefault="00635067" w:rsidP="005E4B29">
            <w:r>
              <w:t xml:space="preserve"> </w:t>
            </w:r>
          </w:p>
        </w:tc>
      </w:tr>
      <w:tr w:rsidR="00635067" w14:paraId="6D7CA0C5" w14:textId="77777777" w:rsidTr="005E4B29">
        <w:trPr>
          <w:trHeight w:val="180"/>
        </w:trPr>
        <w:tc>
          <w:tcPr>
            <w:tcW w:w="3689" w:type="dxa"/>
            <w:gridSpan w:val="2"/>
            <w:tcBorders>
              <w:top w:val="single" w:sz="6" w:space="0" w:color="D3D3D3"/>
              <w:left w:val="nil"/>
              <w:bottom w:val="nil"/>
              <w:right w:val="nil"/>
            </w:tcBorders>
            <w:tcMar>
              <w:top w:w="120" w:type="dxa"/>
              <w:left w:w="80" w:type="dxa"/>
              <w:bottom w:w="120" w:type="dxa"/>
              <w:right w:w="80" w:type="dxa"/>
            </w:tcMar>
          </w:tcPr>
          <w:p w14:paraId="0041F0F1" w14:textId="77777777" w:rsidR="00635067" w:rsidRDefault="00635067" w:rsidP="005E4B29">
            <w:r>
              <w:t>Separation Anxiety</w:t>
            </w:r>
          </w:p>
        </w:tc>
        <w:tc>
          <w:tcPr>
            <w:tcW w:w="541" w:type="dxa"/>
            <w:tcBorders>
              <w:top w:val="single" w:sz="6" w:space="0" w:color="D3D3D3"/>
              <w:left w:val="nil"/>
              <w:bottom w:val="nil"/>
              <w:right w:val="nil"/>
            </w:tcBorders>
            <w:tcMar>
              <w:top w:w="120" w:type="dxa"/>
              <w:left w:w="80" w:type="dxa"/>
              <w:bottom w:w="120" w:type="dxa"/>
              <w:right w:w="80" w:type="dxa"/>
            </w:tcMar>
          </w:tcPr>
          <w:p w14:paraId="7CC4F3C3"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2AC8721C" w14:textId="77777777" w:rsidR="00635067" w:rsidRDefault="00635067" w:rsidP="005E4B29">
            <w:r>
              <w:t>3 (17%)</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66CE5E08" w14:textId="77777777" w:rsidR="00635067" w:rsidRDefault="00635067" w:rsidP="005E4B29">
            <w:r>
              <w:t>9 (20%)</w:t>
            </w:r>
          </w:p>
        </w:tc>
        <w:tc>
          <w:tcPr>
            <w:tcW w:w="1140" w:type="dxa"/>
            <w:tcBorders>
              <w:top w:val="single" w:sz="6" w:space="0" w:color="D3D3D3"/>
              <w:left w:val="nil"/>
              <w:bottom w:val="nil"/>
              <w:right w:val="nil"/>
            </w:tcBorders>
            <w:tcMar>
              <w:top w:w="120" w:type="dxa"/>
              <w:left w:w="80" w:type="dxa"/>
              <w:bottom w:w="120" w:type="dxa"/>
              <w:right w:w="80" w:type="dxa"/>
            </w:tcMar>
          </w:tcPr>
          <w:p w14:paraId="15FA4C26" w14:textId="77777777" w:rsidR="00635067" w:rsidRDefault="00635067" w:rsidP="005E4B29">
            <w:r>
              <w:t>&gt;0.9</w:t>
            </w:r>
          </w:p>
        </w:tc>
        <w:tc>
          <w:tcPr>
            <w:tcW w:w="105" w:type="dxa"/>
            <w:tcBorders>
              <w:top w:val="nil"/>
              <w:left w:val="nil"/>
              <w:bottom w:val="nil"/>
              <w:right w:val="nil"/>
            </w:tcBorders>
            <w:tcMar>
              <w:top w:w="0" w:type="dxa"/>
              <w:left w:w="0" w:type="dxa"/>
              <w:bottom w:w="0" w:type="dxa"/>
              <w:right w:w="0" w:type="dxa"/>
            </w:tcMar>
          </w:tcPr>
          <w:p w14:paraId="3E480F38" w14:textId="77777777" w:rsidR="00635067" w:rsidRDefault="00635067" w:rsidP="005E4B29">
            <w:r>
              <w:t xml:space="preserve"> </w:t>
            </w:r>
          </w:p>
        </w:tc>
      </w:tr>
      <w:tr w:rsidR="00635067" w14:paraId="00558C03" w14:textId="77777777" w:rsidTr="005E4B29">
        <w:trPr>
          <w:trHeight w:val="99"/>
        </w:trPr>
        <w:tc>
          <w:tcPr>
            <w:tcW w:w="3689" w:type="dxa"/>
            <w:gridSpan w:val="2"/>
            <w:tcBorders>
              <w:top w:val="single" w:sz="6" w:space="0" w:color="D3D3D3"/>
              <w:left w:val="nil"/>
              <w:bottom w:val="nil"/>
              <w:right w:val="nil"/>
            </w:tcBorders>
            <w:tcMar>
              <w:top w:w="120" w:type="dxa"/>
              <w:left w:w="80" w:type="dxa"/>
              <w:bottom w:w="120" w:type="dxa"/>
              <w:right w:w="80" w:type="dxa"/>
            </w:tcMar>
          </w:tcPr>
          <w:p w14:paraId="6130A611" w14:textId="77777777" w:rsidR="00635067" w:rsidRDefault="00635067" w:rsidP="005E4B29">
            <w:r>
              <w:t>Social Anxiety</w:t>
            </w:r>
          </w:p>
        </w:tc>
        <w:tc>
          <w:tcPr>
            <w:tcW w:w="541" w:type="dxa"/>
            <w:tcBorders>
              <w:top w:val="single" w:sz="6" w:space="0" w:color="D3D3D3"/>
              <w:left w:val="nil"/>
              <w:bottom w:val="nil"/>
              <w:right w:val="nil"/>
            </w:tcBorders>
            <w:tcMar>
              <w:top w:w="120" w:type="dxa"/>
              <w:left w:w="80" w:type="dxa"/>
              <w:bottom w:w="120" w:type="dxa"/>
              <w:right w:w="80" w:type="dxa"/>
            </w:tcMar>
          </w:tcPr>
          <w:p w14:paraId="225FC7CC"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4F80ACFB" w14:textId="77777777" w:rsidR="00635067" w:rsidRDefault="00635067" w:rsidP="005E4B29">
            <w:r>
              <w:t>13 (72%)</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16790B27" w14:textId="77777777" w:rsidR="00635067" w:rsidRDefault="00635067" w:rsidP="005E4B29">
            <w:r>
              <w:t>20 (43%)</w:t>
            </w:r>
          </w:p>
        </w:tc>
        <w:tc>
          <w:tcPr>
            <w:tcW w:w="1140" w:type="dxa"/>
            <w:tcBorders>
              <w:top w:val="single" w:sz="6" w:space="0" w:color="D3D3D3"/>
              <w:left w:val="nil"/>
              <w:bottom w:val="nil"/>
              <w:right w:val="nil"/>
            </w:tcBorders>
            <w:tcMar>
              <w:top w:w="120" w:type="dxa"/>
              <w:left w:w="80" w:type="dxa"/>
              <w:bottom w:w="120" w:type="dxa"/>
              <w:right w:w="80" w:type="dxa"/>
            </w:tcMar>
          </w:tcPr>
          <w:p w14:paraId="3CAD9536" w14:textId="77777777" w:rsidR="00635067" w:rsidRDefault="00635067" w:rsidP="005E4B29">
            <w:r>
              <w:t>0.039</w:t>
            </w:r>
          </w:p>
        </w:tc>
        <w:tc>
          <w:tcPr>
            <w:tcW w:w="105" w:type="dxa"/>
            <w:tcBorders>
              <w:top w:val="nil"/>
              <w:left w:val="nil"/>
              <w:bottom w:val="nil"/>
              <w:right w:val="nil"/>
            </w:tcBorders>
            <w:tcMar>
              <w:top w:w="0" w:type="dxa"/>
              <w:left w:w="0" w:type="dxa"/>
              <w:bottom w:w="0" w:type="dxa"/>
              <w:right w:w="0" w:type="dxa"/>
            </w:tcMar>
          </w:tcPr>
          <w:p w14:paraId="6A41FB60" w14:textId="77777777" w:rsidR="00635067" w:rsidRDefault="00635067" w:rsidP="005E4B29">
            <w:r>
              <w:t xml:space="preserve"> </w:t>
            </w:r>
          </w:p>
        </w:tc>
      </w:tr>
      <w:tr w:rsidR="00635067" w14:paraId="3FB5251F" w14:textId="77777777" w:rsidTr="005E4B29">
        <w:trPr>
          <w:trHeight w:val="540"/>
        </w:trPr>
        <w:tc>
          <w:tcPr>
            <w:tcW w:w="3689" w:type="dxa"/>
            <w:gridSpan w:val="2"/>
            <w:tcBorders>
              <w:top w:val="single" w:sz="6" w:space="0" w:color="D3D3D3"/>
              <w:left w:val="nil"/>
              <w:bottom w:val="nil"/>
              <w:right w:val="nil"/>
            </w:tcBorders>
            <w:tcMar>
              <w:top w:w="120" w:type="dxa"/>
              <w:left w:w="80" w:type="dxa"/>
              <w:bottom w:w="120" w:type="dxa"/>
              <w:right w:w="80" w:type="dxa"/>
            </w:tcMar>
          </w:tcPr>
          <w:p w14:paraId="6CE90569" w14:textId="77777777" w:rsidR="00635067" w:rsidRDefault="00635067" w:rsidP="005E4B29">
            <w:r>
              <w:t>Specific Anxiety</w:t>
            </w:r>
          </w:p>
        </w:tc>
        <w:tc>
          <w:tcPr>
            <w:tcW w:w="541" w:type="dxa"/>
            <w:tcBorders>
              <w:top w:val="single" w:sz="6" w:space="0" w:color="D3D3D3"/>
              <w:left w:val="nil"/>
              <w:bottom w:val="nil"/>
              <w:right w:val="nil"/>
            </w:tcBorders>
            <w:tcMar>
              <w:top w:w="120" w:type="dxa"/>
              <w:left w:w="80" w:type="dxa"/>
              <w:bottom w:w="120" w:type="dxa"/>
              <w:right w:w="80" w:type="dxa"/>
            </w:tcMar>
          </w:tcPr>
          <w:p w14:paraId="4281816F" w14:textId="77777777" w:rsidR="00635067" w:rsidRDefault="00635067" w:rsidP="005E4B29"/>
        </w:tc>
        <w:tc>
          <w:tcPr>
            <w:tcW w:w="1410" w:type="dxa"/>
            <w:gridSpan w:val="2"/>
            <w:tcBorders>
              <w:top w:val="single" w:sz="6" w:space="0" w:color="D3D3D3"/>
              <w:left w:val="nil"/>
              <w:bottom w:val="nil"/>
              <w:right w:val="nil"/>
            </w:tcBorders>
            <w:tcMar>
              <w:top w:w="120" w:type="dxa"/>
              <w:left w:w="80" w:type="dxa"/>
              <w:bottom w:w="120" w:type="dxa"/>
              <w:right w:w="80" w:type="dxa"/>
            </w:tcMar>
          </w:tcPr>
          <w:p w14:paraId="7D4F63F3" w14:textId="77777777" w:rsidR="00635067" w:rsidRDefault="00635067" w:rsidP="005E4B29">
            <w:r>
              <w:t>2 (11%)</w:t>
            </w:r>
          </w:p>
        </w:tc>
        <w:tc>
          <w:tcPr>
            <w:tcW w:w="2100" w:type="dxa"/>
            <w:gridSpan w:val="2"/>
            <w:tcBorders>
              <w:top w:val="single" w:sz="6" w:space="0" w:color="D3D3D3"/>
              <w:left w:val="nil"/>
              <w:bottom w:val="nil"/>
              <w:right w:val="nil"/>
            </w:tcBorders>
            <w:tcMar>
              <w:top w:w="120" w:type="dxa"/>
              <w:left w:w="80" w:type="dxa"/>
              <w:bottom w:w="120" w:type="dxa"/>
              <w:right w:w="80" w:type="dxa"/>
            </w:tcMar>
          </w:tcPr>
          <w:p w14:paraId="69BA5F4E" w14:textId="77777777" w:rsidR="00635067" w:rsidRDefault="00635067" w:rsidP="005E4B29">
            <w:r>
              <w:t>6 (13%)</w:t>
            </w:r>
          </w:p>
        </w:tc>
        <w:tc>
          <w:tcPr>
            <w:tcW w:w="1140" w:type="dxa"/>
            <w:tcBorders>
              <w:top w:val="single" w:sz="6" w:space="0" w:color="D3D3D3"/>
              <w:left w:val="nil"/>
              <w:bottom w:val="nil"/>
              <w:right w:val="nil"/>
            </w:tcBorders>
            <w:tcMar>
              <w:top w:w="120" w:type="dxa"/>
              <w:left w:w="80" w:type="dxa"/>
              <w:bottom w:w="120" w:type="dxa"/>
              <w:right w:w="80" w:type="dxa"/>
            </w:tcMar>
          </w:tcPr>
          <w:p w14:paraId="2DE7211B" w14:textId="77777777" w:rsidR="00635067" w:rsidRDefault="00635067" w:rsidP="005E4B29">
            <w:r>
              <w:t>&gt;0.9</w:t>
            </w:r>
          </w:p>
        </w:tc>
        <w:tc>
          <w:tcPr>
            <w:tcW w:w="105" w:type="dxa"/>
            <w:tcBorders>
              <w:top w:val="nil"/>
              <w:left w:val="nil"/>
              <w:bottom w:val="nil"/>
              <w:right w:val="nil"/>
            </w:tcBorders>
            <w:tcMar>
              <w:top w:w="0" w:type="dxa"/>
              <w:left w:w="0" w:type="dxa"/>
              <w:bottom w:w="0" w:type="dxa"/>
              <w:right w:w="0" w:type="dxa"/>
            </w:tcMar>
          </w:tcPr>
          <w:p w14:paraId="16EDE69F" w14:textId="77777777" w:rsidR="00635067" w:rsidRDefault="00635067" w:rsidP="005E4B29">
            <w:r>
              <w:t xml:space="preserve"> </w:t>
            </w:r>
          </w:p>
        </w:tc>
      </w:tr>
    </w:tbl>
    <w:p w14:paraId="235DFB6B" w14:textId="77777777" w:rsidR="00635067" w:rsidRDefault="00635067" w:rsidP="00635067">
      <w:proofErr w:type="gramStart"/>
      <w:r>
        <w:rPr>
          <w:i/>
          <w:vertAlign w:val="superscript"/>
        </w:rPr>
        <w:t>1</w:t>
      </w:r>
      <w:r>
        <w:t xml:space="preserve">  n</w:t>
      </w:r>
      <w:proofErr w:type="gramEnd"/>
      <w:r>
        <w:t xml:space="preserve"> (%)</w:t>
      </w:r>
    </w:p>
    <w:p w14:paraId="6782F396" w14:textId="77777777" w:rsidR="00635067" w:rsidRDefault="00635067" w:rsidP="00635067">
      <w:proofErr w:type="gramStart"/>
      <w:r>
        <w:rPr>
          <w:i/>
          <w:vertAlign w:val="superscript"/>
        </w:rPr>
        <w:t>2</w:t>
      </w:r>
      <w:r>
        <w:t xml:space="preserve">  Fisher’s</w:t>
      </w:r>
      <w:proofErr w:type="gramEnd"/>
      <w:r>
        <w:t xml:space="preserve"> exact test; Pearson’s Chi-squared test</w:t>
      </w:r>
    </w:p>
    <w:p w14:paraId="25C7B8C8" w14:textId="77777777" w:rsidR="00635067" w:rsidRDefault="00635067" w:rsidP="00635067">
      <w:pPr>
        <w:rPr>
          <w:sz w:val="24"/>
          <w:szCs w:val="24"/>
        </w:rPr>
      </w:pPr>
      <w:r>
        <w:rPr>
          <w:sz w:val="24"/>
          <w:szCs w:val="24"/>
        </w:rPr>
        <w:t xml:space="preserve"> </w:t>
      </w:r>
    </w:p>
    <w:p w14:paraId="7A088AB9" w14:textId="77777777" w:rsidR="00635067" w:rsidRDefault="00635067" w:rsidP="00635067">
      <w:pPr>
        <w:rPr>
          <w:sz w:val="24"/>
          <w:szCs w:val="24"/>
        </w:rPr>
      </w:pPr>
      <w:r>
        <w:rPr>
          <w:sz w:val="24"/>
          <w:szCs w:val="24"/>
        </w:rPr>
        <w:t xml:space="preserve"> </w:t>
      </w:r>
    </w:p>
    <w:p w14:paraId="34BED2A5" w14:textId="77777777" w:rsidR="00635067" w:rsidRDefault="00635067" w:rsidP="00635067">
      <w:pPr>
        <w:rPr>
          <w:sz w:val="24"/>
          <w:szCs w:val="24"/>
        </w:rPr>
      </w:pPr>
      <w:r>
        <w:rPr>
          <w:sz w:val="24"/>
          <w:szCs w:val="24"/>
        </w:rPr>
        <w:br w:type="page"/>
      </w:r>
    </w:p>
    <w:p w14:paraId="17A3CBF3" w14:textId="77777777" w:rsidR="00635067" w:rsidRPr="00887F18" w:rsidRDefault="00635067" w:rsidP="00635067">
      <w:pPr>
        <w:spacing w:line="240" w:lineRule="auto"/>
        <w:jc w:val="center"/>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lastRenderedPageBreak/>
        <w:t>Table S2. Comparison of reaction time between the two groups</w:t>
      </w:r>
    </w:p>
    <w:p w14:paraId="01D3F21D" w14:textId="77777777" w:rsidR="00635067" w:rsidRPr="00887F18" w:rsidRDefault="00635067" w:rsidP="00635067">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 </w:t>
      </w:r>
    </w:p>
    <w:tbl>
      <w:tblPr>
        <w:tblW w:w="9160" w:type="dxa"/>
        <w:tblCellMar>
          <w:left w:w="0" w:type="dxa"/>
          <w:right w:w="0" w:type="dxa"/>
        </w:tblCellMar>
        <w:tblLook w:val="04A0" w:firstRow="1" w:lastRow="0" w:firstColumn="1" w:lastColumn="0" w:noHBand="0" w:noVBand="1"/>
      </w:tblPr>
      <w:tblGrid>
        <w:gridCol w:w="3641"/>
        <w:gridCol w:w="405"/>
        <w:gridCol w:w="989"/>
        <w:gridCol w:w="2388"/>
        <w:gridCol w:w="1737"/>
      </w:tblGrid>
      <w:tr w:rsidR="00635067" w:rsidRPr="00887F18" w14:paraId="0ECFB42A" w14:textId="77777777" w:rsidTr="005E4B29">
        <w:trPr>
          <w:trHeight w:val="298"/>
        </w:trPr>
        <w:tc>
          <w:tcPr>
            <w:tcW w:w="3640" w:type="dxa"/>
            <w:tcBorders>
              <w:top w:val="single" w:sz="8" w:space="0" w:color="auto"/>
              <w:left w:val="nil"/>
              <w:bottom w:val="single" w:sz="8" w:space="0" w:color="auto"/>
              <w:right w:val="nil"/>
            </w:tcBorders>
            <w:tcMar>
              <w:top w:w="53" w:type="dxa"/>
              <w:left w:w="105" w:type="dxa"/>
              <w:bottom w:w="53" w:type="dxa"/>
              <w:right w:w="105" w:type="dxa"/>
            </w:tcMar>
            <w:vAlign w:val="center"/>
            <w:hideMark/>
          </w:tcPr>
          <w:p w14:paraId="3AFBE4EE"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b/>
                <w:bCs/>
                <w:color w:val="212121"/>
                <w:sz w:val="24"/>
                <w:szCs w:val="24"/>
                <w:lang w:val="en-US"/>
              </w:rPr>
              <w:t> </w:t>
            </w:r>
          </w:p>
        </w:tc>
        <w:tc>
          <w:tcPr>
            <w:tcW w:w="5520" w:type="dxa"/>
            <w:gridSpan w:val="4"/>
            <w:tcBorders>
              <w:top w:val="single" w:sz="8" w:space="0" w:color="auto"/>
              <w:left w:val="nil"/>
              <w:bottom w:val="single" w:sz="8" w:space="0" w:color="auto"/>
              <w:right w:val="nil"/>
            </w:tcBorders>
            <w:tcMar>
              <w:top w:w="53" w:type="dxa"/>
              <w:left w:w="105" w:type="dxa"/>
              <w:bottom w:w="53" w:type="dxa"/>
              <w:right w:w="105" w:type="dxa"/>
            </w:tcMar>
            <w:vAlign w:val="center"/>
            <w:hideMark/>
          </w:tcPr>
          <w:p w14:paraId="6C8A403F"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b/>
                <w:bCs/>
                <w:color w:val="212121"/>
                <w:sz w:val="24"/>
                <w:szCs w:val="24"/>
                <w:lang w:val="en-US"/>
              </w:rPr>
              <w:t>                       Reaction Time (RT)</w:t>
            </w:r>
          </w:p>
        </w:tc>
      </w:tr>
      <w:tr w:rsidR="00635067" w:rsidRPr="00887F18" w14:paraId="66B28276" w14:textId="77777777" w:rsidTr="005E4B29">
        <w:trPr>
          <w:trHeight w:val="298"/>
        </w:trPr>
        <w:tc>
          <w:tcPr>
            <w:tcW w:w="3640" w:type="dxa"/>
            <w:tcBorders>
              <w:top w:val="nil"/>
              <w:left w:val="nil"/>
              <w:bottom w:val="single" w:sz="8" w:space="0" w:color="auto"/>
              <w:right w:val="nil"/>
            </w:tcBorders>
            <w:tcMar>
              <w:top w:w="53" w:type="dxa"/>
              <w:left w:w="105" w:type="dxa"/>
              <w:bottom w:w="53" w:type="dxa"/>
              <w:right w:w="105" w:type="dxa"/>
            </w:tcMar>
            <w:vAlign w:val="center"/>
            <w:hideMark/>
          </w:tcPr>
          <w:p w14:paraId="513F6BB9"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i/>
                <w:iCs/>
                <w:color w:val="212121"/>
                <w:sz w:val="24"/>
                <w:szCs w:val="24"/>
                <w:lang w:val="en-US"/>
              </w:rPr>
              <w:t>Predictors</w:t>
            </w:r>
          </w:p>
        </w:tc>
        <w:tc>
          <w:tcPr>
            <w:tcW w:w="1390" w:type="dxa"/>
            <w:gridSpan w:val="2"/>
            <w:tcBorders>
              <w:top w:val="nil"/>
              <w:left w:val="nil"/>
              <w:bottom w:val="single" w:sz="8" w:space="0" w:color="auto"/>
              <w:right w:val="nil"/>
            </w:tcBorders>
            <w:tcMar>
              <w:top w:w="53" w:type="dxa"/>
              <w:left w:w="105" w:type="dxa"/>
              <w:bottom w:w="53" w:type="dxa"/>
              <w:right w:w="105" w:type="dxa"/>
            </w:tcMar>
            <w:vAlign w:val="center"/>
            <w:hideMark/>
          </w:tcPr>
          <w:p w14:paraId="09148874"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i/>
                <w:iCs/>
                <w:color w:val="212121"/>
                <w:sz w:val="24"/>
                <w:szCs w:val="24"/>
                <w:lang w:val="en-US"/>
              </w:rPr>
              <w:t>Estimates</w:t>
            </w:r>
          </w:p>
        </w:tc>
        <w:tc>
          <w:tcPr>
            <w:tcW w:w="2390" w:type="dxa"/>
            <w:tcBorders>
              <w:top w:val="nil"/>
              <w:left w:val="nil"/>
              <w:bottom w:val="single" w:sz="8" w:space="0" w:color="auto"/>
              <w:right w:val="nil"/>
            </w:tcBorders>
            <w:tcMar>
              <w:top w:w="53" w:type="dxa"/>
              <w:left w:w="105" w:type="dxa"/>
              <w:bottom w:w="53" w:type="dxa"/>
              <w:right w:w="105" w:type="dxa"/>
            </w:tcMar>
            <w:vAlign w:val="center"/>
            <w:hideMark/>
          </w:tcPr>
          <w:p w14:paraId="73C3815C"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i/>
                <w:iCs/>
                <w:color w:val="212121"/>
                <w:sz w:val="24"/>
                <w:szCs w:val="24"/>
                <w:lang w:val="en-US"/>
              </w:rPr>
              <w:t>              CI</w:t>
            </w:r>
          </w:p>
        </w:tc>
        <w:tc>
          <w:tcPr>
            <w:tcW w:w="1740" w:type="dxa"/>
            <w:tcBorders>
              <w:top w:val="nil"/>
              <w:left w:val="nil"/>
              <w:bottom w:val="single" w:sz="8" w:space="0" w:color="auto"/>
              <w:right w:val="nil"/>
            </w:tcBorders>
            <w:tcMar>
              <w:top w:w="53" w:type="dxa"/>
              <w:left w:w="105" w:type="dxa"/>
              <w:bottom w:w="53" w:type="dxa"/>
              <w:right w:w="105" w:type="dxa"/>
            </w:tcMar>
            <w:vAlign w:val="center"/>
            <w:hideMark/>
          </w:tcPr>
          <w:p w14:paraId="2E46A19B"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i/>
                <w:iCs/>
                <w:color w:val="212121"/>
                <w:sz w:val="24"/>
                <w:szCs w:val="24"/>
                <w:lang w:val="en-US"/>
              </w:rPr>
              <w:t>      p</w:t>
            </w:r>
          </w:p>
        </w:tc>
      </w:tr>
      <w:tr w:rsidR="00635067" w:rsidRPr="00887F18" w14:paraId="72CD0385" w14:textId="77777777" w:rsidTr="005E4B29">
        <w:trPr>
          <w:trHeight w:val="298"/>
        </w:trPr>
        <w:tc>
          <w:tcPr>
            <w:tcW w:w="3640" w:type="dxa"/>
            <w:tcMar>
              <w:top w:w="53" w:type="dxa"/>
              <w:left w:w="105" w:type="dxa"/>
              <w:bottom w:w="53" w:type="dxa"/>
              <w:right w:w="105" w:type="dxa"/>
            </w:tcMar>
            <w:hideMark/>
          </w:tcPr>
          <w:p w14:paraId="6943C9D2"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(Intercept)</w:t>
            </w:r>
          </w:p>
        </w:tc>
        <w:tc>
          <w:tcPr>
            <w:tcW w:w="1390" w:type="dxa"/>
            <w:gridSpan w:val="2"/>
            <w:tcMar>
              <w:top w:w="72" w:type="dxa"/>
              <w:left w:w="144" w:type="dxa"/>
              <w:bottom w:w="72" w:type="dxa"/>
              <w:right w:w="144" w:type="dxa"/>
            </w:tcMar>
            <w:hideMark/>
          </w:tcPr>
          <w:p w14:paraId="68A27F23"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0.389</w:t>
            </w:r>
          </w:p>
        </w:tc>
        <w:tc>
          <w:tcPr>
            <w:tcW w:w="2390" w:type="dxa"/>
            <w:tcMar>
              <w:top w:w="72" w:type="dxa"/>
              <w:left w:w="144" w:type="dxa"/>
              <w:bottom w:w="72" w:type="dxa"/>
              <w:right w:w="144" w:type="dxa"/>
            </w:tcMar>
            <w:hideMark/>
          </w:tcPr>
          <w:p w14:paraId="3CF4599A" w14:textId="77777777" w:rsidR="00635067" w:rsidRPr="00887F18" w:rsidRDefault="00635067" w:rsidP="005E4B29">
            <w:pPr>
              <w:spacing w:line="240" w:lineRule="auto"/>
              <w:rPr>
                <w:rFonts w:ascii="Aptos" w:eastAsia="Times New Roman" w:hAnsi="Aptos" w:cs="Times New Roman"/>
                <w:color w:val="212121"/>
                <w:sz w:val="20"/>
                <w:szCs w:val="20"/>
                <w:lang w:val="en-US"/>
              </w:rPr>
            </w:pPr>
            <w:proofErr w:type="gramStart"/>
            <w:r w:rsidRPr="00887F18">
              <w:rPr>
                <w:rFonts w:ascii="Aptos" w:eastAsia="Times New Roman" w:hAnsi="Aptos" w:cs="Times New Roman"/>
                <w:color w:val="212121"/>
                <w:sz w:val="24"/>
                <w:szCs w:val="24"/>
                <w:lang w:val="en-US"/>
              </w:rPr>
              <w:t>0.348  –</w:t>
            </w:r>
            <w:proofErr w:type="gramEnd"/>
            <w:r w:rsidRPr="00887F18">
              <w:rPr>
                <w:rFonts w:ascii="Aptos" w:eastAsia="Times New Roman" w:hAnsi="Aptos" w:cs="Times New Roman"/>
                <w:color w:val="212121"/>
                <w:sz w:val="24"/>
                <w:szCs w:val="24"/>
                <w:lang w:val="en-US"/>
              </w:rPr>
              <w:t>  0.431</w:t>
            </w:r>
          </w:p>
        </w:tc>
        <w:tc>
          <w:tcPr>
            <w:tcW w:w="1740" w:type="dxa"/>
            <w:tcMar>
              <w:top w:w="72" w:type="dxa"/>
              <w:left w:w="144" w:type="dxa"/>
              <w:bottom w:w="72" w:type="dxa"/>
              <w:right w:w="144" w:type="dxa"/>
            </w:tcMar>
            <w:hideMark/>
          </w:tcPr>
          <w:p w14:paraId="051E3467"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b/>
                <w:bCs/>
                <w:color w:val="212121"/>
                <w:sz w:val="24"/>
                <w:szCs w:val="24"/>
                <w:lang w:val="en-US"/>
              </w:rPr>
              <w:t>&lt;0.001</w:t>
            </w:r>
          </w:p>
        </w:tc>
      </w:tr>
      <w:tr w:rsidR="00635067" w:rsidRPr="00887F18" w14:paraId="5434106C" w14:textId="77777777" w:rsidTr="005E4B29">
        <w:trPr>
          <w:trHeight w:val="298"/>
        </w:trPr>
        <w:tc>
          <w:tcPr>
            <w:tcW w:w="3640" w:type="dxa"/>
            <w:tcMar>
              <w:top w:w="53" w:type="dxa"/>
              <w:left w:w="105" w:type="dxa"/>
              <w:bottom w:w="53" w:type="dxa"/>
              <w:right w:w="105" w:type="dxa"/>
            </w:tcMar>
            <w:hideMark/>
          </w:tcPr>
          <w:p w14:paraId="3E0CF6AF" w14:textId="77777777" w:rsidR="00635067" w:rsidRPr="00887F18" w:rsidRDefault="00635067" w:rsidP="005E4B29">
            <w:pPr>
              <w:spacing w:line="240" w:lineRule="auto"/>
              <w:rPr>
                <w:rFonts w:ascii="Aptos" w:eastAsia="Times New Roman" w:hAnsi="Aptos" w:cs="Times New Roman"/>
                <w:color w:val="212121"/>
                <w:sz w:val="20"/>
                <w:szCs w:val="20"/>
                <w:lang w:val="en-US"/>
              </w:rPr>
            </w:pPr>
            <w:proofErr w:type="gramStart"/>
            <w:r w:rsidRPr="00887F18">
              <w:rPr>
                <w:rFonts w:ascii="Aptos" w:eastAsia="Times New Roman" w:hAnsi="Aptos" w:cs="Times New Roman"/>
                <w:color w:val="212121"/>
                <w:sz w:val="24"/>
                <w:szCs w:val="24"/>
                <w:lang w:val="en-US"/>
              </w:rPr>
              <w:t>Group[</w:t>
            </w:r>
            <w:proofErr w:type="gramEnd"/>
            <w:r w:rsidRPr="00887F18">
              <w:rPr>
                <w:rFonts w:ascii="Aptos" w:eastAsia="Times New Roman" w:hAnsi="Aptos" w:cs="Times New Roman"/>
                <w:color w:val="212121"/>
                <w:sz w:val="24"/>
                <w:szCs w:val="24"/>
                <w:lang w:val="en-US"/>
              </w:rPr>
              <w:t>BA]</w:t>
            </w:r>
          </w:p>
        </w:tc>
        <w:tc>
          <w:tcPr>
            <w:tcW w:w="1390" w:type="dxa"/>
            <w:gridSpan w:val="2"/>
            <w:tcMar>
              <w:top w:w="72" w:type="dxa"/>
              <w:left w:w="144" w:type="dxa"/>
              <w:bottom w:w="72" w:type="dxa"/>
              <w:right w:w="144" w:type="dxa"/>
            </w:tcMar>
            <w:hideMark/>
          </w:tcPr>
          <w:p w14:paraId="12606AAC"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-0.06</w:t>
            </w:r>
          </w:p>
        </w:tc>
        <w:tc>
          <w:tcPr>
            <w:tcW w:w="2390" w:type="dxa"/>
            <w:tcMar>
              <w:top w:w="72" w:type="dxa"/>
              <w:left w:w="144" w:type="dxa"/>
              <w:bottom w:w="72" w:type="dxa"/>
              <w:right w:w="144" w:type="dxa"/>
            </w:tcMar>
            <w:hideMark/>
          </w:tcPr>
          <w:p w14:paraId="17E90CD2"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w:t>
            </w:r>
            <w:proofErr w:type="gramStart"/>
            <w:r w:rsidRPr="00887F18">
              <w:rPr>
                <w:rFonts w:ascii="Aptos" w:eastAsia="Times New Roman" w:hAnsi="Aptos" w:cs="Times New Roman"/>
                <w:color w:val="212121"/>
                <w:sz w:val="24"/>
                <w:szCs w:val="24"/>
                <w:lang w:val="en-US"/>
              </w:rPr>
              <w:t>136  –</w:t>
            </w:r>
            <w:proofErr w:type="gramEnd"/>
            <w:r w:rsidRPr="00887F18">
              <w:rPr>
                <w:rFonts w:ascii="Aptos" w:eastAsia="Times New Roman" w:hAnsi="Aptos" w:cs="Times New Roman"/>
                <w:color w:val="212121"/>
                <w:sz w:val="24"/>
                <w:szCs w:val="24"/>
                <w:lang w:val="en-US"/>
              </w:rPr>
              <w:t>  0.0140</w:t>
            </w:r>
          </w:p>
        </w:tc>
        <w:tc>
          <w:tcPr>
            <w:tcW w:w="1740" w:type="dxa"/>
            <w:tcMar>
              <w:top w:w="72" w:type="dxa"/>
              <w:left w:w="144" w:type="dxa"/>
              <w:bottom w:w="72" w:type="dxa"/>
              <w:right w:w="144" w:type="dxa"/>
            </w:tcMar>
            <w:hideMark/>
          </w:tcPr>
          <w:p w14:paraId="629DA0F0"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0.115</w:t>
            </w:r>
          </w:p>
        </w:tc>
      </w:tr>
      <w:tr w:rsidR="00635067" w:rsidRPr="00887F18" w14:paraId="0F94BE49" w14:textId="77777777" w:rsidTr="005E4B29">
        <w:trPr>
          <w:trHeight w:val="298"/>
        </w:trPr>
        <w:tc>
          <w:tcPr>
            <w:tcW w:w="3640" w:type="dxa"/>
            <w:tcMar>
              <w:top w:w="53" w:type="dxa"/>
              <w:left w:w="105" w:type="dxa"/>
              <w:bottom w:w="53" w:type="dxa"/>
              <w:right w:w="105" w:type="dxa"/>
            </w:tcMar>
            <w:hideMark/>
          </w:tcPr>
          <w:p w14:paraId="6C66D506" w14:textId="77777777" w:rsidR="00635067" w:rsidRPr="00887F18" w:rsidRDefault="00635067" w:rsidP="005E4B29">
            <w:pPr>
              <w:spacing w:line="240" w:lineRule="auto"/>
              <w:rPr>
                <w:rFonts w:ascii="Aptos" w:eastAsia="Times New Roman" w:hAnsi="Aptos" w:cs="Times New Roman"/>
                <w:color w:val="212121"/>
                <w:sz w:val="20"/>
                <w:szCs w:val="20"/>
                <w:lang w:val="en-US"/>
              </w:rPr>
            </w:pPr>
            <w:proofErr w:type="spellStart"/>
            <w:r w:rsidRPr="00887F18">
              <w:rPr>
                <w:rFonts w:ascii="Aptos" w:eastAsia="Times New Roman" w:hAnsi="Aptos" w:cs="Times New Roman"/>
                <w:color w:val="212121"/>
                <w:sz w:val="24"/>
                <w:szCs w:val="24"/>
                <w:lang w:val="en-US"/>
              </w:rPr>
              <w:t>sinceFirstScan</w:t>
            </w:r>
            <w:proofErr w:type="spellEnd"/>
          </w:p>
        </w:tc>
        <w:tc>
          <w:tcPr>
            <w:tcW w:w="1390" w:type="dxa"/>
            <w:gridSpan w:val="2"/>
            <w:tcMar>
              <w:top w:w="72" w:type="dxa"/>
              <w:left w:w="144" w:type="dxa"/>
              <w:bottom w:w="72" w:type="dxa"/>
              <w:right w:w="144" w:type="dxa"/>
            </w:tcMar>
            <w:hideMark/>
          </w:tcPr>
          <w:p w14:paraId="4007468F"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0.00002</w:t>
            </w:r>
          </w:p>
        </w:tc>
        <w:tc>
          <w:tcPr>
            <w:tcW w:w="2390" w:type="dxa"/>
            <w:tcMar>
              <w:top w:w="72" w:type="dxa"/>
              <w:left w:w="144" w:type="dxa"/>
              <w:bottom w:w="72" w:type="dxa"/>
              <w:right w:w="144" w:type="dxa"/>
            </w:tcMar>
            <w:hideMark/>
          </w:tcPr>
          <w:p w14:paraId="722AADB1"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-0.0003 – 0.0003</w:t>
            </w:r>
          </w:p>
        </w:tc>
        <w:tc>
          <w:tcPr>
            <w:tcW w:w="1740" w:type="dxa"/>
            <w:tcMar>
              <w:top w:w="72" w:type="dxa"/>
              <w:left w:w="144" w:type="dxa"/>
              <w:bottom w:w="72" w:type="dxa"/>
              <w:right w:w="144" w:type="dxa"/>
            </w:tcMar>
            <w:hideMark/>
          </w:tcPr>
          <w:p w14:paraId="6A566605"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0.892</w:t>
            </w:r>
          </w:p>
        </w:tc>
      </w:tr>
      <w:tr w:rsidR="00635067" w:rsidRPr="00887F18" w14:paraId="79ED7947" w14:textId="77777777" w:rsidTr="005E4B29">
        <w:trPr>
          <w:trHeight w:val="522"/>
        </w:trPr>
        <w:tc>
          <w:tcPr>
            <w:tcW w:w="3640" w:type="dxa"/>
            <w:tcMar>
              <w:top w:w="53" w:type="dxa"/>
              <w:left w:w="105" w:type="dxa"/>
              <w:bottom w:w="53" w:type="dxa"/>
              <w:right w:w="105" w:type="dxa"/>
            </w:tcMar>
            <w:hideMark/>
          </w:tcPr>
          <w:p w14:paraId="5854C2A5" w14:textId="77777777" w:rsidR="00635067" w:rsidRPr="00887F18" w:rsidRDefault="00635067" w:rsidP="005E4B29">
            <w:pPr>
              <w:spacing w:line="240" w:lineRule="auto"/>
              <w:rPr>
                <w:rFonts w:ascii="Aptos" w:eastAsia="Times New Roman" w:hAnsi="Aptos" w:cs="Times New Roman"/>
                <w:color w:val="212121"/>
                <w:sz w:val="20"/>
                <w:szCs w:val="20"/>
                <w:lang w:val="en-US"/>
              </w:rPr>
            </w:pPr>
            <w:proofErr w:type="spellStart"/>
            <w:r w:rsidRPr="00887F18">
              <w:rPr>
                <w:rFonts w:ascii="Aptos" w:eastAsia="Times New Roman" w:hAnsi="Aptos" w:cs="Times New Roman"/>
                <w:color w:val="212121"/>
                <w:sz w:val="24"/>
                <w:szCs w:val="24"/>
                <w:lang w:val="en-US"/>
              </w:rPr>
              <w:t>sinceFirstScan</w:t>
            </w:r>
            <w:proofErr w:type="spellEnd"/>
            <w:r w:rsidRPr="00887F18">
              <w:rPr>
                <w:rFonts w:ascii="Aptos" w:eastAsia="Times New Roman" w:hAnsi="Aptos" w:cs="Times New Roman"/>
                <w:color w:val="212121"/>
                <w:sz w:val="24"/>
                <w:szCs w:val="24"/>
                <w:lang w:val="en-US"/>
              </w:rPr>
              <w:t xml:space="preserve"> × BA</w:t>
            </w:r>
          </w:p>
        </w:tc>
        <w:tc>
          <w:tcPr>
            <w:tcW w:w="1390" w:type="dxa"/>
            <w:gridSpan w:val="2"/>
            <w:tcMar>
              <w:top w:w="72" w:type="dxa"/>
              <w:left w:w="144" w:type="dxa"/>
              <w:bottom w:w="72" w:type="dxa"/>
              <w:right w:w="144" w:type="dxa"/>
            </w:tcMar>
            <w:hideMark/>
          </w:tcPr>
          <w:p w14:paraId="46BC22C3"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0.0001</w:t>
            </w:r>
          </w:p>
        </w:tc>
        <w:tc>
          <w:tcPr>
            <w:tcW w:w="2390" w:type="dxa"/>
            <w:tcMar>
              <w:top w:w="72" w:type="dxa"/>
              <w:left w:w="144" w:type="dxa"/>
              <w:bottom w:w="72" w:type="dxa"/>
              <w:right w:w="144" w:type="dxa"/>
            </w:tcMar>
            <w:hideMark/>
          </w:tcPr>
          <w:p w14:paraId="3A8E5F1E"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 xml:space="preserve">-0.0004 </w:t>
            </w:r>
            <w:proofErr w:type="gramStart"/>
            <w:r w:rsidRPr="00887F18">
              <w:rPr>
                <w:rFonts w:ascii="Aptos" w:eastAsia="Times New Roman" w:hAnsi="Aptos" w:cs="Times New Roman"/>
                <w:color w:val="212121"/>
                <w:sz w:val="24"/>
                <w:szCs w:val="24"/>
                <w:lang w:val="en-US"/>
              </w:rPr>
              <w:t>–  0</w:t>
            </w:r>
            <w:proofErr w:type="gramEnd"/>
            <w:r w:rsidRPr="00887F18">
              <w:rPr>
                <w:rFonts w:ascii="Aptos" w:eastAsia="Times New Roman" w:hAnsi="Aptos" w:cs="Times New Roman"/>
                <w:color w:val="212121"/>
                <w:sz w:val="24"/>
                <w:szCs w:val="24"/>
                <w:lang w:val="en-US"/>
              </w:rPr>
              <w:t>.0007</w:t>
            </w:r>
          </w:p>
        </w:tc>
        <w:tc>
          <w:tcPr>
            <w:tcW w:w="1740" w:type="dxa"/>
            <w:tcMar>
              <w:top w:w="72" w:type="dxa"/>
              <w:left w:w="144" w:type="dxa"/>
              <w:bottom w:w="72" w:type="dxa"/>
              <w:right w:w="144" w:type="dxa"/>
            </w:tcMar>
            <w:hideMark/>
          </w:tcPr>
          <w:p w14:paraId="02E3D84B"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0.603</w:t>
            </w:r>
          </w:p>
        </w:tc>
      </w:tr>
      <w:tr w:rsidR="00635067" w:rsidRPr="00887F18" w14:paraId="495CDBF8" w14:textId="77777777" w:rsidTr="005E4B29">
        <w:trPr>
          <w:trHeight w:val="298"/>
        </w:trPr>
        <w:tc>
          <w:tcPr>
            <w:tcW w:w="9160" w:type="dxa"/>
            <w:gridSpan w:val="5"/>
            <w:tcMar>
              <w:top w:w="53" w:type="dxa"/>
              <w:left w:w="105" w:type="dxa"/>
              <w:bottom w:w="53" w:type="dxa"/>
              <w:right w:w="105" w:type="dxa"/>
            </w:tcMar>
            <w:vAlign w:val="center"/>
            <w:hideMark/>
          </w:tcPr>
          <w:p w14:paraId="2652964D" w14:textId="77777777" w:rsidR="00635067" w:rsidRPr="00887F18" w:rsidRDefault="00635067" w:rsidP="005E4B29">
            <w:pPr>
              <w:spacing w:line="240" w:lineRule="auto"/>
              <w:rPr>
                <w:rFonts w:ascii="Aptos" w:eastAsia="Times New Roman" w:hAnsi="Aptos" w:cs="Times New Roman"/>
                <w:color w:val="212121"/>
                <w:sz w:val="20"/>
                <w:szCs w:val="20"/>
                <w:lang w:val="en-US"/>
              </w:rPr>
            </w:pPr>
          </w:p>
        </w:tc>
      </w:tr>
      <w:tr w:rsidR="00635067" w:rsidRPr="00887F18" w14:paraId="3297B4D9" w14:textId="77777777" w:rsidTr="005E4B29">
        <w:trPr>
          <w:trHeight w:val="298"/>
        </w:trPr>
        <w:tc>
          <w:tcPr>
            <w:tcW w:w="4040" w:type="dxa"/>
            <w:gridSpan w:val="2"/>
            <w:tcMar>
              <w:top w:w="53" w:type="dxa"/>
              <w:left w:w="105" w:type="dxa"/>
              <w:bottom w:w="53" w:type="dxa"/>
              <w:right w:w="105" w:type="dxa"/>
            </w:tcMar>
            <w:hideMark/>
          </w:tcPr>
          <w:p w14:paraId="0A6F8453"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N (Participants/Sessions)</w:t>
            </w:r>
          </w:p>
        </w:tc>
        <w:tc>
          <w:tcPr>
            <w:tcW w:w="5120" w:type="dxa"/>
            <w:gridSpan w:val="3"/>
            <w:tcMar>
              <w:top w:w="53" w:type="dxa"/>
              <w:left w:w="105" w:type="dxa"/>
              <w:bottom w:w="53" w:type="dxa"/>
              <w:right w:w="105" w:type="dxa"/>
            </w:tcMar>
            <w:hideMark/>
          </w:tcPr>
          <w:p w14:paraId="733425B6"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64/153</w:t>
            </w:r>
          </w:p>
        </w:tc>
      </w:tr>
      <w:tr w:rsidR="00635067" w:rsidRPr="00887F18" w14:paraId="5E1B8983" w14:textId="77777777" w:rsidTr="005E4B29">
        <w:trPr>
          <w:trHeight w:val="298"/>
        </w:trPr>
        <w:tc>
          <w:tcPr>
            <w:tcW w:w="4040" w:type="dxa"/>
            <w:gridSpan w:val="2"/>
            <w:tcBorders>
              <w:top w:val="nil"/>
              <w:left w:val="nil"/>
              <w:bottom w:val="single" w:sz="8" w:space="0" w:color="auto"/>
              <w:right w:val="nil"/>
            </w:tcBorders>
            <w:tcMar>
              <w:top w:w="53" w:type="dxa"/>
              <w:left w:w="105" w:type="dxa"/>
              <w:bottom w:w="53" w:type="dxa"/>
              <w:right w:w="105" w:type="dxa"/>
            </w:tcMar>
            <w:hideMark/>
          </w:tcPr>
          <w:p w14:paraId="0101BABC"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Observations</w:t>
            </w:r>
          </w:p>
        </w:tc>
        <w:tc>
          <w:tcPr>
            <w:tcW w:w="5120" w:type="dxa"/>
            <w:gridSpan w:val="3"/>
            <w:tcBorders>
              <w:top w:val="nil"/>
              <w:left w:val="nil"/>
              <w:bottom w:val="single" w:sz="8" w:space="0" w:color="auto"/>
              <w:right w:val="nil"/>
            </w:tcBorders>
            <w:tcMar>
              <w:top w:w="53" w:type="dxa"/>
              <w:left w:w="105" w:type="dxa"/>
              <w:bottom w:w="53" w:type="dxa"/>
              <w:right w:w="105" w:type="dxa"/>
            </w:tcMar>
            <w:hideMark/>
          </w:tcPr>
          <w:p w14:paraId="3A655FDE" w14:textId="77777777" w:rsidR="00635067" w:rsidRPr="00887F18" w:rsidRDefault="00635067" w:rsidP="005E4B29">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12611</w:t>
            </w:r>
          </w:p>
        </w:tc>
      </w:tr>
      <w:tr w:rsidR="00635067" w:rsidRPr="00887F18" w14:paraId="0199136F" w14:textId="77777777" w:rsidTr="005E4B29">
        <w:tc>
          <w:tcPr>
            <w:tcW w:w="4040" w:type="dxa"/>
            <w:gridSpan w:val="2"/>
            <w:tcMar>
              <w:top w:w="53" w:type="dxa"/>
              <w:left w:w="105" w:type="dxa"/>
              <w:bottom w:w="53" w:type="dxa"/>
              <w:right w:w="105" w:type="dxa"/>
            </w:tcMar>
            <w:hideMark/>
          </w:tcPr>
          <w:p w14:paraId="61773EEE" w14:textId="77777777" w:rsidR="00635067" w:rsidRPr="00887F18" w:rsidRDefault="00635067" w:rsidP="005E4B29">
            <w:pPr>
              <w:spacing w:line="240" w:lineRule="auto"/>
              <w:rPr>
                <w:rFonts w:ascii="Aptos" w:eastAsia="Times New Roman" w:hAnsi="Aptos" w:cs="Times New Roman"/>
                <w:color w:val="212121"/>
                <w:sz w:val="20"/>
                <w:szCs w:val="20"/>
                <w:lang w:val="en-US"/>
              </w:rPr>
            </w:pPr>
          </w:p>
        </w:tc>
        <w:tc>
          <w:tcPr>
            <w:tcW w:w="5120" w:type="dxa"/>
            <w:gridSpan w:val="3"/>
            <w:tcMar>
              <w:top w:w="53" w:type="dxa"/>
              <w:left w:w="105" w:type="dxa"/>
              <w:bottom w:w="53" w:type="dxa"/>
              <w:right w:w="105" w:type="dxa"/>
            </w:tcMar>
            <w:hideMark/>
          </w:tcPr>
          <w:p w14:paraId="36B61038" w14:textId="77777777" w:rsidR="00635067" w:rsidRPr="00887F18" w:rsidRDefault="00635067" w:rsidP="005E4B29">
            <w:pPr>
              <w:spacing w:line="240" w:lineRule="auto"/>
              <w:rPr>
                <w:rFonts w:ascii="Times New Roman" w:eastAsia="Times New Roman" w:hAnsi="Times New Roman" w:cs="Times New Roman"/>
                <w:sz w:val="20"/>
                <w:szCs w:val="20"/>
                <w:lang w:val="en-US"/>
              </w:rPr>
            </w:pPr>
          </w:p>
        </w:tc>
      </w:tr>
      <w:tr w:rsidR="00635067" w:rsidRPr="00887F18" w14:paraId="21FF14AC" w14:textId="77777777" w:rsidTr="005E4B29">
        <w:tc>
          <w:tcPr>
            <w:tcW w:w="3645" w:type="dxa"/>
            <w:vAlign w:val="center"/>
            <w:hideMark/>
          </w:tcPr>
          <w:p w14:paraId="688B29B1" w14:textId="77777777" w:rsidR="00635067" w:rsidRPr="00887F18" w:rsidRDefault="00635067" w:rsidP="005E4B29">
            <w:pPr>
              <w:spacing w:line="240" w:lineRule="auto"/>
              <w:rPr>
                <w:rFonts w:ascii="Times New Roman" w:eastAsia="Times New Roman" w:hAnsi="Times New Roman" w:cs="Times New Roman"/>
                <w:sz w:val="20"/>
                <w:szCs w:val="20"/>
                <w:lang w:val="en-US"/>
              </w:rPr>
            </w:pPr>
          </w:p>
        </w:tc>
        <w:tc>
          <w:tcPr>
            <w:tcW w:w="405" w:type="dxa"/>
            <w:vAlign w:val="center"/>
            <w:hideMark/>
          </w:tcPr>
          <w:p w14:paraId="3DCB5720" w14:textId="77777777" w:rsidR="00635067" w:rsidRPr="00887F18" w:rsidRDefault="00635067" w:rsidP="005E4B29">
            <w:pPr>
              <w:spacing w:line="240" w:lineRule="auto"/>
              <w:rPr>
                <w:rFonts w:ascii="Times New Roman" w:eastAsia="Times New Roman" w:hAnsi="Times New Roman" w:cs="Times New Roman"/>
                <w:sz w:val="20"/>
                <w:szCs w:val="20"/>
                <w:lang w:val="en-US"/>
              </w:rPr>
            </w:pPr>
          </w:p>
        </w:tc>
        <w:tc>
          <w:tcPr>
            <w:tcW w:w="990" w:type="dxa"/>
            <w:vAlign w:val="center"/>
            <w:hideMark/>
          </w:tcPr>
          <w:p w14:paraId="3CDA342D" w14:textId="77777777" w:rsidR="00635067" w:rsidRPr="00887F18" w:rsidRDefault="00635067" w:rsidP="005E4B29">
            <w:pPr>
              <w:spacing w:line="240" w:lineRule="auto"/>
              <w:rPr>
                <w:rFonts w:ascii="Times New Roman" w:eastAsia="Times New Roman" w:hAnsi="Times New Roman" w:cs="Times New Roman"/>
                <w:sz w:val="20"/>
                <w:szCs w:val="20"/>
                <w:lang w:val="en-US"/>
              </w:rPr>
            </w:pPr>
          </w:p>
        </w:tc>
        <w:tc>
          <w:tcPr>
            <w:tcW w:w="2385" w:type="dxa"/>
            <w:vAlign w:val="center"/>
            <w:hideMark/>
          </w:tcPr>
          <w:p w14:paraId="1A107C1D" w14:textId="77777777" w:rsidR="00635067" w:rsidRPr="00887F18" w:rsidRDefault="00635067" w:rsidP="005E4B29">
            <w:pPr>
              <w:spacing w:line="240" w:lineRule="auto"/>
              <w:rPr>
                <w:rFonts w:ascii="Times New Roman" w:eastAsia="Times New Roman" w:hAnsi="Times New Roman" w:cs="Times New Roman"/>
                <w:sz w:val="20"/>
                <w:szCs w:val="20"/>
                <w:lang w:val="en-US"/>
              </w:rPr>
            </w:pPr>
          </w:p>
        </w:tc>
        <w:tc>
          <w:tcPr>
            <w:tcW w:w="1740" w:type="dxa"/>
            <w:vAlign w:val="center"/>
            <w:hideMark/>
          </w:tcPr>
          <w:p w14:paraId="05762F3E" w14:textId="77777777" w:rsidR="00635067" w:rsidRPr="00887F18" w:rsidRDefault="00635067" w:rsidP="005E4B29">
            <w:pPr>
              <w:spacing w:line="240" w:lineRule="auto"/>
              <w:rPr>
                <w:rFonts w:ascii="Times New Roman" w:eastAsia="Times New Roman" w:hAnsi="Times New Roman" w:cs="Times New Roman"/>
                <w:sz w:val="20"/>
                <w:szCs w:val="20"/>
                <w:lang w:val="en-US"/>
              </w:rPr>
            </w:pPr>
          </w:p>
        </w:tc>
      </w:tr>
    </w:tbl>
    <w:p w14:paraId="51C8D856" w14:textId="77777777" w:rsidR="00635067" w:rsidRPr="00887F18" w:rsidRDefault="00635067" w:rsidP="00635067">
      <w:pPr>
        <w:spacing w:line="240" w:lineRule="auto"/>
        <w:rPr>
          <w:rFonts w:ascii="Aptos" w:eastAsia="Times New Roman" w:hAnsi="Aptos" w:cs="Times New Roman"/>
          <w:color w:val="212121"/>
          <w:sz w:val="20"/>
          <w:szCs w:val="20"/>
          <w:lang w:val="en-US"/>
        </w:rPr>
      </w:pPr>
      <w:r w:rsidRPr="00887F18">
        <w:rPr>
          <w:rFonts w:ascii="Aptos" w:eastAsia="Times New Roman" w:hAnsi="Aptos" w:cs="Times New Roman"/>
          <w:color w:val="212121"/>
          <w:sz w:val="24"/>
          <w:szCs w:val="24"/>
          <w:lang w:val="en-US"/>
        </w:rPr>
        <w:t xml:space="preserve">  Model: RT ~ Group * </w:t>
      </w:r>
      <w:proofErr w:type="spellStart"/>
      <w:r w:rsidRPr="00887F18">
        <w:rPr>
          <w:rFonts w:ascii="Aptos" w:eastAsia="Times New Roman" w:hAnsi="Aptos" w:cs="Times New Roman"/>
          <w:color w:val="212121"/>
          <w:sz w:val="24"/>
          <w:szCs w:val="24"/>
          <w:lang w:val="en-US"/>
        </w:rPr>
        <w:t>sinceFirstScan</w:t>
      </w:r>
      <w:proofErr w:type="spellEnd"/>
      <w:r w:rsidRPr="00887F18">
        <w:rPr>
          <w:rFonts w:ascii="Aptos" w:eastAsia="Times New Roman" w:hAnsi="Aptos" w:cs="Times New Roman"/>
          <w:color w:val="212121"/>
          <w:sz w:val="24"/>
          <w:szCs w:val="24"/>
          <w:lang w:val="en-US"/>
        </w:rPr>
        <w:t xml:space="preserve"> + (1 | participant/session)</w:t>
      </w:r>
    </w:p>
    <w:p w14:paraId="21202A85" w14:textId="77777777" w:rsidR="00635067" w:rsidRPr="00447FA3" w:rsidRDefault="00635067" w:rsidP="00635067">
      <w:pPr>
        <w:rPr>
          <w:color w:val="000000" w:themeColor="text1"/>
          <w:sz w:val="24"/>
          <w:szCs w:val="24"/>
        </w:rPr>
      </w:pPr>
    </w:p>
    <w:p w14:paraId="6EA6C79A" w14:textId="77777777" w:rsidR="00551C09" w:rsidRDefault="00551C09" w:rsidP="00551C09">
      <w:pPr>
        <w:pStyle w:val="NormalWeb"/>
      </w:pPr>
      <w:r>
        <w:rPr>
          <w:rFonts w:ascii="TimesNewRomanPS" w:hAnsi="TimesNewRomanPS"/>
          <w:b/>
          <w:bCs/>
        </w:rPr>
        <w:t>1. Data Preprocessing</w:t>
      </w:r>
      <w:r>
        <w:rPr>
          <w:rFonts w:ascii="TimesNewRomanPS" w:hAnsi="TimesNewRomanPS"/>
          <w:b/>
          <w:bCs/>
        </w:rPr>
        <w:br/>
        <w:t>1.1. Preprocessing of B0 inhomogeneity mappings</w:t>
      </w:r>
      <w:r>
        <w:rPr>
          <w:rFonts w:ascii="TimesNewRomanPS" w:hAnsi="TimesNewRomanPS"/>
          <w:b/>
          <w:bCs/>
        </w:rPr>
        <w:br/>
      </w:r>
      <w:r w:rsidRPr="00217B78">
        <w:rPr>
          <w:rFonts w:ascii="TimesNewRomanPSMT" w:hAnsi="TimesNewRomanPSMT"/>
          <w:color w:val="000000" w:themeColor="text1"/>
        </w:rPr>
        <w:t xml:space="preserve">A total of 2 </w:t>
      </w:r>
      <w:proofErr w:type="spellStart"/>
      <w:r w:rsidRPr="00217B78">
        <w:rPr>
          <w:rFonts w:ascii="TimesNewRomanPSMT" w:hAnsi="TimesNewRomanPSMT"/>
          <w:color w:val="000000" w:themeColor="text1"/>
        </w:rPr>
        <w:t>fieldmaps</w:t>
      </w:r>
      <w:proofErr w:type="spellEnd"/>
      <w:r w:rsidRPr="00217B78">
        <w:rPr>
          <w:rFonts w:ascii="TimesNewRomanPSMT" w:hAnsi="TimesNewRomanPSMT"/>
          <w:color w:val="000000" w:themeColor="text1"/>
        </w:rPr>
        <w:t xml:space="preserve"> were collected for each session. </w:t>
      </w:r>
      <w:r>
        <w:rPr>
          <w:rFonts w:ascii="TimesNewRomanPSMT" w:hAnsi="TimesNewRomanPSMT"/>
        </w:rPr>
        <w:t xml:space="preserve">A B0- nonuniformity map (or </w:t>
      </w:r>
      <w:proofErr w:type="spellStart"/>
      <w:r>
        <w:rPr>
          <w:rFonts w:ascii="TimesNewRomanPSMT" w:hAnsi="TimesNewRomanPSMT"/>
        </w:rPr>
        <w:t>fieldmap</w:t>
      </w:r>
      <w:proofErr w:type="spellEnd"/>
      <w:r>
        <w:rPr>
          <w:rFonts w:ascii="TimesNewRomanPSMT" w:hAnsi="TimesNewRomanPSMT"/>
        </w:rPr>
        <w:t xml:space="preserve">) was estimated based on two (or more) echo-planar imaging (EPI) references with </w:t>
      </w:r>
      <w:proofErr w:type="spellStart"/>
      <w:r>
        <w:rPr>
          <w:rFonts w:ascii="TimesNewRomanPSMT" w:hAnsi="TimesNewRomanPSMT"/>
        </w:rPr>
        <w:t>topup</w:t>
      </w:r>
      <w:proofErr w:type="spellEnd"/>
      <w:r>
        <w:rPr>
          <w:rFonts w:ascii="TimesNewRomanPSMT" w:hAnsi="TimesNewRomanPSMT"/>
        </w:rPr>
        <w:t xml:space="preserve"> (1; FSL 6.0.5.1:57b01774). </w:t>
      </w:r>
    </w:p>
    <w:p w14:paraId="0F4444A0" w14:textId="77777777" w:rsidR="00551C09" w:rsidRDefault="00551C09" w:rsidP="00551C09">
      <w:pPr>
        <w:pStyle w:val="NormalWeb"/>
      </w:pPr>
      <w:r>
        <w:rPr>
          <w:rFonts w:ascii="TimesNewRomanPS" w:hAnsi="TimesNewRomanPS"/>
          <w:b/>
          <w:bCs/>
        </w:rPr>
        <w:t xml:space="preserve">1.2. Anatomical data preprocessing </w:t>
      </w:r>
    </w:p>
    <w:p w14:paraId="49097455" w14:textId="77777777" w:rsidR="00551C09" w:rsidRDefault="00551C09" w:rsidP="00551C09">
      <w:pPr>
        <w:pStyle w:val="NormalWeb"/>
      </w:pPr>
      <w:r>
        <w:rPr>
          <w:rFonts w:ascii="TimesNewRomanPSMT" w:hAnsi="TimesNewRomanPSMT"/>
        </w:rPr>
        <w:t xml:space="preserve">A T1-weighted (T1w) images was collected for each session. All of them were corrected for intensity non-uniformity (INU) with N4BiasFieldCorrection (2), distributed with ANTs 2.3.3 (3, RRID:SCR_004757). The T1w-reference was then skull-stripped with a </w:t>
      </w:r>
      <w:proofErr w:type="spellStart"/>
      <w:r>
        <w:rPr>
          <w:rFonts w:ascii="TimesNewRomanPSMT" w:hAnsi="TimesNewRomanPSMT"/>
        </w:rPr>
        <w:t>Nipype</w:t>
      </w:r>
      <w:proofErr w:type="spellEnd"/>
      <w:r>
        <w:rPr>
          <w:rFonts w:ascii="TimesNewRomanPSMT" w:hAnsi="TimesNewRomanPSMT"/>
        </w:rPr>
        <w:t xml:space="preserve"> implementation of the antsBrainExtraction.sh workflow (from ANTs), using OASIS30ANTs as target template. Brain tissue segmentation of cerebrospinal fluid (CSF), white-matter (WM) and gray-matter (GM) was performed on the brain-extracted T1w using fast (FSL 6.0.5.1:57b01774, RRID:SCR_002823, 4). A T1w-reference map for each subject was computed after registration of </w:t>
      </w:r>
      <w:proofErr w:type="gramStart"/>
      <w:r>
        <w:rPr>
          <w:rFonts w:ascii="TimesNewRomanPSMT" w:hAnsi="TimesNewRomanPSMT"/>
        </w:rPr>
        <w:t>all of</w:t>
      </w:r>
      <w:proofErr w:type="gramEnd"/>
      <w:r>
        <w:rPr>
          <w:rFonts w:ascii="TimesNewRomanPSMT" w:hAnsi="TimesNewRomanPSMT"/>
        </w:rPr>
        <w:t xml:space="preserve"> the T1w images (after INU-correction) using </w:t>
      </w:r>
      <w:proofErr w:type="spellStart"/>
      <w:r>
        <w:rPr>
          <w:rFonts w:ascii="TimesNewRomanPSMT" w:hAnsi="TimesNewRomanPSMT"/>
        </w:rPr>
        <w:t>mri_robust_template</w:t>
      </w:r>
      <w:proofErr w:type="spellEnd"/>
      <w:r>
        <w:rPr>
          <w:rFonts w:ascii="TimesNewRomanPSMT" w:hAnsi="TimesNewRomanPSMT"/>
        </w:rPr>
        <w:t xml:space="preserve"> (</w:t>
      </w:r>
      <w:proofErr w:type="spellStart"/>
      <w:r>
        <w:rPr>
          <w:rFonts w:ascii="TimesNewRomanPSMT" w:hAnsi="TimesNewRomanPSMT"/>
        </w:rPr>
        <w:t>FreeSurfer</w:t>
      </w:r>
      <w:proofErr w:type="spellEnd"/>
      <w:r>
        <w:rPr>
          <w:rFonts w:ascii="TimesNewRomanPSMT" w:hAnsi="TimesNewRomanPSMT"/>
        </w:rPr>
        <w:t xml:space="preserve"> 6.0.1, 5). Brain surfaces were reconstructed using recon-all (</w:t>
      </w:r>
      <w:proofErr w:type="spellStart"/>
      <w:r>
        <w:rPr>
          <w:rFonts w:ascii="TimesNewRomanPSMT" w:hAnsi="TimesNewRomanPSMT"/>
        </w:rPr>
        <w:t>FreeSurfer</w:t>
      </w:r>
      <w:proofErr w:type="spellEnd"/>
      <w:r>
        <w:rPr>
          <w:rFonts w:ascii="TimesNewRomanPSMT" w:hAnsi="TimesNewRomanPSMT"/>
        </w:rPr>
        <w:t xml:space="preserve"> 6.0.1, RRID:SCR_001847, 6), and the brain mask estimated previously was refined with a custom variation of the method to reconcile ANTs-derived and </w:t>
      </w:r>
      <w:proofErr w:type="spellStart"/>
      <w:r>
        <w:rPr>
          <w:rFonts w:ascii="TimesNewRomanPSMT" w:hAnsi="TimesNewRomanPSMT"/>
        </w:rPr>
        <w:t>FreeSurfer</w:t>
      </w:r>
      <w:proofErr w:type="spellEnd"/>
      <w:r>
        <w:rPr>
          <w:rFonts w:ascii="TimesNewRomanPSMT" w:hAnsi="TimesNewRomanPSMT"/>
        </w:rPr>
        <w:t xml:space="preserve">-derived segmentations of the cortical gray-matter of </w:t>
      </w:r>
      <w:proofErr w:type="spellStart"/>
      <w:r>
        <w:rPr>
          <w:rFonts w:ascii="TimesNewRomanPSMT" w:hAnsi="TimesNewRomanPSMT"/>
        </w:rPr>
        <w:t>Mindboggle</w:t>
      </w:r>
      <w:proofErr w:type="spellEnd"/>
      <w:r>
        <w:rPr>
          <w:rFonts w:ascii="TimesNewRomanPSMT" w:hAnsi="TimesNewRomanPSMT"/>
        </w:rPr>
        <w:t xml:space="preserve"> (RRID:SCR_002438, 7). Volume-based spatial normalization to MNI152NLin2009cAsym was performed through nonlinear registration with </w:t>
      </w:r>
      <w:proofErr w:type="spellStart"/>
      <w:r>
        <w:rPr>
          <w:rFonts w:ascii="TimesNewRomanPSMT" w:hAnsi="TimesNewRomanPSMT"/>
        </w:rPr>
        <w:t>antsRegistration</w:t>
      </w:r>
      <w:proofErr w:type="spellEnd"/>
      <w:r>
        <w:rPr>
          <w:rFonts w:ascii="TimesNewRomanPSMT" w:hAnsi="TimesNewRomanPSMT"/>
        </w:rPr>
        <w:t xml:space="preserve"> (ANTs 2.3.3), using brain-extracted versions of both T1w reference and the T1w template. The following templates were selected for spatial normalization: ICBM 152 Nonlinear Asymmetrical template version 2009c [8, RRID:SCR_008796; </w:t>
      </w:r>
      <w:proofErr w:type="spellStart"/>
      <w:r>
        <w:rPr>
          <w:rFonts w:ascii="TimesNewRomanPSMT" w:hAnsi="TimesNewRomanPSMT"/>
        </w:rPr>
        <w:t>TemplateFlow</w:t>
      </w:r>
      <w:proofErr w:type="spellEnd"/>
      <w:r>
        <w:rPr>
          <w:rFonts w:ascii="TimesNewRomanPSMT" w:hAnsi="TimesNewRomanPSMT"/>
        </w:rPr>
        <w:t xml:space="preserve"> ID: MNI152NLin2009cAsym], </w:t>
      </w:r>
      <w:r>
        <w:rPr>
          <w:rFonts w:ascii="TimesNewRomanPSMT" w:hAnsi="TimesNewRomanPSMT"/>
        </w:rPr>
        <w:lastRenderedPageBreak/>
        <w:t xml:space="preserve">FSL’s MNI ICBM 152 non-linear 6th Generation Asymmetric Average Brain Stereotaxic Registration Model [9, RRID:SCR_002823; </w:t>
      </w:r>
      <w:proofErr w:type="spellStart"/>
      <w:r>
        <w:rPr>
          <w:rFonts w:ascii="TimesNewRomanPSMT" w:hAnsi="TimesNewRomanPSMT"/>
        </w:rPr>
        <w:t>TemplateFlow</w:t>
      </w:r>
      <w:proofErr w:type="spellEnd"/>
      <w:r>
        <w:rPr>
          <w:rFonts w:ascii="TimesNewRomanPSMT" w:hAnsi="TimesNewRomanPSMT"/>
        </w:rPr>
        <w:t xml:space="preserve"> ID: MNI152NLin6Asym]. </w:t>
      </w:r>
    </w:p>
    <w:p w14:paraId="0AC0C24A" w14:textId="77777777" w:rsidR="00551C09" w:rsidRDefault="00551C09" w:rsidP="00551C09">
      <w:pPr>
        <w:pStyle w:val="NormalWeb"/>
      </w:pPr>
      <w:r>
        <w:rPr>
          <w:rFonts w:ascii="TimesNewRomanPS" w:hAnsi="TimesNewRomanPS"/>
          <w:b/>
          <w:bCs/>
        </w:rPr>
        <w:t xml:space="preserve">1.3. Functional data preprocessing </w:t>
      </w:r>
    </w:p>
    <w:p w14:paraId="1FEA4975" w14:textId="77777777" w:rsidR="00551C09" w:rsidRDefault="00551C09" w:rsidP="00551C09">
      <w:pPr>
        <w:pStyle w:val="NormalWeb"/>
      </w:pPr>
      <w:r>
        <w:rPr>
          <w:rFonts w:ascii="TimesNewRomanPSMT" w:hAnsi="TimesNewRomanPSMT"/>
        </w:rPr>
        <w:t xml:space="preserve">For each of the </w:t>
      </w:r>
      <w:r w:rsidRPr="00217B78">
        <w:rPr>
          <w:rFonts w:ascii="TimesNewRomanPSMT" w:hAnsi="TimesNewRomanPSMT"/>
          <w:color w:val="000000" w:themeColor="text1"/>
        </w:rPr>
        <w:t xml:space="preserve">BOLD </w:t>
      </w:r>
      <w:r>
        <w:rPr>
          <w:rFonts w:ascii="TimesNewRomanPSMT" w:hAnsi="TimesNewRomanPSMT"/>
        </w:rPr>
        <w:t xml:space="preserve">runs found per subject (across all tasks and sessions), the following preprocessing was performed. First, a reference volume and its skull-stripped version were generated from the shortest echo of the BOLD run using a custom methodology of </w:t>
      </w:r>
      <w:proofErr w:type="spellStart"/>
      <w:r>
        <w:rPr>
          <w:rFonts w:ascii="TimesNewRomanPSMT" w:hAnsi="TimesNewRomanPSMT"/>
        </w:rPr>
        <w:t>fMRIPrep</w:t>
      </w:r>
      <w:proofErr w:type="spellEnd"/>
      <w:r>
        <w:rPr>
          <w:rFonts w:ascii="TimesNewRomanPSMT" w:hAnsi="TimesNewRomanPSMT"/>
        </w:rPr>
        <w:t xml:space="preserve">. Head-motion parameters with respect to the BOLD reference (transformation matrices, and six corresponding rotation and translation parameters) are estimated before any spatiotemporal filtering using </w:t>
      </w:r>
      <w:proofErr w:type="spellStart"/>
      <w:r>
        <w:rPr>
          <w:rFonts w:ascii="TimesNewRomanPSMT" w:hAnsi="TimesNewRomanPSMT"/>
        </w:rPr>
        <w:t>mcflirt</w:t>
      </w:r>
      <w:proofErr w:type="spellEnd"/>
      <w:r>
        <w:rPr>
          <w:rFonts w:ascii="TimesNewRomanPSMT" w:hAnsi="TimesNewRomanPSMT"/>
        </w:rPr>
        <w:t xml:space="preserve"> (FSL 6.0.5.1:57b01774, 10). The estimated </w:t>
      </w:r>
      <w:proofErr w:type="spellStart"/>
      <w:r>
        <w:rPr>
          <w:rFonts w:ascii="TimesNewRomanPSMT" w:hAnsi="TimesNewRomanPSMT"/>
        </w:rPr>
        <w:t>fieldmap</w:t>
      </w:r>
      <w:proofErr w:type="spellEnd"/>
      <w:r>
        <w:rPr>
          <w:rFonts w:ascii="TimesNewRomanPSMT" w:hAnsi="TimesNewRomanPSMT"/>
        </w:rPr>
        <w:t xml:space="preserve"> was then aligned with rigid-registration to the target EPI (echo-planar imaging) reference run. The field coefficients were mapped on to the reference EPI using the transform. BOLD runs were slice-time corrected to 1.21s (0.5 of slice acquisition range 0s-2.42s) using 3dTshift from AFNI (11, RRID:SCR_005927). A T2</w:t>
      </w:r>
      <w:r>
        <w:rPr>
          <w:rFonts w:ascii="Segoe UI Symbol" w:hAnsi="Segoe UI Symbol" w:cs="Segoe UI Symbol"/>
        </w:rPr>
        <w:t>★</w:t>
      </w:r>
      <w:r>
        <w:rPr>
          <w:rFonts w:ascii="SegoeUISymbol" w:hAnsi="SegoeUISymbol"/>
        </w:rPr>
        <w:t xml:space="preserve"> </w:t>
      </w:r>
      <w:r>
        <w:rPr>
          <w:rFonts w:ascii="TimesNewRomanPSMT" w:hAnsi="TimesNewRomanPSMT"/>
        </w:rPr>
        <w:t xml:space="preserve">map was estimated from the preprocessed EPI echoes, by voxel- wise fitting the maximal number of echoes with reliable signal in that voxel to a </w:t>
      </w:r>
      <w:proofErr w:type="spellStart"/>
      <w:r>
        <w:rPr>
          <w:rFonts w:ascii="TimesNewRomanPSMT" w:hAnsi="TimesNewRomanPSMT"/>
        </w:rPr>
        <w:t>monoexponential</w:t>
      </w:r>
      <w:proofErr w:type="spellEnd"/>
      <w:r>
        <w:rPr>
          <w:rFonts w:ascii="TimesNewRomanPSMT" w:hAnsi="TimesNewRomanPSMT"/>
        </w:rPr>
        <w:t xml:space="preserve"> signal decay model with nonlinear regression. The T2</w:t>
      </w:r>
      <w:r>
        <w:rPr>
          <w:rFonts w:ascii="Segoe UI Symbol" w:hAnsi="Segoe UI Symbol" w:cs="Segoe UI Symbol"/>
        </w:rPr>
        <w:t>★</w:t>
      </w:r>
      <w:r>
        <w:rPr>
          <w:rFonts w:ascii="TimesNewRomanPSMT" w:hAnsi="TimesNewRomanPSMT"/>
        </w:rPr>
        <w:t>/S0 estimates from a log-linear regression fit were used for initial values. The calculated T2</w:t>
      </w:r>
      <w:r>
        <w:rPr>
          <w:rFonts w:ascii="Segoe UI Symbol" w:hAnsi="Segoe UI Symbol" w:cs="Segoe UI Symbol"/>
        </w:rPr>
        <w:t>★</w:t>
      </w:r>
      <w:r>
        <w:rPr>
          <w:rFonts w:ascii="SegoeUISymbol" w:hAnsi="SegoeUISymbol"/>
        </w:rPr>
        <w:t xml:space="preserve"> </w:t>
      </w:r>
      <w:r>
        <w:rPr>
          <w:rFonts w:ascii="TimesNewRomanPSMT" w:hAnsi="TimesNewRomanPSMT"/>
        </w:rPr>
        <w:t xml:space="preserve">map was then used to optimally combine preprocessed BOLD across echoes following the method described in (12). The optimally combined time series was carried forward as the preprocessed BOLD. The BOLD reference was then co-registered to the T1w reference using </w:t>
      </w:r>
      <w:proofErr w:type="spellStart"/>
      <w:r>
        <w:rPr>
          <w:rFonts w:ascii="TimesNewRomanPSMT" w:hAnsi="TimesNewRomanPSMT"/>
        </w:rPr>
        <w:t>bbregister</w:t>
      </w:r>
      <w:proofErr w:type="spellEnd"/>
      <w:r>
        <w:rPr>
          <w:rFonts w:ascii="TimesNewRomanPSMT" w:hAnsi="TimesNewRomanPSMT"/>
        </w:rPr>
        <w:t xml:space="preserve"> (</w:t>
      </w:r>
      <w:proofErr w:type="spellStart"/>
      <w:r>
        <w:rPr>
          <w:rFonts w:ascii="TimesNewRomanPSMT" w:hAnsi="TimesNewRomanPSMT"/>
        </w:rPr>
        <w:t>FreeSurfer</w:t>
      </w:r>
      <w:proofErr w:type="spellEnd"/>
      <w:r>
        <w:rPr>
          <w:rFonts w:ascii="TimesNewRomanPSMT" w:hAnsi="TimesNewRomanPSMT"/>
        </w:rPr>
        <w:t xml:space="preserve">) which implements boundary-based registration (13). Co-registration was configured with six degrees of freedom. First, a reference volume and its skull-stripped version were generated using a custom methodology of </w:t>
      </w:r>
      <w:proofErr w:type="spellStart"/>
      <w:r>
        <w:rPr>
          <w:rFonts w:ascii="TimesNewRomanPSMT" w:hAnsi="TimesNewRomanPSMT"/>
        </w:rPr>
        <w:t>fMRIPrep</w:t>
      </w:r>
      <w:proofErr w:type="spellEnd"/>
      <w:r>
        <w:rPr>
          <w:rFonts w:ascii="TimesNewRomanPSMT" w:hAnsi="TimesNewRomanPSMT"/>
        </w:rPr>
        <w:t xml:space="preserve">. Several confounding time-series were calculated based on the preprocessed BOLD: framewise displacement (FD), DVARS and three region-wise global signals. FD was computed using two formulations following Power (absolute sum of relative motions (14)) and Jenkinson (relative root mean square displacement between </w:t>
      </w:r>
      <w:proofErr w:type="spellStart"/>
      <w:r>
        <w:rPr>
          <w:rFonts w:ascii="TimesNewRomanPSMT" w:hAnsi="TimesNewRomanPSMT"/>
        </w:rPr>
        <w:t>affines</w:t>
      </w:r>
      <w:proofErr w:type="spellEnd"/>
      <w:r>
        <w:rPr>
          <w:rFonts w:ascii="TimesNewRomanPSMT" w:hAnsi="TimesNewRomanPSMT"/>
        </w:rPr>
        <w:t xml:space="preserve"> (10)). FD and DVARS are calculated for each functional run, both using their implementations in </w:t>
      </w:r>
      <w:proofErr w:type="spellStart"/>
      <w:r>
        <w:rPr>
          <w:rFonts w:ascii="TimesNewRomanPSMT" w:hAnsi="TimesNewRomanPSMT"/>
        </w:rPr>
        <w:t>Nipype</w:t>
      </w:r>
      <w:proofErr w:type="spellEnd"/>
      <w:r>
        <w:rPr>
          <w:rFonts w:ascii="TimesNewRomanPSMT" w:hAnsi="TimesNewRomanPSMT"/>
        </w:rPr>
        <w:t xml:space="preserve"> (following the definitions by (14)). Frames that exceeded a threshold of 0.5 mm FD as well as following frames were annotated as motion outliers and censored in all analyses. Additionally, frames in which more than 10% of voxels were temporal outliers were censored in all analyses. The BOLD time-series were resampled into standard space, generating a preprocessed BOLD run in MNI152NLin2009cAsym space. First, a reference volume and its skull-stripped version were generated using a custom methodology of </w:t>
      </w:r>
      <w:proofErr w:type="spellStart"/>
      <w:r>
        <w:rPr>
          <w:rFonts w:ascii="TimesNewRomanPSMT" w:hAnsi="TimesNewRomanPSMT"/>
        </w:rPr>
        <w:t>fMRIPrep</w:t>
      </w:r>
      <w:proofErr w:type="spellEnd"/>
      <w:r>
        <w:rPr>
          <w:rFonts w:ascii="TimesNewRomanPSMT" w:hAnsi="TimesNewRomanPSMT"/>
        </w:rPr>
        <w:t xml:space="preserve">. All </w:t>
      </w:r>
      <w:proofErr w:type="spellStart"/>
      <w:r>
        <w:rPr>
          <w:rFonts w:ascii="TimesNewRomanPSMT" w:hAnsi="TimesNewRomanPSMT"/>
        </w:rPr>
        <w:t>resamplings</w:t>
      </w:r>
      <w:proofErr w:type="spellEnd"/>
      <w:r>
        <w:rPr>
          <w:rFonts w:ascii="TimesNewRomanPSMT" w:hAnsi="TimesNewRomanPSMT"/>
        </w:rPr>
        <w:t xml:space="preserve"> can be performed with a single interpolation step by composing all the pertinent transformations (i.e. head-motion transform matrices, susceptibility distortion correction when available, and co-registrations to anatomical and output spaces). Gridded (volumetric) </w:t>
      </w:r>
      <w:proofErr w:type="spellStart"/>
      <w:r>
        <w:rPr>
          <w:rFonts w:ascii="TimesNewRomanPSMT" w:hAnsi="TimesNewRomanPSMT"/>
        </w:rPr>
        <w:t>resamplings</w:t>
      </w:r>
      <w:proofErr w:type="spellEnd"/>
      <w:r>
        <w:rPr>
          <w:rFonts w:ascii="TimesNewRomanPSMT" w:hAnsi="TimesNewRomanPSMT"/>
        </w:rPr>
        <w:t xml:space="preserve"> were performed using </w:t>
      </w:r>
      <w:proofErr w:type="spellStart"/>
      <w:r>
        <w:rPr>
          <w:rFonts w:ascii="TimesNewRomanPSMT" w:hAnsi="TimesNewRomanPSMT"/>
        </w:rPr>
        <w:t>antsApplyTransforms</w:t>
      </w:r>
      <w:proofErr w:type="spellEnd"/>
      <w:r>
        <w:rPr>
          <w:rFonts w:ascii="TimesNewRomanPSMT" w:hAnsi="TimesNewRomanPSMT"/>
        </w:rPr>
        <w:t xml:space="preserve"> (ANTs), configured with Lanczos interpolation to minimize the smoothing effects of other kernels (15). </w:t>
      </w:r>
    </w:p>
    <w:p w14:paraId="7A10C64C" w14:textId="77777777" w:rsidR="00551C09" w:rsidRDefault="00551C09" w:rsidP="00551C09">
      <w:pPr>
        <w:pStyle w:val="NormalWeb"/>
      </w:pPr>
      <w:r>
        <w:rPr>
          <w:rFonts w:ascii="TimesNewRomanPSMT" w:hAnsi="TimesNewRomanPSMT"/>
        </w:rPr>
        <w:t xml:space="preserve">Many internal operations of </w:t>
      </w:r>
      <w:proofErr w:type="spellStart"/>
      <w:r>
        <w:rPr>
          <w:rFonts w:ascii="TimesNewRomanPSMT" w:hAnsi="TimesNewRomanPSMT"/>
        </w:rPr>
        <w:t>fMRIPrep</w:t>
      </w:r>
      <w:proofErr w:type="spellEnd"/>
      <w:r>
        <w:rPr>
          <w:rFonts w:ascii="TimesNewRomanPSMT" w:hAnsi="TimesNewRomanPSMT"/>
        </w:rPr>
        <w:t xml:space="preserve"> use </w:t>
      </w:r>
      <w:proofErr w:type="spellStart"/>
      <w:r>
        <w:rPr>
          <w:rFonts w:ascii="TimesNewRomanPSMT" w:hAnsi="TimesNewRomanPSMT"/>
        </w:rPr>
        <w:t>Nilearn</w:t>
      </w:r>
      <w:proofErr w:type="spellEnd"/>
      <w:r>
        <w:rPr>
          <w:rFonts w:ascii="TimesNewRomanPSMT" w:hAnsi="TimesNewRomanPSMT"/>
        </w:rPr>
        <w:t xml:space="preserve"> 0.8.1 (16, RRID:SCR_001362), mostly within the functional processing workflow. For more details of the pipeline, see the section corresponding to workflows in </w:t>
      </w:r>
      <w:proofErr w:type="spellStart"/>
      <w:r>
        <w:rPr>
          <w:rFonts w:ascii="TimesNewRomanPSMT" w:hAnsi="TimesNewRomanPSMT"/>
        </w:rPr>
        <w:t>fMRIPrep’s</w:t>
      </w:r>
      <w:proofErr w:type="spellEnd"/>
      <w:r>
        <w:rPr>
          <w:rFonts w:ascii="TimesNewRomanPSMT" w:hAnsi="TimesNewRomanPSMT"/>
        </w:rPr>
        <w:t xml:space="preserve"> documentation. </w:t>
      </w:r>
    </w:p>
    <w:p w14:paraId="709445AC" w14:textId="77777777" w:rsidR="00551C09" w:rsidRDefault="00551C09" w:rsidP="00551C09">
      <w:pPr>
        <w:pStyle w:val="NormalWeb"/>
      </w:pPr>
      <w:r>
        <w:rPr>
          <w:rFonts w:ascii="TimesNewRomanPS" w:hAnsi="TimesNewRomanPS"/>
          <w:b/>
          <w:bCs/>
        </w:rPr>
        <w:t xml:space="preserve">1.4. Copyright Waiver </w:t>
      </w:r>
    </w:p>
    <w:p w14:paraId="0341BF44" w14:textId="77777777" w:rsidR="00551C09" w:rsidRDefault="00551C09" w:rsidP="00551C09">
      <w:pPr>
        <w:pStyle w:val="NormalWeb"/>
        <w:rPr>
          <w:rFonts w:ascii="TimesNewRomanPSMT" w:hAnsi="TimesNewRomanPSMT"/>
        </w:rPr>
      </w:pPr>
      <w:r>
        <w:rPr>
          <w:rFonts w:ascii="TimesNewRomanPSMT" w:hAnsi="TimesNewRomanPSMT"/>
        </w:rPr>
        <w:lastRenderedPageBreak/>
        <w:t xml:space="preserve">The above boilerplate text was automatically generated by </w:t>
      </w:r>
      <w:proofErr w:type="spellStart"/>
      <w:r>
        <w:rPr>
          <w:rFonts w:ascii="TimesNewRomanPSMT" w:hAnsi="TimesNewRomanPSMT"/>
        </w:rPr>
        <w:t>fMRIPrep</w:t>
      </w:r>
      <w:proofErr w:type="spellEnd"/>
      <w:r>
        <w:rPr>
          <w:rFonts w:ascii="TimesNewRomanPSMT" w:hAnsi="TimesNewRomanPSMT"/>
        </w:rPr>
        <w:t xml:space="preserve"> with the express intention that users should copy and paste this text into their manuscripts unchanged. It is released under the CC0 license. </w:t>
      </w:r>
    </w:p>
    <w:p w14:paraId="0C5336D9" w14:textId="77777777" w:rsidR="00551C09" w:rsidRDefault="00551C09" w:rsidP="00551C09">
      <w:pPr>
        <w:pStyle w:val="NormalWeb"/>
      </w:pPr>
      <w:r>
        <w:rPr>
          <w:rFonts w:ascii="TimesNewRomanPS" w:hAnsi="TimesNewRomanPS"/>
          <w:b/>
          <w:bCs/>
        </w:rPr>
        <w:t xml:space="preserve">Supplemental References </w:t>
      </w:r>
    </w:p>
    <w:p w14:paraId="6F6BDD93" w14:textId="77777777" w:rsidR="00551C09" w:rsidRDefault="00551C09" w:rsidP="00551C09">
      <w:pPr>
        <w:pStyle w:val="NormalWeb"/>
      </w:pPr>
      <w:r>
        <w:rPr>
          <w:rFonts w:ascii="TimesNewRomanPSMT" w:hAnsi="TimesNewRomanPSMT"/>
        </w:rPr>
        <w:t xml:space="preserve">1. Andersson JLR, Skare S, Ashburner J (2003): How to correct susceptibility distortions in spin- echo echo-planar images: application to diffusion tensor imaging.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20: 870– 888. </w:t>
      </w:r>
    </w:p>
    <w:p w14:paraId="182050D3" w14:textId="77777777" w:rsidR="00551C09" w:rsidRDefault="00551C09" w:rsidP="00551C09">
      <w:pPr>
        <w:pStyle w:val="NormalWeb"/>
      </w:pPr>
      <w:r>
        <w:rPr>
          <w:rFonts w:ascii="TimesNewRomanPSMT" w:hAnsi="TimesNewRomanPSMT"/>
        </w:rPr>
        <w:t xml:space="preserve">2. Tustison NJ, Avants BB, Cook PA, </w:t>
      </w:r>
      <w:proofErr w:type="spellStart"/>
      <w:r>
        <w:rPr>
          <w:rFonts w:ascii="TimesNewRomanPSMT" w:hAnsi="TimesNewRomanPSMT"/>
        </w:rPr>
        <w:t>Yuanjie</w:t>
      </w:r>
      <w:proofErr w:type="spellEnd"/>
      <w:r>
        <w:rPr>
          <w:rFonts w:ascii="TimesNewRomanPSMT" w:hAnsi="TimesNewRomanPSMT"/>
        </w:rPr>
        <w:t xml:space="preserve"> Zheng, Egan A, Yushkevich PA, Gee JC (2010): N4ITK: Improved N3 Bias Correction. </w:t>
      </w:r>
      <w:r>
        <w:rPr>
          <w:rFonts w:ascii="TimesNewRomanPS" w:hAnsi="TimesNewRomanPS"/>
          <w:i/>
          <w:iCs/>
        </w:rPr>
        <w:t xml:space="preserve">IEEE Trans Med Imaging </w:t>
      </w:r>
      <w:r>
        <w:rPr>
          <w:rFonts w:ascii="TimesNewRomanPSMT" w:hAnsi="TimesNewRomanPSMT"/>
        </w:rPr>
        <w:t xml:space="preserve">29: 1310–1320. </w:t>
      </w:r>
    </w:p>
    <w:p w14:paraId="2AC95F95" w14:textId="77777777" w:rsidR="00551C09" w:rsidRDefault="00551C09" w:rsidP="00551C09">
      <w:pPr>
        <w:pStyle w:val="NormalWeb"/>
      </w:pPr>
      <w:r>
        <w:rPr>
          <w:rFonts w:ascii="TimesNewRomanPSMT" w:hAnsi="TimesNewRomanPSMT"/>
        </w:rPr>
        <w:t xml:space="preserve">3. Avants B, Epstein C, Grossman M, Gee J (2008): Symmetric diffeomorphic image registration with cross-correlation: Evaluating automated labeling of elderly and neurodegenerative brain. </w:t>
      </w:r>
      <w:r>
        <w:rPr>
          <w:rFonts w:ascii="TimesNewRomanPS" w:hAnsi="TimesNewRomanPS"/>
          <w:i/>
          <w:iCs/>
        </w:rPr>
        <w:t xml:space="preserve">Med Image Anal </w:t>
      </w:r>
      <w:r>
        <w:rPr>
          <w:rFonts w:ascii="TimesNewRomanPSMT" w:hAnsi="TimesNewRomanPSMT"/>
        </w:rPr>
        <w:t xml:space="preserve">12: 26–41. </w:t>
      </w:r>
    </w:p>
    <w:p w14:paraId="0A64A210" w14:textId="77777777" w:rsidR="00551C09" w:rsidRDefault="00551C09" w:rsidP="00551C09">
      <w:pPr>
        <w:pStyle w:val="NormalWeb"/>
      </w:pPr>
      <w:r>
        <w:rPr>
          <w:rFonts w:ascii="TimesNewRomanPSMT" w:hAnsi="TimesNewRomanPSMT"/>
        </w:rPr>
        <w:t xml:space="preserve">4. Zhang Y, Brady M, Smith S (2001): Segmentation of brain MR images through a hidden Markov random field model and the expectation-maximization algorithm. </w:t>
      </w:r>
      <w:r>
        <w:rPr>
          <w:rFonts w:ascii="TimesNewRomanPS" w:hAnsi="TimesNewRomanPS"/>
          <w:i/>
          <w:iCs/>
        </w:rPr>
        <w:t xml:space="preserve">IEEE Trans Med Imaging </w:t>
      </w:r>
      <w:r>
        <w:rPr>
          <w:rFonts w:ascii="TimesNewRomanPSMT" w:hAnsi="TimesNewRomanPSMT"/>
        </w:rPr>
        <w:t xml:space="preserve">20: 45–57. </w:t>
      </w:r>
    </w:p>
    <w:p w14:paraId="51A9E580" w14:textId="77777777" w:rsidR="00551C09" w:rsidRDefault="00551C09" w:rsidP="00551C09">
      <w:pPr>
        <w:pStyle w:val="NormalWeb"/>
      </w:pPr>
      <w:r>
        <w:rPr>
          <w:rFonts w:ascii="TimesNewRomanPSMT" w:hAnsi="TimesNewRomanPSMT"/>
        </w:rPr>
        <w:t xml:space="preserve">5. Reuter M, Rosas HD, Fischl B (2010): Highly accurate inverse consistent registration: A robust approach.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53: 1181–1196. </w:t>
      </w:r>
    </w:p>
    <w:p w14:paraId="7DD64759" w14:textId="77777777" w:rsidR="00551C09" w:rsidRDefault="00551C09" w:rsidP="00551C09">
      <w:pPr>
        <w:pStyle w:val="NormalWeb"/>
      </w:pPr>
      <w:r>
        <w:rPr>
          <w:rFonts w:ascii="TimesNewRomanPSMT" w:hAnsi="TimesNewRomanPSMT"/>
        </w:rPr>
        <w:t xml:space="preserve">6. Dale AM, Fischl B, Sereno MI (1999): Cortical Surface-Based Analysis.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9: 179– 194. </w:t>
      </w:r>
    </w:p>
    <w:p w14:paraId="207C1818" w14:textId="77777777" w:rsidR="00551C09" w:rsidRDefault="00551C09" w:rsidP="00551C09">
      <w:pPr>
        <w:pStyle w:val="NormalWeb"/>
      </w:pPr>
      <w:r>
        <w:rPr>
          <w:rFonts w:ascii="TimesNewRomanPSMT" w:hAnsi="TimesNewRomanPSMT"/>
        </w:rPr>
        <w:t xml:space="preserve">7. Klein A, Ghosh SS, Bao FS, Giard J, </w:t>
      </w:r>
      <w:proofErr w:type="spellStart"/>
      <w:r>
        <w:rPr>
          <w:rFonts w:ascii="TimesNewRomanPSMT" w:hAnsi="TimesNewRomanPSMT"/>
        </w:rPr>
        <w:t>Häme</w:t>
      </w:r>
      <w:proofErr w:type="spellEnd"/>
      <w:r>
        <w:rPr>
          <w:rFonts w:ascii="TimesNewRomanPSMT" w:hAnsi="TimesNewRomanPSMT"/>
        </w:rPr>
        <w:t xml:space="preserve"> Y, </w:t>
      </w:r>
      <w:proofErr w:type="spellStart"/>
      <w:r>
        <w:rPr>
          <w:rFonts w:ascii="TimesNewRomanPSMT" w:hAnsi="TimesNewRomanPSMT"/>
        </w:rPr>
        <w:t>Stavsky</w:t>
      </w:r>
      <w:proofErr w:type="spellEnd"/>
      <w:r>
        <w:rPr>
          <w:rFonts w:ascii="TimesNewRomanPSMT" w:hAnsi="TimesNewRomanPSMT"/>
        </w:rPr>
        <w:t xml:space="preserve"> E, </w:t>
      </w:r>
      <w:r>
        <w:rPr>
          <w:rFonts w:ascii="TimesNewRomanPS" w:hAnsi="TimesNewRomanPS"/>
          <w:i/>
          <w:iCs/>
        </w:rPr>
        <w:t xml:space="preserve">et al. </w:t>
      </w:r>
      <w:r>
        <w:rPr>
          <w:rFonts w:ascii="TimesNewRomanPSMT" w:hAnsi="TimesNewRomanPSMT"/>
        </w:rPr>
        <w:t xml:space="preserve">(2017): Mindboggling morphometry of human brains ((D. Schneidman, editor)). </w:t>
      </w:r>
      <w:r>
        <w:rPr>
          <w:rFonts w:ascii="TimesNewRomanPS" w:hAnsi="TimesNewRomanPS"/>
          <w:i/>
          <w:iCs/>
        </w:rPr>
        <w:t xml:space="preserve">PLOS </w:t>
      </w:r>
      <w:proofErr w:type="spellStart"/>
      <w:r>
        <w:rPr>
          <w:rFonts w:ascii="TimesNewRomanPS" w:hAnsi="TimesNewRomanPS"/>
          <w:i/>
          <w:iCs/>
        </w:rPr>
        <w:t>Comput</w:t>
      </w:r>
      <w:proofErr w:type="spellEnd"/>
      <w:r>
        <w:rPr>
          <w:rFonts w:ascii="TimesNewRomanPS" w:hAnsi="TimesNewRomanPS"/>
          <w:i/>
          <w:iCs/>
        </w:rPr>
        <w:t xml:space="preserve"> Biol </w:t>
      </w:r>
      <w:r>
        <w:rPr>
          <w:rFonts w:ascii="TimesNewRomanPSMT" w:hAnsi="TimesNewRomanPSMT"/>
        </w:rPr>
        <w:t xml:space="preserve">13: e1005350. </w:t>
      </w:r>
    </w:p>
    <w:p w14:paraId="53B526CF" w14:textId="77777777" w:rsidR="00551C09" w:rsidRDefault="00551C09" w:rsidP="00551C09">
      <w:pPr>
        <w:pStyle w:val="NormalWeb"/>
      </w:pPr>
      <w:r>
        <w:rPr>
          <w:rFonts w:ascii="TimesNewRomanPSMT" w:hAnsi="TimesNewRomanPSMT"/>
        </w:rPr>
        <w:t xml:space="preserve">8. </w:t>
      </w:r>
      <w:proofErr w:type="spellStart"/>
      <w:r>
        <w:rPr>
          <w:rFonts w:ascii="TimesNewRomanPSMT" w:hAnsi="TimesNewRomanPSMT"/>
        </w:rPr>
        <w:t>Fonov</w:t>
      </w:r>
      <w:proofErr w:type="spellEnd"/>
      <w:r>
        <w:rPr>
          <w:rFonts w:ascii="TimesNewRomanPSMT" w:hAnsi="TimesNewRomanPSMT"/>
        </w:rPr>
        <w:t xml:space="preserve"> V, Evans A, McKinstry R, Almli C, Collins D (2009): Unbiased nonlinear average age- appropriate brain templates from birth to adulthood.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47: S102. </w:t>
      </w:r>
    </w:p>
    <w:p w14:paraId="679EC816" w14:textId="77777777" w:rsidR="00551C09" w:rsidRDefault="00551C09" w:rsidP="00551C09">
      <w:pPr>
        <w:pStyle w:val="NormalWeb"/>
      </w:pPr>
      <w:r>
        <w:rPr>
          <w:rFonts w:ascii="TimesNewRomanPSMT" w:hAnsi="TimesNewRomanPSMT"/>
        </w:rPr>
        <w:t xml:space="preserve">9. Evans AC, Janke AL, Collins DL, Baillet S (2012): Brain templates and atlases.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62: 911–922. </w:t>
      </w:r>
    </w:p>
    <w:p w14:paraId="516EDB9E" w14:textId="77777777" w:rsidR="00551C09" w:rsidRDefault="00551C09" w:rsidP="00551C09">
      <w:pPr>
        <w:pStyle w:val="NormalWeb"/>
      </w:pPr>
      <w:r>
        <w:rPr>
          <w:rFonts w:ascii="TimesNewRomanPSMT" w:hAnsi="TimesNewRomanPSMT"/>
        </w:rPr>
        <w:t xml:space="preserve">10. Jenkinson M, Bannister P, Brady M, Smith S (2002): Improved Optimization for the Robust and Accurate Linear Registration and Motion Correction of Brain Images.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17: 825–841. </w:t>
      </w:r>
    </w:p>
    <w:p w14:paraId="24EC1E42" w14:textId="77777777" w:rsidR="00551C09" w:rsidRDefault="00551C09" w:rsidP="00551C09">
      <w:pPr>
        <w:pStyle w:val="NormalWeb"/>
      </w:pPr>
      <w:r>
        <w:rPr>
          <w:rFonts w:ascii="TimesNewRomanPSMT" w:hAnsi="TimesNewRomanPSMT"/>
        </w:rPr>
        <w:t xml:space="preserve">11. Cox RW, Hyde JS (1997): Software tools for analysis and visualization of fMRI data. </w:t>
      </w:r>
      <w:r>
        <w:rPr>
          <w:rFonts w:ascii="TimesNewRomanPS" w:hAnsi="TimesNewRomanPS"/>
          <w:i/>
          <w:iCs/>
        </w:rPr>
        <w:t xml:space="preserve">NMR Biomed </w:t>
      </w:r>
      <w:r>
        <w:rPr>
          <w:rFonts w:ascii="TimesNewRomanPSMT" w:hAnsi="TimesNewRomanPSMT"/>
        </w:rPr>
        <w:t xml:space="preserve">10: 171–178. </w:t>
      </w:r>
    </w:p>
    <w:p w14:paraId="115185FF" w14:textId="77777777" w:rsidR="00551C09" w:rsidRDefault="00551C09" w:rsidP="00551C09">
      <w:pPr>
        <w:pStyle w:val="NormalWeb"/>
      </w:pPr>
      <w:r>
        <w:rPr>
          <w:rFonts w:ascii="TimesNewRomanPSMT" w:hAnsi="TimesNewRomanPSMT"/>
        </w:rPr>
        <w:t xml:space="preserve">12. Posse S, Wiese S, </w:t>
      </w:r>
      <w:proofErr w:type="spellStart"/>
      <w:r>
        <w:rPr>
          <w:rFonts w:ascii="TimesNewRomanPSMT" w:hAnsi="TimesNewRomanPSMT"/>
        </w:rPr>
        <w:t>Gembris</w:t>
      </w:r>
      <w:proofErr w:type="spellEnd"/>
      <w:r>
        <w:rPr>
          <w:rFonts w:ascii="TimesNewRomanPSMT" w:hAnsi="TimesNewRomanPSMT"/>
        </w:rPr>
        <w:t xml:space="preserve"> D, Mathiak K, Kessler C, Grosse-</w:t>
      </w:r>
      <w:proofErr w:type="spellStart"/>
      <w:r>
        <w:rPr>
          <w:rFonts w:ascii="TimesNewRomanPSMT" w:hAnsi="TimesNewRomanPSMT"/>
        </w:rPr>
        <w:t>Ruyken</w:t>
      </w:r>
      <w:proofErr w:type="spellEnd"/>
      <w:r>
        <w:rPr>
          <w:rFonts w:ascii="TimesNewRomanPSMT" w:hAnsi="TimesNewRomanPSMT"/>
        </w:rPr>
        <w:t xml:space="preserve"> M-L, </w:t>
      </w:r>
      <w:r>
        <w:rPr>
          <w:rFonts w:ascii="TimesNewRomanPS" w:hAnsi="TimesNewRomanPS"/>
          <w:i/>
          <w:iCs/>
        </w:rPr>
        <w:t xml:space="preserve">et al. </w:t>
      </w:r>
      <w:r>
        <w:rPr>
          <w:rFonts w:ascii="TimesNewRomanPSMT" w:hAnsi="TimesNewRomanPSMT"/>
        </w:rPr>
        <w:t xml:space="preserve">(1999): Enhancement of BOLD-contrast sensitivity by single-shot multi-echo functional MR imaging. </w:t>
      </w:r>
      <w:r>
        <w:rPr>
          <w:rFonts w:ascii="TimesNewRomanPS" w:hAnsi="TimesNewRomanPS"/>
          <w:i/>
          <w:iCs/>
        </w:rPr>
        <w:t xml:space="preserve">Magn </w:t>
      </w:r>
      <w:proofErr w:type="spellStart"/>
      <w:r>
        <w:rPr>
          <w:rFonts w:ascii="TimesNewRomanPS" w:hAnsi="TimesNewRomanPS"/>
          <w:i/>
          <w:iCs/>
        </w:rPr>
        <w:t>Reson</w:t>
      </w:r>
      <w:proofErr w:type="spellEnd"/>
      <w:r>
        <w:rPr>
          <w:rFonts w:ascii="TimesNewRomanPS" w:hAnsi="TimesNewRomanPS"/>
          <w:i/>
          <w:iCs/>
        </w:rPr>
        <w:t xml:space="preserve"> Med </w:t>
      </w:r>
      <w:r>
        <w:rPr>
          <w:rFonts w:ascii="TimesNewRomanPSMT" w:hAnsi="TimesNewRomanPSMT"/>
        </w:rPr>
        <w:t xml:space="preserve">42: 87–97. </w:t>
      </w:r>
    </w:p>
    <w:p w14:paraId="7F8E4E11" w14:textId="77777777" w:rsidR="00551C09" w:rsidRDefault="00551C09" w:rsidP="00551C09">
      <w:pPr>
        <w:pStyle w:val="NormalWeb"/>
      </w:pPr>
      <w:r>
        <w:rPr>
          <w:rFonts w:ascii="TimesNewRomanPSMT" w:hAnsi="TimesNewRomanPSMT"/>
        </w:rPr>
        <w:lastRenderedPageBreak/>
        <w:t xml:space="preserve">13. Greve DN, Fischl B (2009): Accurate and robust brain image alignment using boundary- based registration.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48: 63–72. </w:t>
      </w:r>
    </w:p>
    <w:p w14:paraId="1155D87E" w14:textId="77777777" w:rsidR="00551C09" w:rsidRDefault="00551C09" w:rsidP="00551C09">
      <w:pPr>
        <w:pStyle w:val="NormalWeb"/>
      </w:pPr>
      <w:r>
        <w:rPr>
          <w:rFonts w:ascii="TimesNewRomanPSMT" w:hAnsi="TimesNewRomanPSMT"/>
        </w:rPr>
        <w:t xml:space="preserve">14. Power JD, Mitra A, Laumann TO, Snyder AZ, </w:t>
      </w:r>
      <w:proofErr w:type="spellStart"/>
      <w:r>
        <w:rPr>
          <w:rFonts w:ascii="TimesNewRomanPSMT" w:hAnsi="TimesNewRomanPSMT"/>
        </w:rPr>
        <w:t>Schlaggar</w:t>
      </w:r>
      <w:proofErr w:type="spellEnd"/>
      <w:r>
        <w:rPr>
          <w:rFonts w:ascii="TimesNewRomanPSMT" w:hAnsi="TimesNewRomanPSMT"/>
        </w:rPr>
        <w:t xml:space="preserve"> BL, Petersen SE (2014): Methods to detect, characterize, and remove motion artifact in resting state fMRI. </w:t>
      </w:r>
      <w:proofErr w:type="spellStart"/>
      <w:r>
        <w:rPr>
          <w:rFonts w:ascii="TimesNewRomanPS" w:hAnsi="TimesNewRomanPS"/>
          <w:i/>
          <w:iCs/>
        </w:rPr>
        <w:t>NeuroImage</w:t>
      </w:r>
      <w:proofErr w:type="spellEnd"/>
      <w:r>
        <w:rPr>
          <w:rFonts w:ascii="TimesNewRomanPS" w:hAnsi="TimesNewRomanPS"/>
          <w:i/>
          <w:iCs/>
        </w:rPr>
        <w:t xml:space="preserve"> </w:t>
      </w:r>
      <w:r>
        <w:rPr>
          <w:rFonts w:ascii="TimesNewRomanPSMT" w:hAnsi="TimesNewRomanPSMT"/>
        </w:rPr>
        <w:t xml:space="preserve">84: 320–341. </w:t>
      </w:r>
    </w:p>
    <w:p w14:paraId="255F060F" w14:textId="77777777" w:rsidR="00551C09" w:rsidRDefault="00551C09" w:rsidP="00551C09">
      <w:pPr>
        <w:pStyle w:val="NormalWeb"/>
      </w:pPr>
      <w:r>
        <w:rPr>
          <w:rFonts w:ascii="TimesNewRomanPSMT" w:hAnsi="TimesNewRomanPSMT"/>
        </w:rPr>
        <w:t xml:space="preserve">15. Lanczos C (1964): Evaluation of Noisy Data. </w:t>
      </w:r>
      <w:r>
        <w:rPr>
          <w:rFonts w:ascii="TimesNewRomanPS" w:hAnsi="TimesNewRomanPS"/>
          <w:i/>
          <w:iCs/>
        </w:rPr>
        <w:t xml:space="preserve">J Soc Ind Appl Math Ser B </w:t>
      </w:r>
      <w:proofErr w:type="spellStart"/>
      <w:r>
        <w:rPr>
          <w:rFonts w:ascii="TimesNewRomanPS" w:hAnsi="TimesNewRomanPS"/>
          <w:i/>
          <w:iCs/>
        </w:rPr>
        <w:t>Numer</w:t>
      </w:r>
      <w:proofErr w:type="spellEnd"/>
      <w:r>
        <w:rPr>
          <w:rFonts w:ascii="TimesNewRomanPS" w:hAnsi="TimesNewRomanPS"/>
          <w:i/>
          <w:iCs/>
        </w:rPr>
        <w:t xml:space="preserve"> Anal </w:t>
      </w:r>
      <w:r>
        <w:rPr>
          <w:rFonts w:ascii="TimesNewRomanPSMT" w:hAnsi="TimesNewRomanPSMT"/>
        </w:rPr>
        <w:t xml:space="preserve">1: 76– 85. </w:t>
      </w:r>
    </w:p>
    <w:p w14:paraId="49782E56" w14:textId="77777777" w:rsidR="00551C09" w:rsidRDefault="00551C09" w:rsidP="00551C09">
      <w:pPr>
        <w:pStyle w:val="NormalWeb"/>
      </w:pPr>
      <w:r>
        <w:rPr>
          <w:rFonts w:ascii="TimesNewRomanPSMT" w:hAnsi="TimesNewRomanPSMT"/>
        </w:rPr>
        <w:t xml:space="preserve">16. Abraham A, Pedregosa F, </w:t>
      </w:r>
      <w:proofErr w:type="spellStart"/>
      <w:r>
        <w:rPr>
          <w:rFonts w:ascii="TimesNewRomanPSMT" w:hAnsi="TimesNewRomanPSMT"/>
        </w:rPr>
        <w:t>Eickenberg</w:t>
      </w:r>
      <w:proofErr w:type="spellEnd"/>
      <w:r>
        <w:rPr>
          <w:rFonts w:ascii="TimesNewRomanPSMT" w:hAnsi="TimesNewRomanPSMT"/>
        </w:rPr>
        <w:t xml:space="preserve"> M, Gervais P, Mueller A, </w:t>
      </w:r>
      <w:proofErr w:type="spellStart"/>
      <w:r>
        <w:rPr>
          <w:rFonts w:ascii="TimesNewRomanPSMT" w:hAnsi="TimesNewRomanPSMT"/>
        </w:rPr>
        <w:t>Kossaifi</w:t>
      </w:r>
      <w:proofErr w:type="spellEnd"/>
      <w:r>
        <w:rPr>
          <w:rFonts w:ascii="TimesNewRomanPSMT" w:hAnsi="TimesNewRomanPSMT"/>
        </w:rPr>
        <w:t xml:space="preserve"> J, </w:t>
      </w:r>
      <w:r>
        <w:rPr>
          <w:rFonts w:ascii="TimesNewRomanPS" w:hAnsi="TimesNewRomanPS"/>
          <w:i/>
          <w:iCs/>
        </w:rPr>
        <w:t xml:space="preserve">et al. </w:t>
      </w:r>
      <w:r>
        <w:rPr>
          <w:rFonts w:ascii="TimesNewRomanPSMT" w:hAnsi="TimesNewRomanPSMT"/>
        </w:rPr>
        <w:t xml:space="preserve">(2014): Machine learning for neuroimaging with scikit-learn. </w:t>
      </w:r>
      <w:r>
        <w:rPr>
          <w:rFonts w:ascii="TimesNewRomanPS" w:hAnsi="TimesNewRomanPS"/>
          <w:i/>
          <w:iCs/>
        </w:rPr>
        <w:t xml:space="preserve">Front Neuroinformatics </w:t>
      </w:r>
      <w:r>
        <w:rPr>
          <w:rFonts w:ascii="TimesNewRomanPSMT" w:hAnsi="TimesNewRomanPSMT"/>
        </w:rPr>
        <w:t xml:space="preserve">8. https://doi.org/10.3389/fninf.2014.00014 </w:t>
      </w:r>
    </w:p>
    <w:p w14:paraId="22967E9F" w14:textId="77777777" w:rsidR="00551C09" w:rsidRDefault="00551C09" w:rsidP="00551C09">
      <w:pPr>
        <w:pStyle w:val="NormalWeb"/>
        <w:rPr>
          <w:rFonts w:ascii="TimesNewRomanPSMT" w:hAnsi="TimesNewRomanPSMT"/>
        </w:rPr>
      </w:pPr>
    </w:p>
    <w:p w14:paraId="02846A63" w14:textId="77777777" w:rsidR="00551C09" w:rsidRDefault="00551C09" w:rsidP="00551C09">
      <w:pPr>
        <w:pStyle w:val="NormalWeb"/>
      </w:pPr>
    </w:p>
    <w:p w14:paraId="2CF21C87" w14:textId="77777777" w:rsidR="00551C09" w:rsidRDefault="00551C09" w:rsidP="00551C09"/>
    <w:p w14:paraId="681D2F79" w14:textId="77777777" w:rsidR="00BE71DD" w:rsidRDefault="00BE71DD" w:rsidP="00C01C09"/>
    <w:sectPr w:rsidR="00BE7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UISymbol">
    <w:altName w:val="Segoe UI"/>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09"/>
    <w:rsid w:val="001A28AB"/>
    <w:rsid w:val="001C4FAA"/>
    <w:rsid w:val="002025A9"/>
    <w:rsid w:val="00215BB7"/>
    <w:rsid w:val="0031214D"/>
    <w:rsid w:val="003D1320"/>
    <w:rsid w:val="0045234E"/>
    <w:rsid w:val="00461072"/>
    <w:rsid w:val="00467D3D"/>
    <w:rsid w:val="004815E3"/>
    <w:rsid w:val="005347C9"/>
    <w:rsid w:val="00551C09"/>
    <w:rsid w:val="00573AAE"/>
    <w:rsid w:val="00635067"/>
    <w:rsid w:val="006B3564"/>
    <w:rsid w:val="00715175"/>
    <w:rsid w:val="007A1399"/>
    <w:rsid w:val="007B050D"/>
    <w:rsid w:val="00870E41"/>
    <w:rsid w:val="00896F91"/>
    <w:rsid w:val="008C72BC"/>
    <w:rsid w:val="008E49E7"/>
    <w:rsid w:val="00916EA7"/>
    <w:rsid w:val="00921406"/>
    <w:rsid w:val="009516F5"/>
    <w:rsid w:val="00951BAB"/>
    <w:rsid w:val="009527A8"/>
    <w:rsid w:val="009C6B37"/>
    <w:rsid w:val="009D34BB"/>
    <w:rsid w:val="00A21E60"/>
    <w:rsid w:val="00A24005"/>
    <w:rsid w:val="00A87D8F"/>
    <w:rsid w:val="00AA1A09"/>
    <w:rsid w:val="00B03A84"/>
    <w:rsid w:val="00B47D7D"/>
    <w:rsid w:val="00B94FC1"/>
    <w:rsid w:val="00BA315D"/>
    <w:rsid w:val="00BA69FF"/>
    <w:rsid w:val="00BE71DD"/>
    <w:rsid w:val="00C01C09"/>
    <w:rsid w:val="00C11A9F"/>
    <w:rsid w:val="00C23716"/>
    <w:rsid w:val="00D200C6"/>
    <w:rsid w:val="00DA213D"/>
    <w:rsid w:val="00DC7E59"/>
    <w:rsid w:val="00DF41F2"/>
    <w:rsid w:val="00EC64BD"/>
    <w:rsid w:val="00F300F8"/>
    <w:rsid w:val="00F82969"/>
    <w:rsid w:val="00FA5FF0"/>
    <w:rsid w:val="00FB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FB7A2"/>
  <w15:chartTrackingRefBased/>
  <w15:docId w15:val="{B8F37F20-C74A-9F40-AD74-2948BF5A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0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51C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51C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51C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51C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51C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51C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51C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51C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51C0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09"/>
    <w:rPr>
      <w:rFonts w:eastAsiaTheme="majorEastAsia" w:cstheme="majorBidi"/>
      <w:color w:val="272727" w:themeColor="text1" w:themeTint="D8"/>
    </w:rPr>
  </w:style>
  <w:style w:type="paragraph" w:styleId="Title">
    <w:name w:val="Title"/>
    <w:basedOn w:val="Normal"/>
    <w:next w:val="Normal"/>
    <w:link w:val="TitleChar"/>
    <w:uiPriority w:val="10"/>
    <w:qFormat/>
    <w:rsid w:val="00551C0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5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C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5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0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51C09"/>
    <w:rPr>
      <w:i/>
      <w:iCs/>
      <w:color w:val="404040" w:themeColor="text1" w:themeTint="BF"/>
    </w:rPr>
  </w:style>
  <w:style w:type="paragraph" w:styleId="ListParagraph">
    <w:name w:val="List Paragraph"/>
    <w:basedOn w:val="Normal"/>
    <w:uiPriority w:val="34"/>
    <w:qFormat/>
    <w:rsid w:val="00551C0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51C09"/>
    <w:rPr>
      <w:i/>
      <w:iCs/>
      <w:color w:val="0F4761" w:themeColor="accent1" w:themeShade="BF"/>
    </w:rPr>
  </w:style>
  <w:style w:type="paragraph" w:styleId="IntenseQuote">
    <w:name w:val="Intense Quote"/>
    <w:basedOn w:val="Normal"/>
    <w:next w:val="Normal"/>
    <w:link w:val="IntenseQuoteChar"/>
    <w:uiPriority w:val="30"/>
    <w:qFormat/>
    <w:rsid w:val="00551C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51C09"/>
    <w:rPr>
      <w:i/>
      <w:iCs/>
      <w:color w:val="0F4761" w:themeColor="accent1" w:themeShade="BF"/>
    </w:rPr>
  </w:style>
  <w:style w:type="character" w:styleId="IntenseReference">
    <w:name w:val="Intense Reference"/>
    <w:basedOn w:val="DefaultParagraphFont"/>
    <w:uiPriority w:val="32"/>
    <w:qFormat/>
    <w:rsid w:val="00551C09"/>
    <w:rPr>
      <w:b/>
      <w:bCs/>
      <w:smallCaps/>
      <w:color w:val="0F4761" w:themeColor="accent1" w:themeShade="BF"/>
      <w:spacing w:val="5"/>
    </w:rPr>
  </w:style>
  <w:style w:type="paragraph" w:styleId="NormalWeb">
    <w:name w:val="Normal (Web)"/>
    <w:basedOn w:val="Normal"/>
    <w:uiPriority w:val="99"/>
    <w:semiHidden/>
    <w:unhideWhenUsed/>
    <w:rsid w:val="00551C0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Sadeghi, Neda (NIH/NIMH) [C]</dc:creator>
  <cp:keywords/>
  <dc:description/>
  <cp:lastModifiedBy>Sadeghi, Neda (NIH/NIMH) [C]</cp:lastModifiedBy>
  <cp:revision>3</cp:revision>
  <dcterms:created xsi:type="dcterms:W3CDTF">2025-03-22T21:45:00Z</dcterms:created>
  <dcterms:modified xsi:type="dcterms:W3CDTF">2026-02-24T21:20:00Z</dcterms:modified>
</cp:coreProperties>
</file>