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D9A5" w14:textId="73549891" w:rsidR="00AB0C98" w:rsidRDefault="00012015">
      <w:pPr>
        <w:rPr>
          <w:rFonts w:ascii="Times New Roman" w:eastAsia="Calibri" w:hAnsi="Times New Roman" w:cs="Times New Roman"/>
          <w:b/>
          <w:sz w:val="24"/>
          <w:szCs w:val="24"/>
        </w:rPr>
      </w:pPr>
      <w:r>
        <w:rPr>
          <w:rFonts w:ascii="Times New Roman" w:eastAsia="Calibri" w:hAnsi="Times New Roman" w:cs="Times New Roman"/>
          <w:b/>
          <w:sz w:val="24"/>
          <w:szCs w:val="24"/>
        </w:rPr>
        <w:t>S1</w:t>
      </w:r>
      <w:r w:rsidR="00B56E6A">
        <w:rPr>
          <w:rFonts w:ascii="Times New Roman" w:eastAsia="Calibri" w:hAnsi="Times New Roman" w:cs="Times New Roman"/>
          <w:b/>
          <w:sz w:val="24"/>
          <w:szCs w:val="24"/>
        </w:rPr>
        <w:t xml:space="preserve"> Table. </w:t>
      </w:r>
      <w:r w:rsidRPr="003A2388">
        <w:rPr>
          <w:rFonts w:ascii="Times New Roman" w:eastAsia="Calibri" w:hAnsi="Times New Roman" w:cs="Times New Roman"/>
          <w:bCs/>
          <w:sz w:val="24"/>
          <w:szCs w:val="24"/>
        </w:rPr>
        <w:t xml:space="preserve">Primers used for detection of ESBL, </w:t>
      </w:r>
      <w:proofErr w:type="spellStart"/>
      <w:r w:rsidRPr="003A2388">
        <w:rPr>
          <w:rFonts w:ascii="Times New Roman" w:eastAsia="Calibri" w:hAnsi="Times New Roman" w:cs="Times New Roman"/>
          <w:bCs/>
          <w:sz w:val="24"/>
          <w:szCs w:val="24"/>
        </w:rPr>
        <w:t>AmpC</w:t>
      </w:r>
      <w:proofErr w:type="spellEnd"/>
      <w:r w:rsidRPr="003A2388">
        <w:rPr>
          <w:rFonts w:ascii="Times New Roman" w:eastAsia="Calibri" w:hAnsi="Times New Roman" w:cs="Times New Roman"/>
          <w:bCs/>
          <w:sz w:val="24"/>
          <w:szCs w:val="24"/>
        </w:rPr>
        <w:t xml:space="preserve"> and </w:t>
      </w:r>
      <w:proofErr w:type="spellStart"/>
      <w:r w:rsidRPr="003A2388">
        <w:rPr>
          <w:rFonts w:ascii="Times New Roman" w:eastAsia="Calibri" w:hAnsi="Times New Roman" w:cs="Times New Roman"/>
          <w:bCs/>
          <w:sz w:val="24"/>
          <w:szCs w:val="24"/>
        </w:rPr>
        <w:t>carbapenemase</w:t>
      </w:r>
      <w:proofErr w:type="spellEnd"/>
      <w:r w:rsidRPr="003A2388">
        <w:rPr>
          <w:rFonts w:ascii="Times New Roman" w:eastAsia="Calibri" w:hAnsi="Times New Roman" w:cs="Times New Roman"/>
          <w:bCs/>
          <w:sz w:val="24"/>
          <w:szCs w:val="24"/>
        </w:rPr>
        <w:t>-encoding genes</w:t>
      </w:r>
    </w:p>
    <w:tbl>
      <w:tblPr>
        <w:tblStyle w:val="Ombrageclair1"/>
        <w:tblpPr w:leftFromText="180" w:rightFromText="180" w:vertAnchor="text" w:horzAnchor="margin" w:tblpXSpec="center" w:tblpY="21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3686"/>
        <w:gridCol w:w="1701"/>
        <w:gridCol w:w="1417"/>
        <w:gridCol w:w="1276"/>
      </w:tblGrid>
      <w:tr w:rsidR="00B56E6A" w:rsidRPr="00B56E6A" w14:paraId="4E460AE4" w14:textId="77777777" w:rsidTr="00430D4D">
        <w:trPr>
          <w:cnfStyle w:val="100000000000" w:firstRow="1" w:lastRow="0" w:firstColumn="0" w:lastColumn="0" w:oddVBand="0" w:evenVBand="0" w:oddHBand="0"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shd w:val="clear" w:color="auto" w:fill="FFFFFF"/>
          </w:tcPr>
          <w:p w14:paraId="742441C2" w14:textId="77777777" w:rsidR="00B56E6A" w:rsidRPr="00B56E6A" w:rsidRDefault="00B56E6A" w:rsidP="00B56E6A">
            <w:pPr>
              <w:spacing w:after="160"/>
              <w:jc w:val="both"/>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Gene category</w:t>
            </w:r>
          </w:p>
        </w:tc>
        <w:tc>
          <w:tcPr>
            <w:tcW w:w="1276" w:type="dxa"/>
            <w:tcBorders>
              <w:top w:val="none" w:sz="0" w:space="0" w:color="auto"/>
              <w:left w:val="none" w:sz="0" w:space="0" w:color="auto"/>
              <w:bottom w:val="none" w:sz="0" w:space="0" w:color="auto"/>
              <w:right w:val="none" w:sz="0" w:space="0" w:color="auto"/>
            </w:tcBorders>
            <w:shd w:val="clear" w:color="auto" w:fill="FFFFFF"/>
          </w:tcPr>
          <w:p w14:paraId="2DFB941B" w14:textId="77777777" w:rsidR="00B56E6A" w:rsidRPr="00B56E6A" w:rsidRDefault="00B56E6A" w:rsidP="00B56E6A">
            <w:pPr>
              <w:spacing w:after="16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Primers</w:t>
            </w:r>
          </w:p>
        </w:tc>
        <w:tc>
          <w:tcPr>
            <w:tcW w:w="3686" w:type="dxa"/>
            <w:tcBorders>
              <w:top w:val="none" w:sz="0" w:space="0" w:color="auto"/>
              <w:left w:val="none" w:sz="0" w:space="0" w:color="auto"/>
              <w:bottom w:val="none" w:sz="0" w:space="0" w:color="auto"/>
              <w:right w:val="none" w:sz="0" w:space="0" w:color="auto"/>
            </w:tcBorders>
            <w:shd w:val="clear" w:color="auto" w:fill="FFFFFF"/>
          </w:tcPr>
          <w:p w14:paraId="276DA78D" w14:textId="77777777" w:rsidR="00B56E6A" w:rsidRPr="00B56E6A" w:rsidRDefault="00B56E6A" w:rsidP="00B56E6A">
            <w:pPr>
              <w:spacing w:after="16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Nucleotide sequence (5’</w:t>
            </w:r>
            <w:r w:rsidRPr="00B56E6A">
              <w:rPr>
                <w:rFonts w:ascii="Times New Roman" w:eastAsia="Calibri" w:hAnsi="Times New Roman" w:cs="Times New Roman"/>
                <w:color w:val="auto"/>
                <w:sz w:val="24"/>
                <w:szCs w:val="24"/>
              </w:rPr>
              <w:sym w:font="Wingdings" w:char="F0E0"/>
            </w:r>
            <w:r w:rsidRPr="00B56E6A">
              <w:rPr>
                <w:rFonts w:ascii="Times New Roman" w:eastAsia="Calibri" w:hAnsi="Times New Roman" w:cs="Times New Roman"/>
                <w:color w:val="auto"/>
                <w:sz w:val="24"/>
                <w:szCs w:val="24"/>
              </w:rPr>
              <w:t xml:space="preserve"> 3’)</w:t>
            </w:r>
          </w:p>
        </w:tc>
        <w:tc>
          <w:tcPr>
            <w:tcW w:w="1701" w:type="dxa"/>
            <w:tcBorders>
              <w:top w:val="none" w:sz="0" w:space="0" w:color="auto"/>
              <w:left w:val="none" w:sz="0" w:space="0" w:color="auto"/>
              <w:bottom w:val="none" w:sz="0" w:space="0" w:color="auto"/>
              <w:right w:val="none" w:sz="0" w:space="0" w:color="auto"/>
            </w:tcBorders>
            <w:shd w:val="clear" w:color="auto" w:fill="FFFFFF"/>
          </w:tcPr>
          <w:p w14:paraId="34C19A99" w14:textId="77777777" w:rsidR="00B56E6A" w:rsidRPr="00B56E6A" w:rsidRDefault="00B56E6A" w:rsidP="00B56E6A">
            <w:pPr>
              <w:spacing w:after="16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 GenBank n°</w:t>
            </w:r>
          </w:p>
        </w:tc>
        <w:tc>
          <w:tcPr>
            <w:tcW w:w="1417" w:type="dxa"/>
            <w:tcBorders>
              <w:top w:val="none" w:sz="0" w:space="0" w:color="auto"/>
              <w:left w:val="none" w:sz="0" w:space="0" w:color="auto"/>
              <w:bottom w:val="none" w:sz="0" w:space="0" w:color="auto"/>
              <w:right w:val="none" w:sz="0" w:space="0" w:color="auto"/>
            </w:tcBorders>
            <w:shd w:val="clear" w:color="auto" w:fill="FFFFFF"/>
          </w:tcPr>
          <w:p w14:paraId="0254B946" w14:textId="77777777" w:rsidR="00B56E6A" w:rsidRPr="00B56E6A" w:rsidRDefault="00B56E6A" w:rsidP="00B56E6A">
            <w:pPr>
              <w:spacing w:after="16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Product size (bp) </w:t>
            </w:r>
          </w:p>
        </w:tc>
        <w:tc>
          <w:tcPr>
            <w:tcW w:w="1276" w:type="dxa"/>
            <w:tcBorders>
              <w:top w:val="none" w:sz="0" w:space="0" w:color="auto"/>
              <w:left w:val="none" w:sz="0" w:space="0" w:color="auto"/>
              <w:bottom w:val="none" w:sz="0" w:space="0" w:color="auto"/>
              <w:right w:val="none" w:sz="0" w:space="0" w:color="auto"/>
            </w:tcBorders>
            <w:shd w:val="clear" w:color="auto" w:fill="FFFFFF"/>
          </w:tcPr>
          <w:p w14:paraId="0754762B" w14:textId="77777777" w:rsidR="00B56E6A" w:rsidRPr="00B56E6A" w:rsidRDefault="00B56E6A" w:rsidP="00B56E6A">
            <w:pPr>
              <w:spacing w:after="16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Reference</w:t>
            </w:r>
          </w:p>
        </w:tc>
      </w:tr>
      <w:tr w:rsidR="00B56E6A" w:rsidRPr="00B56E6A" w14:paraId="3778D7B0" w14:textId="77777777" w:rsidTr="00430D4D">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134" w:type="dxa"/>
            <w:vMerge w:val="restart"/>
            <w:tcBorders>
              <w:left w:val="none" w:sz="0" w:space="0" w:color="auto"/>
              <w:right w:val="none" w:sz="0" w:space="0" w:color="auto"/>
            </w:tcBorders>
            <w:shd w:val="clear" w:color="auto" w:fill="FFFFFF"/>
          </w:tcPr>
          <w:p w14:paraId="701CB14C" w14:textId="77777777" w:rsidR="00B56E6A" w:rsidRPr="00B56E6A" w:rsidRDefault="00B56E6A" w:rsidP="00B56E6A">
            <w:pPr>
              <w:spacing w:after="160"/>
              <w:jc w:val="both"/>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ESBL</w:t>
            </w:r>
          </w:p>
        </w:tc>
        <w:tc>
          <w:tcPr>
            <w:tcW w:w="1276" w:type="dxa"/>
            <w:tcBorders>
              <w:left w:val="none" w:sz="0" w:space="0" w:color="auto"/>
              <w:right w:val="none" w:sz="0" w:space="0" w:color="auto"/>
            </w:tcBorders>
            <w:shd w:val="clear" w:color="auto" w:fill="FFFFFF"/>
          </w:tcPr>
          <w:p w14:paraId="17CA916B"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CTX-M-F CTX-M-R </w:t>
            </w:r>
          </w:p>
        </w:tc>
        <w:tc>
          <w:tcPr>
            <w:tcW w:w="3686" w:type="dxa"/>
            <w:tcBorders>
              <w:left w:val="none" w:sz="0" w:space="0" w:color="auto"/>
              <w:right w:val="none" w:sz="0" w:space="0" w:color="auto"/>
            </w:tcBorders>
            <w:shd w:val="clear" w:color="auto" w:fill="FFFFFF"/>
          </w:tcPr>
          <w:p w14:paraId="5139836C"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CGCTGTTGTTAGGAAGTGTG</w:t>
            </w:r>
          </w:p>
          <w:p w14:paraId="2673A000"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GGCTGGGTGAAGTAAGTGAC </w:t>
            </w:r>
          </w:p>
        </w:tc>
        <w:tc>
          <w:tcPr>
            <w:tcW w:w="1701" w:type="dxa"/>
            <w:tcBorders>
              <w:left w:val="none" w:sz="0" w:space="0" w:color="auto"/>
              <w:right w:val="none" w:sz="0" w:space="0" w:color="auto"/>
            </w:tcBorders>
            <w:shd w:val="clear" w:color="auto" w:fill="FFFFFF"/>
          </w:tcPr>
          <w:p w14:paraId="3CCDEAB4"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DQ303459</w:t>
            </w:r>
          </w:p>
        </w:tc>
        <w:tc>
          <w:tcPr>
            <w:tcW w:w="1417" w:type="dxa"/>
            <w:tcBorders>
              <w:left w:val="none" w:sz="0" w:space="0" w:color="auto"/>
              <w:right w:val="none" w:sz="0" w:space="0" w:color="auto"/>
            </w:tcBorders>
            <w:shd w:val="clear" w:color="auto" w:fill="FFFFFF"/>
          </w:tcPr>
          <w:p w14:paraId="42B1D8E7"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754 </w:t>
            </w:r>
          </w:p>
          <w:p w14:paraId="3BDAE3C5"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p>
        </w:tc>
        <w:tc>
          <w:tcPr>
            <w:tcW w:w="1276" w:type="dxa"/>
            <w:tcBorders>
              <w:left w:val="none" w:sz="0" w:space="0" w:color="auto"/>
              <w:right w:val="none" w:sz="0" w:space="0" w:color="auto"/>
            </w:tcBorders>
            <w:shd w:val="clear" w:color="auto" w:fill="FFFFFF"/>
          </w:tcPr>
          <w:p w14:paraId="5760CBD7" w14:textId="0CC116EA"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sz w:val="24"/>
                <w:szCs w:val="24"/>
                <w14:ligatures w14:val="none"/>
              </w:rPr>
              <w:fldChar w:fldCharType="begin" w:fldLock="1"/>
            </w:r>
            <w:r w:rsidR="002C3702">
              <w:rPr>
                <w:rFonts w:ascii="Times New Roman" w:eastAsia="Calibri" w:hAnsi="Times New Roman" w:cs="Times New Roman"/>
                <w:color w:val="auto"/>
                <w:sz w:val="24"/>
                <w:szCs w:val="24"/>
              </w:rPr>
              <w:instrText>ADDIN CSL_CITATION {"citationItems":[{"id":"ITEM-1","itemData":{"DOI":"10.2147/IDR.S349566","ISSN":"11786973","abstract":"Background: Production of Extended spectrum beta-lactamase (ESBL) and Carbapenemase is the most common strategy for drug resistance in clinical isolates of Enterobacteriaceae. This study was conducted to determine the magnitude of ESBL and Carbapenemase production (CPE) among clinical isolates of Enterobacteriaceae causing bloodstream infections (BSI) in Ethiopia. Methods: A cross-sectional study was performed from September 2018 to January 2019 in Ethiopia. A total of 2397 BSI suspected patients were enrolled and blood culture was performed using a BacT/Alert instrument in combination with conventional methods for identification. After antimicrobial susceptibility test, phenotypic confirmation of ESBLs was done by combined disc-diffusion. Meanwhile carbapenemase production was done by modified carbapenem inactivation method. Multiplex PCR was conducted to detect the presence of blaCTX-M,blaSHV, blaTEM, blaKPC and blaNDM genes. Results: A total of 104 (4.3%) Enterobacteriaceae were isolated from 2397 BSI suspected patients. Klebsiella pneumoniae (55/104, 52%) was the predominant isolate followed by E. coli, (19.2%, 20/104) and K.oxytoca (17.3%, 18/104). ESBL and carbapenemase production were observed from 70 (67.3%, 57.4 −76.2% at 95% CI) and 8 (7.7%, 3.4–14.6% at 95% CI) isolates respectively. The highest frequency of ESBL and carbapenemase production was observed in K. pneumoniae 78.2% (43/55) and 9.1% (5/55), respectively. All the 70 isolates confirmed as ESBL producers harbored at least one of the ESBL genes and the majority of them carried multiple beta-lactamase genes (84.3%), where blaCTX-M, type was the most predominant (67.3%). Similarly, the entire eight isolates positive for carbapenemase carried blaNDM but none of them carried blaKPC. Conclusion: In our study, the rate of ESBL production among BSI-causing Enterobacteriaceae was alarming and most of the isolates carried multiple types of ESBL genes. A significant magnitude of CPE isolates causing BSI was recorded.","author":[{"dropping-particle":"","family":"Seman","given":"Aminu","non-dropping-particle":"","parse-names":false,"suffix":""},{"dropping-particle":"","family":"Mihret","given":"Adane","non-dropping-particle":"","parse-names":false,"suffix":""},{"dropping-particle":"","family":"Sebre","given":"Shemse","non-dropping-particle":"","parse-names":false,"suffix":""},{"dropping-particle":"","family":"Awoke","given":"Tewachew","non-dropping-particle":"","parse-names":false,"suffix":""},{"dropping-particle":"","family":"Yitayew","given":"Berhanu","non-dropping-particle":"","parse-names":false,"suffix":""},{"dropping-particle":"","family":"Aseffa","given":"Abraham","non-dropping-particle":"","parse-names":false,"suffix":""},{"dropping-particle":"","family":"Asrat","given":"Daniel","non-dropping-particle":"","parse-names":false,"suffix":""},{"dropping-particle":"","family":"Abebe","given":"Tamrat","non-dropping-particle":"","parse-names":false,"suffix":""},{"dropping-particle":"","family":"Yeshitela","given":"Biruk","non-dropping-particle":"","parse-names":false,"suffix":""}],"container-title":"Infection and Drug Resistance","id":"ITEM-1","issue":"March","issued":{"date-parts":[["2022"]]},"page":"1367-1382","title":"Prevalence and Molecular Characterization of Extended Spectrum β-Lactamase and Carbapenemase-Producing Enterobacteriaceae Isolates from Bloodstream Infection Suspected Patients in Addis Ababa, Ethiopia","type":"article-journal","volume":"15"},"uris":["http://www.mendeley.com/documents/?uuid=f87857a8-4e4b-41e9-8d5c-f29d9f74d101"]}],"mendeley":{"formattedCitation":"[1]","plainTextFormattedCitation":"[1]","previouslyFormattedCitation":"[17]"},"properties":{"noteIndex":0},"schema":"https://github.com/citation-style-language/schema/raw/master/csl-citation.json"}</w:instrText>
            </w:r>
            <w:r w:rsidRPr="00B56E6A">
              <w:rPr>
                <w:rFonts w:ascii="Times New Roman" w:eastAsia="Calibri" w:hAnsi="Times New Roman" w:cs="Times New Roman"/>
                <w:sz w:val="24"/>
                <w:szCs w:val="24"/>
                <w14:ligatures w14:val="none"/>
              </w:rPr>
              <w:fldChar w:fldCharType="separate"/>
            </w:r>
            <w:r w:rsidR="002C3702" w:rsidRPr="002C3702">
              <w:rPr>
                <w:rFonts w:ascii="Times New Roman" w:eastAsia="Calibri" w:hAnsi="Times New Roman" w:cs="Times New Roman"/>
                <w:noProof/>
                <w:color w:val="auto"/>
                <w:sz w:val="24"/>
                <w:szCs w:val="24"/>
              </w:rPr>
              <w:t>[1]</w:t>
            </w:r>
            <w:r w:rsidRPr="00B56E6A">
              <w:rPr>
                <w:rFonts w:ascii="Times New Roman" w:eastAsia="Calibri" w:hAnsi="Times New Roman" w:cs="Times New Roman"/>
                <w:sz w:val="24"/>
                <w:szCs w:val="24"/>
                <w14:ligatures w14:val="none"/>
              </w:rPr>
              <w:fldChar w:fldCharType="end"/>
            </w:r>
          </w:p>
        </w:tc>
      </w:tr>
      <w:tr w:rsidR="00B56E6A" w:rsidRPr="00B56E6A" w14:paraId="515ED529" w14:textId="77777777" w:rsidTr="00430D4D">
        <w:trPr>
          <w:trHeight w:val="147"/>
        </w:trPr>
        <w:tc>
          <w:tcPr>
            <w:cnfStyle w:val="001000000000" w:firstRow="0" w:lastRow="0" w:firstColumn="1" w:lastColumn="0" w:oddVBand="0" w:evenVBand="0" w:oddHBand="0" w:evenHBand="0" w:firstRowFirstColumn="0" w:firstRowLastColumn="0" w:lastRowFirstColumn="0" w:lastRowLastColumn="0"/>
            <w:tcW w:w="1134" w:type="dxa"/>
            <w:vMerge/>
          </w:tcPr>
          <w:p w14:paraId="31F759F3" w14:textId="77777777" w:rsidR="00B56E6A" w:rsidRPr="00B56E6A" w:rsidRDefault="00B56E6A" w:rsidP="00B56E6A">
            <w:pPr>
              <w:spacing w:after="160"/>
              <w:jc w:val="both"/>
              <w:rPr>
                <w:rFonts w:ascii="Times New Roman" w:eastAsia="Calibri" w:hAnsi="Times New Roman" w:cs="Times New Roman"/>
                <w:color w:val="auto"/>
                <w:sz w:val="24"/>
                <w:szCs w:val="24"/>
              </w:rPr>
            </w:pPr>
          </w:p>
        </w:tc>
        <w:tc>
          <w:tcPr>
            <w:tcW w:w="1276" w:type="dxa"/>
          </w:tcPr>
          <w:p w14:paraId="79427F0A"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SHV-F </w:t>
            </w:r>
          </w:p>
          <w:p w14:paraId="07109294"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SHV-R </w:t>
            </w:r>
          </w:p>
        </w:tc>
        <w:tc>
          <w:tcPr>
            <w:tcW w:w="3686" w:type="dxa"/>
          </w:tcPr>
          <w:p w14:paraId="21D3F9A1"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CGCCTGTGTATTATCTCCCT CGAGTAGTCCACCAGATCCT </w:t>
            </w:r>
          </w:p>
        </w:tc>
        <w:tc>
          <w:tcPr>
            <w:tcW w:w="1701" w:type="dxa"/>
          </w:tcPr>
          <w:p w14:paraId="5C1C625D"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EF125011</w:t>
            </w:r>
          </w:p>
        </w:tc>
        <w:tc>
          <w:tcPr>
            <w:tcW w:w="1417" w:type="dxa"/>
          </w:tcPr>
          <w:p w14:paraId="47F67190"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293</w:t>
            </w:r>
          </w:p>
        </w:tc>
        <w:tc>
          <w:tcPr>
            <w:tcW w:w="1276" w:type="dxa"/>
          </w:tcPr>
          <w:p w14:paraId="546F6ABE" w14:textId="55B86BBB"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sz w:val="24"/>
                <w:szCs w:val="24"/>
                <w14:ligatures w14:val="none"/>
              </w:rPr>
              <w:fldChar w:fldCharType="begin" w:fldLock="1"/>
            </w:r>
            <w:r w:rsidR="002C3702">
              <w:rPr>
                <w:rFonts w:ascii="Times New Roman" w:eastAsia="Calibri" w:hAnsi="Times New Roman" w:cs="Times New Roman"/>
                <w:color w:val="auto"/>
                <w:sz w:val="24"/>
                <w:szCs w:val="24"/>
              </w:rPr>
              <w:instrText>ADDIN CSL_CITATION {"citationItems":[{"id":"ITEM-1","itemData":{"DOI":"10.2147/IDR.S349566","ISSN":"11786973","abstract":"Background: Production of Extended spectrum beta-lactamase (ESBL) and Carbapenemase is the most common strategy for drug resistance in clinical isolates of Enterobacteriaceae. This study was conducted to determine the magnitude of ESBL and Carbapenemase production (CPE) among clinical isolates of Enterobacteriaceae causing bloodstream infections (BSI) in Ethiopia. Methods: A cross-sectional study was performed from September 2018 to January 2019 in Ethiopia. A total of 2397 BSI suspected patients were enrolled and blood culture was performed using a BacT/Alert instrument in combination with conventional methods for identification. After antimicrobial susceptibility test, phenotypic confirmation of ESBLs was done by combined disc-diffusion. Meanwhile carbapenemase production was done by modified carbapenem inactivation method. Multiplex PCR was conducted to detect the presence of blaCTX-M,blaSHV, blaTEM, blaKPC and blaNDM genes. Results: A total of 104 (4.3%) Enterobacteriaceae were isolated from 2397 BSI suspected patients. Klebsiella pneumoniae (55/104, 52%) was the predominant isolate followed by E. coli, (19.2%, 20/104) and K.oxytoca (17.3%, 18/104). ESBL and carbapenemase production were observed from 70 (67.3%, 57.4 −76.2% at 95% CI) and 8 (7.7%, 3.4–14.6% at 95% CI) isolates respectively. The highest frequency of ESBL and carbapenemase production was observed in K. pneumoniae 78.2% (43/55) and 9.1% (5/55), respectively. All the 70 isolates confirmed as ESBL producers harbored at least one of the ESBL genes and the majority of them carried multiple beta-lactamase genes (84.3%), where blaCTX-M, type was the most predominant (67.3%). Similarly, the entire eight isolates positive for carbapenemase carried blaNDM but none of them carried blaKPC. Conclusion: In our study, the rate of ESBL production among BSI-causing Enterobacteriaceae was alarming and most of the isolates carried multiple types of ESBL genes. A significant magnitude of CPE isolates causing BSI was recorded.","author":[{"dropping-particle":"","family":"Seman","given":"Aminu","non-dropping-particle":"","parse-names":false,"suffix":""},{"dropping-particle":"","family":"Mihret","given":"Adane","non-dropping-particle":"","parse-names":false,"suffix":""},{"dropping-particle":"","family":"Sebre","given":"Shemse","non-dropping-particle":"","parse-names":false,"suffix":""},{"dropping-particle":"","family":"Awoke","given":"Tewachew","non-dropping-particle":"","parse-names":false,"suffix":""},{"dropping-particle":"","family":"Yitayew","given":"Berhanu","non-dropping-particle":"","parse-names":false,"suffix":""},{"dropping-particle":"","family":"Aseffa","given":"Abraham","non-dropping-particle":"","parse-names":false,"suffix":""},{"dropping-particle":"","family":"Asrat","given":"Daniel","non-dropping-particle":"","parse-names":false,"suffix":""},{"dropping-particle":"","family":"Abebe","given":"Tamrat","non-dropping-particle":"","parse-names":false,"suffix":""},{"dropping-particle":"","family":"Yeshitela","given":"Biruk","non-dropping-particle":"","parse-names":false,"suffix":""}],"container-title":"Infection and Drug Resistance","id":"ITEM-1","issue":"March","issued":{"date-parts":[["2022"]]},"page":"1367-1382","title":"Prevalence and Molecular Characterization of Extended Spectrum β-Lactamase and Carbapenemase-Producing Enterobacteriaceae Isolates from Bloodstream Infection Suspected Patients in Addis Ababa, Ethiopia","type":"article-journal","volume":"15"},"uris":["http://www.mendeley.com/documents/?uuid=f87857a8-4e4b-41e9-8d5c-f29d9f74d101"]}],"mendeley":{"formattedCitation":"[1]","plainTextFormattedCitation":"[1]","previouslyFormattedCitation":"[17]"},"properties":{"noteIndex":0},"schema":"https://github.com/citation-style-language/schema/raw/master/csl-citation.json"}</w:instrText>
            </w:r>
            <w:r w:rsidRPr="00B56E6A">
              <w:rPr>
                <w:rFonts w:ascii="Times New Roman" w:eastAsia="Calibri" w:hAnsi="Times New Roman" w:cs="Times New Roman"/>
                <w:sz w:val="24"/>
                <w:szCs w:val="24"/>
                <w14:ligatures w14:val="none"/>
              </w:rPr>
              <w:fldChar w:fldCharType="separate"/>
            </w:r>
            <w:r w:rsidR="002C3702" w:rsidRPr="002C3702">
              <w:rPr>
                <w:rFonts w:ascii="Times New Roman" w:eastAsia="Calibri" w:hAnsi="Times New Roman" w:cs="Times New Roman"/>
                <w:noProof/>
                <w:color w:val="auto"/>
                <w:sz w:val="24"/>
                <w:szCs w:val="24"/>
              </w:rPr>
              <w:t>[1]</w:t>
            </w:r>
            <w:r w:rsidRPr="00B56E6A">
              <w:rPr>
                <w:rFonts w:ascii="Times New Roman" w:eastAsia="Calibri" w:hAnsi="Times New Roman" w:cs="Times New Roman"/>
                <w:sz w:val="24"/>
                <w:szCs w:val="24"/>
                <w14:ligatures w14:val="none"/>
              </w:rPr>
              <w:fldChar w:fldCharType="end"/>
            </w:r>
          </w:p>
        </w:tc>
      </w:tr>
      <w:tr w:rsidR="00B56E6A" w:rsidRPr="00B56E6A" w14:paraId="4A268A3A" w14:textId="77777777" w:rsidTr="00430D4D">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134" w:type="dxa"/>
            <w:vMerge/>
            <w:tcBorders>
              <w:left w:val="none" w:sz="0" w:space="0" w:color="auto"/>
              <w:right w:val="none" w:sz="0" w:space="0" w:color="auto"/>
            </w:tcBorders>
            <w:shd w:val="clear" w:color="auto" w:fill="auto"/>
          </w:tcPr>
          <w:p w14:paraId="3E247371" w14:textId="77777777" w:rsidR="00B56E6A" w:rsidRPr="00B56E6A" w:rsidRDefault="00B56E6A" w:rsidP="00B56E6A">
            <w:pPr>
              <w:spacing w:after="160"/>
              <w:jc w:val="both"/>
              <w:rPr>
                <w:rFonts w:ascii="Times New Roman" w:eastAsia="Calibri" w:hAnsi="Times New Roman" w:cs="Times New Roman"/>
                <w:color w:val="auto"/>
                <w:sz w:val="24"/>
                <w:szCs w:val="24"/>
              </w:rPr>
            </w:pPr>
          </w:p>
        </w:tc>
        <w:tc>
          <w:tcPr>
            <w:tcW w:w="1276" w:type="dxa"/>
            <w:tcBorders>
              <w:left w:val="none" w:sz="0" w:space="0" w:color="auto"/>
              <w:right w:val="none" w:sz="0" w:space="0" w:color="auto"/>
            </w:tcBorders>
            <w:shd w:val="clear" w:color="auto" w:fill="auto"/>
          </w:tcPr>
          <w:p w14:paraId="176D7EF5"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TEM-F TEM-R </w:t>
            </w:r>
          </w:p>
        </w:tc>
        <w:tc>
          <w:tcPr>
            <w:tcW w:w="3686" w:type="dxa"/>
            <w:tcBorders>
              <w:left w:val="none" w:sz="0" w:space="0" w:color="auto"/>
              <w:right w:val="none" w:sz="0" w:space="0" w:color="auto"/>
            </w:tcBorders>
            <w:shd w:val="clear" w:color="auto" w:fill="auto"/>
          </w:tcPr>
          <w:p w14:paraId="5EAC4CBA"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TTTCGTGTCGCCCTTATTCC ATCGTTGTCAGAAGTAAGTTGG </w:t>
            </w:r>
          </w:p>
        </w:tc>
        <w:tc>
          <w:tcPr>
            <w:tcW w:w="1701" w:type="dxa"/>
            <w:tcBorders>
              <w:left w:val="none" w:sz="0" w:space="0" w:color="auto"/>
              <w:right w:val="none" w:sz="0" w:space="0" w:color="auto"/>
            </w:tcBorders>
            <w:shd w:val="clear" w:color="auto" w:fill="auto"/>
          </w:tcPr>
          <w:p w14:paraId="13085F9A"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AB282997</w:t>
            </w:r>
          </w:p>
        </w:tc>
        <w:tc>
          <w:tcPr>
            <w:tcW w:w="1417" w:type="dxa"/>
            <w:tcBorders>
              <w:left w:val="none" w:sz="0" w:space="0" w:color="auto"/>
              <w:right w:val="none" w:sz="0" w:space="0" w:color="auto"/>
            </w:tcBorders>
            <w:shd w:val="clear" w:color="auto" w:fill="auto"/>
          </w:tcPr>
          <w:p w14:paraId="43485D3A"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403</w:t>
            </w:r>
          </w:p>
        </w:tc>
        <w:tc>
          <w:tcPr>
            <w:tcW w:w="1276" w:type="dxa"/>
            <w:tcBorders>
              <w:left w:val="none" w:sz="0" w:space="0" w:color="auto"/>
              <w:right w:val="none" w:sz="0" w:space="0" w:color="auto"/>
            </w:tcBorders>
            <w:shd w:val="clear" w:color="auto" w:fill="auto"/>
          </w:tcPr>
          <w:p w14:paraId="4A2D6272" w14:textId="0CFCFA42"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sz w:val="24"/>
                <w:szCs w:val="24"/>
                <w14:ligatures w14:val="none"/>
              </w:rPr>
              <w:fldChar w:fldCharType="begin" w:fldLock="1"/>
            </w:r>
            <w:r w:rsidR="002C3702">
              <w:rPr>
                <w:rFonts w:ascii="Times New Roman" w:eastAsia="Calibri" w:hAnsi="Times New Roman" w:cs="Times New Roman"/>
                <w:color w:val="auto"/>
                <w:sz w:val="24"/>
                <w:szCs w:val="24"/>
              </w:rPr>
              <w:instrText>ADDIN CSL_CITATION {"citationItems":[{"id":"ITEM-1","itemData":{"DOI":"10.2147/IDR.S349566","ISSN":"11786973","abstract":"Background: Production of Extended spectrum beta-lactamase (ESBL) and Carbapenemase is the most common strategy for drug resistance in clinical isolates of Enterobacteriaceae. This study was conducted to determine the magnitude of ESBL and Carbapenemase production (CPE) among clinical isolates of Enterobacteriaceae causing bloodstream infections (BSI) in Ethiopia. Methods: A cross-sectional study was performed from September 2018 to January 2019 in Ethiopia. A total of 2397 BSI suspected patients were enrolled and blood culture was performed using a BacT/Alert instrument in combination with conventional methods for identification. After antimicrobial susceptibility test, phenotypic confirmation of ESBLs was done by combined disc-diffusion. Meanwhile carbapenemase production was done by modified carbapenem inactivation method. Multiplex PCR was conducted to detect the presence of blaCTX-M,blaSHV, blaTEM, blaKPC and blaNDM genes. Results: A total of 104 (4.3%) Enterobacteriaceae were isolated from 2397 BSI suspected patients. Klebsiella pneumoniae (55/104, 52%) was the predominant isolate followed by E. coli, (19.2%, 20/104) and K.oxytoca (17.3%, 18/104). ESBL and carbapenemase production were observed from 70 (67.3%, 57.4 −76.2% at 95% CI) and 8 (7.7%, 3.4–14.6% at 95% CI) isolates respectively. The highest frequency of ESBL and carbapenemase production was observed in K. pneumoniae 78.2% (43/55) and 9.1% (5/55), respectively. All the 70 isolates confirmed as ESBL producers harbored at least one of the ESBL genes and the majority of them carried multiple beta-lactamase genes (84.3%), where blaCTX-M, type was the most predominant (67.3%). Similarly, the entire eight isolates positive for carbapenemase carried blaNDM but none of them carried blaKPC. Conclusion: In our study, the rate of ESBL production among BSI-causing Enterobacteriaceae was alarming and most of the isolates carried multiple types of ESBL genes. A significant magnitude of CPE isolates causing BSI was recorded.","author":[{"dropping-particle":"","family":"Seman","given":"Aminu","non-dropping-particle":"","parse-names":false,"suffix":""},{"dropping-particle":"","family":"Mihret","given":"Adane","non-dropping-particle":"","parse-names":false,"suffix":""},{"dropping-particle":"","family":"Sebre","given":"Shemse","non-dropping-particle":"","parse-names":false,"suffix":""},{"dropping-particle":"","family":"Awoke","given":"Tewachew","non-dropping-particle":"","parse-names":false,"suffix":""},{"dropping-particle":"","family":"Yitayew","given":"Berhanu","non-dropping-particle":"","parse-names":false,"suffix":""},{"dropping-particle":"","family":"Aseffa","given":"Abraham","non-dropping-particle":"","parse-names":false,"suffix":""},{"dropping-particle":"","family":"Asrat","given":"Daniel","non-dropping-particle":"","parse-names":false,"suffix":""},{"dropping-particle":"","family":"Abebe","given":"Tamrat","non-dropping-particle":"","parse-names":false,"suffix":""},{"dropping-particle":"","family":"Yeshitela","given":"Biruk","non-dropping-particle":"","parse-names":false,"suffix":""}],"container-title":"Infection and Drug Resistance","id":"ITEM-1","issue":"March","issued":{"date-parts":[["2022"]]},"page":"1367-1382","title":"Prevalence and Molecular Characterization of Extended Spectrum β-Lactamase and Carbapenemase-Producing Enterobacteriaceae Isolates from Bloodstream Infection Suspected Patients in Addis Ababa, Ethiopia","type":"article-journal","volume":"15"},"uris":["http://www.mendeley.com/documents/?uuid=f87857a8-4e4b-41e9-8d5c-f29d9f74d101"]}],"mendeley":{"formattedCitation":"[1]","plainTextFormattedCitation":"[1]","previouslyFormattedCitation":"[17]"},"properties":{"noteIndex":0},"schema":"https://github.com/citation-style-language/schema/raw/master/csl-citation.json"}</w:instrText>
            </w:r>
            <w:r w:rsidRPr="00B56E6A">
              <w:rPr>
                <w:rFonts w:ascii="Times New Roman" w:eastAsia="Calibri" w:hAnsi="Times New Roman" w:cs="Times New Roman"/>
                <w:sz w:val="24"/>
                <w:szCs w:val="24"/>
                <w14:ligatures w14:val="none"/>
              </w:rPr>
              <w:fldChar w:fldCharType="separate"/>
            </w:r>
            <w:r w:rsidR="002C3702" w:rsidRPr="002C3702">
              <w:rPr>
                <w:rFonts w:ascii="Times New Roman" w:eastAsia="Calibri" w:hAnsi="Times New Roman" w:cs="Times New Roman"/>
                <w:noProof/>
                <w:color w:val="auto"/>
                <w:sz w:val="24"/>
                <w:szCs w:val="24"/>
              </w:rPr>
              <w:t>[1]</w:t>
            </w:r>
            <w:r w:rsidRPr="00B56E6A">
              <w:rPr>
                <w:rFonts w:ascii="Times New Roman" w:eastAsia="Calibri" w:hAnsi="Times New Roman" w:cs="Times New Roman"/>
                <w:sz w:val="24"/>
                <w:szCs w:val="24"/>
                <w14:ligatures w14:val="none"/>
              </w:rPr>
              <w:fldChar w:fldCharType="end"/>
            </w:r>
          </w:p>
        </w:tc>
      </w:tr>
      <w:tr w:rsidR="00B56E6A" w:rsidRPr="00B56E6A" w14:paraId="66225398" w14:textId="77777777" w:rsidTr="00430D4D">
        <w:trPr>
          <w:trHeight w:val="667"/>
        </w:trPr>
        <w:tc>
          <w:tcPr>
            <w:cnfStyle w:val="001000000000" w:firstRow="0" w:lastRow="0" w:firstColumn="1" w:lastColumn="0" w:oddVBand="0" w:evenVBand="0" w:oddHBand="0" w:evenHBand="0" w:firstRowFirstColumn="0" w:firstRowLastColumn="0" w:lastRowFirstColumn="0" w:lastRowLastColumn="0"/>
            <w:tcW w:w="1134" w:type="dxa"/>
            <w:vMerge w:val="restart"/>
          </w:tcPr>
          <w:p w14:paraId="4391B29B" w14:textId="77777777" w:rsidR="00B56E6A" w:rsidRPr="00B56E6A" w:rsidRDefault="00B56E6A" w:rsidP="00B56E6A">
            <w:pPr>
              <w:spacing w:after="160"/>
              <w:jc w:val="both"/>
              <w:rPr>
                <w:rFonts w:ascii="Times New Roman" w:eastAsia="Calibri" w:hAnsi="Times New Roman" w:cs="Times New Roman"/>
                <w:color w:val="auto"/>
                <w:sz w:val="24"/>
                <w:szCs w:val="24"/>
              </w:rPr>
            </w:pPr>
            <w:proofErr w:type="spellStart"/>
            <w:r w:rsidRPr="00B56E6A">
              <w:rPr>
                <w:rFonts w:ascii="Times New Roman" w:eastAsia="Calibri" w:hAnsi="Times New Roman" w:cs="Times New Roman"/>
                <w:color w:val="auto"/>
                <w:sz w:val="24"/>
                <w:szCs w:val="24"/>
              </w:rPr>
              <w:t>AmpC</w:t>
            </w:r>
            <w:proofErr w:type="spellEnd"/>
            <w:r w:rsidRPr="00B56E6A">
              <w:rPr>
                <w:rFonts w:ascii="Times New Roman" w:eastAsia="Calibri" w:hAnsi="Times New Roman" w:cs="Times New Roman"/>
                <w:color w:val="auto"/>
                <w:sz w:val="24"/>
                <w:szCs w:val="24"/>
              </w:rPr>
              <w:t>-β-lactamase</w:t>
            </w:r>
          </w:p>
        </w:tc>
        <w:tc>
          <w:tcPr>
            <w:tcW w:w="1276" w:type="dxa"/>
            <w:shd w:val="clear" w:color="auto" w:fill="auto"/>
          </w:tcPr>
          <w:p w14:paraId="477DAE7D"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DHA-F </w:t>
            </w:r>
          </w:p>
          <w:p w14:paraId="3B9BC482"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DHA-R </w:t>
            </w:r>
          </w:p>
        </w:tc>
        <w:tc>
          <w:tcPr>
            <w:tcW w:w="3686" w:type="dxa"/>
            <w:shd w:val="clear" w:color="auto" w:fill="auto"/>
          </w:tcPr>
          <w:p w14:paraId="61CE738F"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AACTTTCACAGGTGTGCTGGGT</w:t>
            </w:r>
          </w:p>
          <w:p w14:paraId="483427F7"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CCGTACGCATACTGGCTTTGC</w:t>
            </w:r>
          </w:p>
        </w:tc>
        <w:tc>
          <w:tcPr>
            <w:tcW w:w="1701" w:type="dxa"/>
            <w:shd w:val="clear" w:color="auto" w:fill="auto"/>
          </w:tcPr>
          <w:p w14:paraId="13EE019B"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   Y16410</w:t>
            </w:r>
          </w:p>
        </w:tc>
        <w:tc>
          <w:tcPr>
            <w:tcW w:w="1417" w:type="dxa"/>
            <w:shd w:val="clear" w:color="auto" w:fill="auto"/>
          </w:tcPr>
          <w:p w14:paraId="2CC046BD"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405</w:t>
            </w:r>
          </w:p>
        </w:tc>
        <w:tc>
          <w:tcPr>
            <w:tcW w:w="1276" w:type="dxa"/>
            <w:shd w:val="clear" w:color="auto" w:fill="auto"/>
          </w:tcPr>
          <w:p w14:paraId="676699AC" w14:textId="01E90DF3"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sz w:val="24"/>
                <w:szCs w:val="24"/>
                <w14:ligatures w14:val="none"/>
              </w:rPr>
              <w:fldChar w:fldCharType="begin" w:fldLock="1"/>
            </w:r>
            <w:r w:rsidR="002C3702">
              <w:rPr>
                <w:rFonts w:ascii="Times New Roman" w:eastAsia="Calibri" w:hAnsi="Times New Roman" w:cs="Times New Roman"/>
                <w:color w:val="auto"/>
                <w:sz w:val="24"/>
                <w:szCs w:val="24"/>
              </w:rPr>
              <w:instrText>ADDIN CSL_CITATION {"citationItems":[{"id":"ITEM-1","itemData":{"DOI":"10.1128/JCM.40.6.2153-2162.2002","ISSN":"00951137","PMID":"12037080","abstract":"Therapeutic options for infections caused by gram-negative organisms expressing plasmid-mediated AmpC β-lactamases are limited because these organisms are usually resistant to all the β-lactam antibiotics, except for cefepime, cefpirome, and the carbapenems. These organisms are a major concern in nosocomial infections and should therefore be monitored in surveillance studies. Six families of plasmid-mediated AmpC β-lactamases have been identified, but no phenotypic test can differentiate among them, a fact which creates problems for surveillance and epidemiology studies. This report describes the development of a multiplex PCR for the purpose of identifying family-specific AmpC β-lactamase genes within gram-negative pathogens. The PCR uses six sets of ampC-specific primers resulting in amplicons that range from 190 bp to 520 bp and that are easily distinguished by gel electrophoresis. ampC multiplex PCR differentiated the six plasmid-mediated ampC-specific families in organisms such as Klebsiella pneumoniae, Escherichia coli, Proteus mirabilis, and Salmonella enterica serovar Typhimurium. Family-specific primers did not amplify genes from the other families of ampC genes. Furthermore, this PCR-based assay differentiated multiple genes within one reaction. In addition, WAVE technology, a high-pressure liquid chromatography-based separation system, was used as a way of decreasing analysis time and increasing the sensitivity of multiple-gene assays. In conclusion, a multiplex PCR technique was developed for identifying family-specific ampC genes responsible for AmpC β-lactamase expression in organisms with or without a chromosomal AmpC β-lactamase gene.","author":[{"dropping-particle":"","family":"Pérez-Pérez","given":"F. Javier","non-dropping-particle":"","parse-names":false,"suffix":""},{"dropping-particle":"","family":"Hanson","given":"Nancy D.","non-dropping-particle":"","parse-names":false,"suffix":""}],"container-title":"Journal of Clinical Microbiology","id":"ITEM-1","issue":"6","issued":{"date-parts":[["2002"]]},"page":"2153-2162","title":"Detection of plasmid-mediated AmpC β-lactamase genes in clinical isolates by using multiplex PCR","type":"article-journal","volume":"40"},"uris":["http://www.mendeley.com/documents/?uuid=9f9b579e-b74c-42dc-927a-411215eb8ab9"]}],"mendeley":{"formattedCitation":"[2]","plainTextFormattedCitation":"[2]","previouslyFormattedCitation":"[18]"},"properties":{"noteIndex":0},"schema":"https://github.com/citation-style-language/schema/raw/master/csl-citation.json"}</w:instrText>
            </w:r>
            <w:r w:rsidRPr="00B56E6A">
              <w:rPr>
                <w:rFonts w:ascii="Times New Roman" w:eastAsia="Calibri" w:hAnsi="Times New Roman" w:cs="Times New Roman"/>
                <w:sz w:val="24"/>
                <w:szCs w:val="24"/>
                <w14:ligatures w14:val="none"/>
              </w:rPr>
              <w:fldChar w:fldCharType="separate"/>
            </w:r>
            <w:r w:rsidR="002C3702" w:rsidRPr="002C3702">
              <w:rPr>
                <w:rFonts w:ascii="Times New Roman" w:eastAsia="Calibri" w:hAnsi="Times New Roman" w:cs="Times New Roman"/>
                <w:noProof/>
                <w:color w:val="auto"/>
                <w:sz w:val="24"/>
                <w:szCs w:val="24"/>
              </w:rPr>
              <w:t>[2]</w:t>
            </w:r>
            <w:r w:rsidRPr="00B56E6A">
              <w:rPr>
                <w:rFonts w:ascii="Times New Roman" w:eastAsia="Calibri" w:hAnsi="Times New Roman" w:cs="Times New Roman"/>
                <w:sz w:val="24"/>
                <w:szCs w:val="24"/>
                <w14:ligatures w14:val="none"/>
              </w:rPr>
              <w:fldChar w:fldCharType="end"/>
            </w:r>
          </w:p>
        </w:tc>
      </w:tr>
      <w:tr w:rsidR="00B56E6A" w:rsidRPr="00B56E6A" w14:paraId="372B5645" w14:textId="77777777" w:rsidTr="00430D4D">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134" w:type="dxa"/>
            <w:vMerge/>
            <w:tcBorders>
              <w:left w:val="none" w:sz="0" w:space="0" w:color="auto"/>
              <w:right w:val="none" w:sz="0" w:space="0" w:color="auto"/>
            </w:tcBorders>
            <w:shd w:val="clear" w:color="auto" w:fill="auto"/>
          </w:tcPr>
          <w:p w14:paraId="4DEDCE93" w14:textId="77777777" w:rsidR="00B56E6A" w:rsidRPr="00B56E6A" w:rsidRDefault="00B56E6A" w:rsidP="00B56E6A">
            <w:pPr>
              <w:spacing w:after="160"/>
              <w:jc w:val="both"/>
              <w:rPr>
                <w:rFonts w:ascii="Times New Roman" w:eastAsia="Calibri" w:hAnsi="Times New Roman" w:cs="Times New Roman"/>
                <w:color w:val="auto"/>
                <w:sz w:val="24"/>
                <w:szCs w:val="24"/>
              </w:rPr>
            </w:pPr>
          </w:p>
        </w:tc>
        <w:tc>
          <w:tcPr>
            <w:tcW w:w="1276" w:type="dxa"/>
            <w:tcBorders>
              <w:left w:val="none" w:sz="0" w:space="0" w:color="auto"/>
              <w:right w:val="none" w:sz="0" w:space="0" w:color="auto"/>
            </w:tcBorders>
            <w:shd w:val="clear" w:color="auto" w:fill="auto"/>
          </w:tcPr>
          <w:p w14:paraId="371ACDDF"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FOX-F</w:t>
            </w:r>
          </w:p>
          <w:p w14:paraId="1A58B024"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FOX-R </w:t>
            </w:r>
          </w:p>
        </w:tc>
        <w:tc>
          <w:tcPr>
            <w:tcW w:w="3686" w:type="dxa"/>
            <w:tcBorders>
              <w:left w:val="none" w:sz="0" w:space="0" w:color="auto"/>
              <w:right w:val="none" w:sz="0" w:space="0" w:color="auto"/>
            </w:tcBorders>
            <w:shd w:val="clear" w:color="auto" w:fill="auto"/>
          </w:tcPr>
          <w:p w14:paraId="576A1D88"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AACATGGGGTATCAGGGAGATG</w:t>
            </w:r>
          </w:p>
          <w:p w14:paraId="1CFBDD0D"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CAAAGCGCGTAACCGGATTGG</w:t>
            </w:r>
          </w:p>
        </w:tc>
        <w:tc>
          <w:tcPr>
            <w:tcW w:w="1701" w:type="dxa"/>
            <w:tcBorders>
              <w:left w:val="none" w:sz="0" w:space="0" w:color="auto"/>
              <w:right w:val="none" w:sz="0" w:space="0" w:color="auto"/>
            </w:tcBorders>
            <w:shd w:val="clear" w:color="auto" w:fill="auto"/>
          </w:tcPr>
          <w:p w14:paraId="055BEBC1"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X77455</w:t>
            </w:r>
          </w:p>
        </w:tc>
        <w:tc>
          <w:tcPr>
            <w:tcW w:w="1417" w:type="dxa"/>
            <w:tcBorders>
              <w:left w:val="none" w:sz="0" w:space="0" w:color="auto"/>
              <w:right w:val="none" w:sz="0" w:space="0" w:color="auto"/>
            </w:tcBorders>
            <w:shd w:val="clear" w:color="auto" w:fill="auto"/>
          </w:tcPr>
          <w:p w14:paraId="32700F26"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190</w:t>
            </w:r>
          </w:p>
        </w:tc>
        <w:tc>
          <w:tcPr>
            <w:tcW w:w="1276" w:type="dxa"/>
            <w:tcBorders>
              <w:left w:val="none" w:sz="0" w:space="0" w:color="auto"/>
              <w:right w:val="none" w:sz="0" w:space="0" w:color="auto"/>
            </w:tcBorders>
            <w:shd w:val="clear" w:color="auto" w:fill="auto"/>
          </w:tcPr>
          <w:p w14:paraId="1001FBF3" w14:textId="26B491EB"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sz w:val="24"/>
                <w:szCs w:val="24"/>
                <w14:ligatures w14:val="none"/>
              </w:rPr>
              <w:fldChar w:fldCharType="begin" w:fldLock="1"/>
            </w:r>
            <w:r w:rsidR="002C3702">
              <w:rPr>
                <w:rFonts w:ascii="Times New Roman" w:eastAsia="Calibri" w:hAnsi="Times New Roman" w:cs="Times New Roman"/>
                <w:color w:val="auto"/>
                <w:sz w:val="24"/>
                <w:szCs w:val="24"/>
              </w:rPr>
              <w:instrText>ADDIN CSL_CITATION {"citationItems":[{"id":"ITEM-1","itemData":{"DOI":"10.1128/JCM.40.6.2153-2162.2002","ISSN":"00951137","PMID":"12037080","abstract":"Therapeutic options for infections caused by gram-negative organisms expressing plasmid-mediated AmpC β-lactamases are limited because these organisms are usually resistant to all the β-lactam antibiotics, except for cefepime, cefpirome, and the carbapenems. These organisms are a major concern in nosocomial infections and should therefore be monitored in surveillance studies. Six families of plasmid-mediated AmpC β-lactamases have been identified, but no phenotypic test can differentiate among them, a fact which creates problems for surveillance and epidemiology studies. This report describes the development of a multiplex PCR for the purpose of identifying family-specific AmpC β-lactamase genes within gram-negative pathogens. The PCR uses six sets of ampC-specific primers resulting in amplicons that range from 190 bp to 520 bp and that are easily distinguished by gel electrophoresis. ampC multiplex PCR differentiated the six plasmid-mediated ampC-specific families in organisms such as Klebsiella pneumoniae, Escherichia coli, Proteus mirabilis, and Salmonella enterica serovar Typhimurium. Family-specific primers did not amplify genes from the other families of ampC genes. Furthermore, this PCR-based assay differentiated multiple genes within one reaction. In addition, WAVE technology, a high-pressure liquid chromatography-based separation system, was used as a way of decreasing analysis time and increasing the sensitivity of multiple-gene assays. In conclusion, a multiplex PCR technique was developed for identifying family-specific ampC genes responsible for AmpC β-lactamase expression in organisms with or without a chromosomal AmpC β-lactamase gene.","author":[{"dropping-particle":"","family":"Pérez-Pérez","given":"F. Javier","non-dropping-particle":"","parse-names":false,"suffix":""},{"dropping-particle":"","family":"Hanson","given":"Nancy D.","non-dropping-particle":"","parse-names":false,"suffix":""}],"container-title":"Journal of Clinical Microbiology","id":"ITEM-1","issue":"6","issued":{"date-parts":[["2002"]]},"page":"2153-2162","title":"Detection of plasmid-mediated AmpC β-lactamase genes in clinical isolates by using multiplex PCR","type":"article-journal","volume":"40"},"uris":["http://www.mendeley.com/documents/?uuid=9f9b579e-b74c-42dc-927a-411215eb8ab9"]}],"mendeley":{"formattedCitation":"[2]","plainTextFormattedCitation":"[2]","previouslyFormattedCitation":"[18]"},"properties":{"noteIndex":0},"schema":"https://github.com/citation-style-language/schema/raw/master/csl-citation.json"}</w:instrText>
            </w:r>
            <w:r w:rsidRPr="00B56E6A">
              <w:rPr>
                <w:rFonts w:ascii="Times New Roman" w:eastAsia="Calibri" w:hAnsi="Times New Roman" w:cs="Times New Roman"/>
                <w:sz w:val="24"/>
                <w:szCs w:val="24"/>
                <w14:ligatures w14:val="none"/>
              </w:rPr>
              <w:fldChar w:fldCharType="separate"/>
            </w:r>
            <w:r w:rsidR="002C3702" w:rsidRPr="002C3702">
              <w:rPr>
                <w:rFonts w:ascii="Times New Roman" w:eastAsia="Calibri" w:hAnsi="Times New Roman" w:cs="Times New Roman"/>
                <w:noProof/>
                <w:color w:val="auto"/>
                <w:sz w:val="24"/>
                <w:szCs w:val="24"/>
              </w:rPr>
              <w:t>[2]</w:t>
            </w:r>
            <w:r w:rsidRPr="00B56E6A">
              <w:rPr>
                <w:rFonts w:ascii="Times New Roman" w:eastAsia="Calibri" w:hAnsi="Times New Roman" w:cs="Times New Roman"/>
                <w:sz w:val="24"/>
                <w:szCs w:val="24"/>
                <w14:ligatures w14:val="none"/>
              </w:rPr>
              <w:fldChar w:fldCharType="end"/>
            </w:r>
          </w:p>
        </w:tc>
      </w:tr>
      <w:tr w:rsidR="00B56E6A" w:rsidRPr="00B56E6A" w14:paraId="7737277E" w14:textId="77777777" w:rsidTr="00430D4D">
        <w:trPr>
          <w:trHeight w:val="667"/>
        </w:trPr>
        <w:tc>
          <w:tcPr>
            <w:cnfStyle w:val="001000000000" w:firstRow="0" w:lastRow="0" w:firstColumn="1" w:lastColumn="0" w:oddVBand="0" w:evenVBand="0" w:oddHBand="0" w:evenHBand="0" w:firstRowFirstColumn="0" w:firstRowLastColumn="0" w:lastRowFirstColumn="0" w:lastRowLastColumn="0"/>
            <w:tcW w:w="1134" w:type="dxa"/>
            <w:vMerge w:val="restart"/>
            <w:shd w:val="clear" w:color="auto" w:fill="auto"/>
          </w:tcPr>
          <w:p w14:paraId="1499695D" w14:textId="77777777" w:rsidR="00B56E6A" w:rsidRPr="00B56E6A" w:rsidRDefault="00B56E6A" w:rsidP="00B56E6A">
            <w:pPr>
              <w:spacing w:after="160"/>
              <w:jc w:val="both"/>
              <w:rPr>
                <w:rFonts w:ascii="Times New Roman" w:eastAsia="Calibri" w:hAnsi="Times New Roman" w:cs="Times New Roman"/>
                <w:color w:val="auto"/>
                <w:sz w:val="24"/>
                <w:szCs w:val="24"/>
              </w:rPr>
            </w:pPr>
            <w:proofErr w:type="spellStart"/>
            <w:r w:rsidRPr="00B56E6A">
              <w:rPr>
                <w:rFonts w:ascii="Times New Roman" w:eastAsia="Calibri" w:hAnsi="Times New Roman" w:cs="Times New Roman"/>
                <w:color w:val="auto"/>
                <w:sz w:val="24"/>
                <w:szCs w:val="24"/>
              </w:rPr>
              <w:t>Carbapenemase</w:t>
            </w:r>
            <w:proofErr w:type="spellEnd"/>
          </w:p>
        </w:tc>
        <w:tc>
          <w:tcPr>
            <w:tcW w:w="1276" w:type="dxa"/>
            <w:shd w:val="clear" w:color="auto" w:fill="auto"/>
          </w:tcPr>
          <w:p w14:paraId="5C6BD586"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OXA-F</w:t>
            </w:r>
          </w:p>
          <w:p w14:paraId="2FEB4D1F"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OXA-R</w:t>
            </w:r>
          </w:p>
        </w:tc>
        <w:tc>
          <w:tcPr>
            <w:tcW w:w="3686" w:type="dxa"/>
            <w:shd w:val="clear" w:color="auto" w:fill="auto"/>
          </w:tcPr>
          <w:p w14:paraId="70FA7720"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GCGTGGTTAAGGATGAACAC</w:t>
            </w:r>
          </w:p>
          <w:p w14:paraId="53B8F0CC"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CATCAAGTTCAACCCAACCG</w:t>
            </w:r>
          </w:p>
        </w:tc>
        <w:tc>
          <w:tcPr>
            <w:tcW w:w="1701" w:type="dxa"/>
            <w:shd w:val="clear" w:color="auto" w:fill="auto"/>
          </w:tcPr>
          <w:p w14:paraId="78FAAAC8"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w:t>
            </w:r>
          </w:p>
        </w:tc>
        <w:tc>
          <w:tcPr>
            <w:tcW w:w="1417" w:type="dxa"/>
            <w:shd w:val="clear" w:color="auto" w:fill="auto"/>
          </w:tcPr>
          <w:p w14:paraId="4376B158"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438</w:t>
            </w:r>
          </w:p>
        </w:tc>
        <w:tc>
          <w:tcPr>
            <w:tcW w:w="1276" w:type="dxa"/>
            <w:shd w:val="clear" w:color="auto" w:fill="auto"/>
          </w:tcPr>
          <w:p w14:paraId="3B7E4C05" w14:textId="4D113A06"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sz w:val="24"/>
                <w:szCs w:val="24"/>
                <w14:ligatures w14:val="none"/>
              </w:rPr>
              <w:fldChar w:fldCharType="begin" w:fldLock="1"/>
            </w:r>
            <w:r w:rsidR="002C3702">
              <w:rPr>
                <w:rFonts w:ascii="Times New Roman" w:eastAsia="Calibri" w:hAnsi="Times New Roman" w:cs="Times New Roman"/>
                <w:color w:val="auto"/>
                <w:sz w:val="24"/>
                <w:szCs w:val="24"/>
              </w:rPr>
              <w:instrText>ADDIN CSL_CITATION {"citationItems":[{"id":"ITEM-1","itemData":{"DOI":"10.1016/j.diagmicrobio.2010.12.002","ISSN":"07328893","PMID":"21398074","abstract":"A rapid and reliable PCR-based technique was developed for detection of genes encoding carbapenemases belonging to different classes. Primers were designed to amplify the following 11 genes: blaIMP, blaVIM, blaNDM, blaSPM, blaAIM, blaDIM, blaGIM, blaSIM blaKPC, blaBIC, and blaOXA-48. Three different multiplex reaction mixtures were defined and evaluated for the detection of all these 11 genes. Using optimized conditions, each reaction mixture allowed to identify the respective genes, with PCR giving distinct amplicon sizes corresponding to the different genes for each mixture. We reported here a rapid and reliable technique for screening all clinically relevant carbapenemase genes. © 2011 Elsevier Inc.","author":[{"dropping-particle":"","family":"Poirel","given":"Laurent","non-dropping-particle":"","parse-names":false,"suffix":""},{"dropping-particle":"","family":"Walsh","given":"Timothy R.","non-dropping-particle":"","parse-names":false,"suffix":""},{"dropping-particle":"","family":"Cuvillier","given":"Vincent","non-dropping-particle":"","parse-names":false,"suffix":""},{"dropping-particle":"","family":"Nordmann","given":"Patrice","non-dropping-particle":"","parse-names":false,"suffix":""}],"container-title":"Diagnostic Microbiology and Infectious Disease","id":"ITEM-1","issue":"1","issued":{"date-parts":[["2011"]]},"page":"119-123","publisher":"Elsevier Inc.","title":"Multiplex PCR for detection of acquired carbapenemase genes","type":"article-journal","volume":"70"},"uris":["http://www.mendeley.com/documents/?uuid=57dc5955-d016-4ff4-af80-f6ffa638e01a"]}],"mendeley":{"formattedCitation":"[3]","plainTextFormattedCitation":"[3]","previouslyFormattedCitation":"[19]"},"properties":{"noteIndex":0},"schema":"https://github.com/citation-style-language/schema/raw/master/csl-citation.json"}</w:instrText>
            </w:r>
            <w:r w:rsidRPr="00B56E6A">
              <w:rPr>
                <w:rFonts w:ascii="Times New Roman" w:eastAsia="Calibri" w:hAnsi="Times New Roman" w:cs="Times New Roman"/>
                <w:sz w:val="24"/>
                <w:szCs w:val="24"/>
                <w14:ligatures w14:val="none"/>
              </w:rPr>
              <w:fldChar w:fldCharType="separate"/>
            </w:r>
            <w:r w:rsidR="002C3702" w:rsidRPr="002C3702">
              <w:rPr>
                <w:rFonts w:ascii="Times New Roman" w:eastAsia="Calibri" w:hAnsi="Times New Roman" w:cs="Times New Roman"/>
                <w:noProof/>
                <w:color w:val="auto"/>
                <w:sz w:val="24"/>
                <w:szCs w:val="24"/>
              </w:rPr>
              <w:t>[3]</w:t>
            </w:r>
            <w:r w:rsidRPr="00B56E6A">
              <w:rPr>
                <w:rFonts w:ascii="Times New Roman" w:eastAsia="Calibri" w:hAnsi="Times New Roman" w:cs="Times New Roman"/>
                <w:sz w:val="24"/>
                <w:szCs w:val="24"/>
                <w14:ligatures w14:val="none"/>
              </w:rPr>
              <w:fldChar w:fldCharType="end"/>
            </w:r>
          </w:p>
        </w:tc>
      </w:tr>
      <w:tr w:rsidR="00B56E6A" w:rsidRPr="00B56E6A" w14:paraId="6A24903D" w14:textId="77777777" w:rsidTr="00430D4D">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134" w:type="dxa"/>
            <w:vMerge/>
            <w:tcBorders>
              <w:left w:val="none" w:sz="0" w:space="0" w:color="auto"/>
              <w:right w:val="none" w:sz="0" w:space="0" w:color="auto"/>
            </w:tcBorders>
            <w:shd w:val="clear" w:color="auto" w:fill="auto"/>
          </w:tcPr>
          <w:p w14:paraId="19F2F826" w14:textId="77777777" w:rsidR="00B56E6A" w:rsidRPr="00B56E6A" w:rsidRDefault="00B56E6A" w:rsidP="00B56E6A">
            <w:pPr>
              <w:spacing w:after="160"/>
              <w:jc w:val="both"/>
              <w:rPr>
                <w:rFonts w:ascii="Times New Roman" w:eastAsia="Calibri" w:hAnsi="Times New Roman" w:cs="Times New Roman"/>
                <w:color w:val="auto"/>
                <w:sz w:val="24"/>
                <w:szCs w:val="24"/>
              </w:rPr>
            </w:pPr>
          </w:p>
        </w:tc>
        <w:tc>
          <w:tcPr>
            <w:tcW w:w="1276" w:type="dxa"/>
            <w:tcBorders>
              <w:left w:val="none" w:sz="0" w:space="0" w:color="auto"/>
              <w:right w:val="none" w:sz="0" w:space="0" w:color="auto"/>
            </w:tcBorders>
            <w:shd w:val="clear" w:color="auto" w:fill="auto"/>
          </w:tcPr>
          <w:p w14:paraId="19268886"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NDM-F</w:t>
            </w:r>
          </w:p>
          <w:p w14:paraId="7650316D"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NDM-R</w:t>
            </w:r>
          </w:p>
        </w:tc>
        <w:tc>
          <w:tcPr>
            <w:tcW w:w="3686" w:type="dxa"/>
            <w:tcBorders>
              <w:left w:val="none" w:sz="0" w:space="0" w:color="auto"/>
              <w:right w:val="none" w:sz="0" w:space="0" w:color="auto"/>
            </w:tcBorders>
            <w:shd w:val="clear" w:color="auto" w:fill="auto"/>
          </w:tcPr>
          <w:p w14:paraId="7D851E00"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GGTTTGGCGATCTGGTTTTC</w:t>
            </w:r>
          </w:p>
          <w:p w14:paraId="76DCEC7E"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CGGAATGGCTCATCACGATC</w:t>
            </w:r>
          </w:p>
        </w:tc>
        <w:tc>
          <w:tcPr>
            <w:tcW w:w="1701" w:type="dxa"/>
            <w:tcBorders>
              <w:left w:val="none" w:sz="0" w:space="0" w:color="auto"/>
              <w:right w:val="none" w:sz="0" w:space="0" w:color="auto"/>
            </w:tcBorders>
            <w:shd w:val="clear" w:color="auto" w:fill="auto"/>
          </w:tcPr>
          <w:p w14:paraId="14699FC7"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w:t>
            </w:r>
          </w:p>
        </w:tc>
        <w:tc>
          <w:tcPr>
            <w:tcW w:w="1417" w:type="dxa"/>
            <w:tcBorders>
              <w:left w:val="none" w:sz="0" w:space="0" w:color="auto"/>
              <w:right w:val="none" w:sz="0" w:space="0" w:color="auto"/>
            </w:tcBorders>
            <w:shd w:val="clear" w:color="auto" w:fill="auto"/>
          </w:tcPr>
          <w:p w14:paraId="33234E77"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621</w:t>
            </w:r>
          </w:p>
        </w:tc>
        <w:tc>
          <w:tcPr>
            <w:tcW w:w="1276" w:type="dxa"/>
            <w:tcBorders>
              <w:left w:val="none" w:sz="0" w:space="0" w:color="auto"/>
              <w:right w:val="none" w:sz="0" w:space="0" w:color="auto"/>
            </w:tcBorders>
            <w:shd w:val="clear" w:color="auto" w:fill="auto"/>
          </w:tcPr>
          <w:p w14:paraId="6C85F568" w14:textId="6ED09F29"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sz w:val="24"/>
                <w:szCs w:val="24"/>
                <w14:ligatures w14:val="none"/>
              </w:rPr>
              <w:fldChar w:fldCharType="begin" w:fldLock="1"/>
            </w:r>
            <w:r w:rsidR="002C3702">
              <w:rPr>
                <w:rFonts w:ascii="Times New Roman" w:eastAsia="Calibri" w:hAnsi="Times New Roman" w:cs="Times New Roman"/>
                <w:color w:val="auto"/>
                <w:sz w:val="24"/>
                <w:szCs w:val="24"/>
              </w:rPr>
              <w:instrText>ADDIN CSL_CITATION {"citationItems":[{"id":"ITEM-1","itemData":{"DOI":"10.1016/j.diagmicrobio.2010.12.002","ISSN":"07328893","PMID":"21398074","abstract":"A rapid and reliable PCR-based technique was developed for detection of genes encoding carbapenemases belonging to different classes. Primers were designed to amplify the following 11 genes: blaIMP, blaVIM, blaNDM, blaSPM, blaAIM, blaDIM, blaGIM, blaSIM blaKPC, blaBIC, and blaOXA-48. Three different multiplex reaction mixtures were defined and evaluated for the detection of all these 11 genes. Using optimized conditions, each reaction mixture allowed to identify the respective genes, with PCR giving distinct amplicon sizes corresponding to the different genes for each mixture. We reported here a rapid and reliable technique for screening all clinically relevant carbapenemase genes. © 2011 Elsevier Inc.","author":[{"dropping-particle":"","family":"Poirel","given":"Laurent","non-dropping-particle":"","parse-names":false,"suffix":""},{"dropping-particle":"","family":"Walsh","given":"Timothy R.","non-dropping-particle":"","parse-names":false,"suffix":""},{"dropping-particle":"","family":"Cuvillier","given":"Vincent","non-dropping-particle":"","parse-names":false,"suffix":""},{"dropping-particle":"","family":"Nordmann","given":"Patrice","non-dropping-particle":"","parse-names":false,"suffix":""}],"container-title":"Diagnostic Microbiology and Infectious Disease","id":"ITEM-1","issue":"1","issued":{"date-parts":[["2011"]]},"page":"119-123","publisher":"Elsevier Inc.","title":"Multiplex PCR for detection of acquired carbapenemase genes","type":"article-journal","volume":"70"},"uris":["http://www.mendeley.com/documents/?uuid=57dc5955-d016-4ff4-af80-f6ffa638e01a"]}],"mendeley":{"formattedCitation":"[3]","plainTextFormattedCitation":"[3]","previouslyFormattedCitation":"[19]"},"properties":{"noteIndex":0},"schema":"https://github.com/citation-style-language/schema/raw/master/csl-citation.json"}</w:instrText>
            </w:r>
            <w:r w:rsidRPr="00B56E6A">
              <w:rPr>
                <w:rFonts w:ascii="Times New Roman" w:eastAsia="Calibri" w:hAnsi="Times New Roman" w:cs="Times New Roman"/>
                <w:sz w:val="24"/>
                <w:szCs w:val="24"/>
                <w14:ligatures w14:val="none"/>
              </w:rPr>
              <w:fldChar w:fldCharType="separate"/>
            </w:r>
            <w:r w:rsidR="002C3702" w:rsidRPr="002C3702">
              <w:rPr>
                <w:rFonts w:ascii="Times New Roman" w:eastAsia="Calibri" w:hAnsi="Times New Roman" w:cs="Times New Roman"/>
                <w:noProof/>
                <w:color w:val="auto"/>
                <w:sz w:val="24"/>
                <w:szCs w:val="24"/>
              </w:rPr>
              <w:t>[3]</w:t>
            </w:r>
            <w:r w:rsidRPr="00B56E6A">
              <w:rPr>
                <w:rFonts w:ascii="Times New Roman" w:eastAsia="Calibri" w:hAnsi="Times New Roman" w:cs="Times New Roman"/>
                <w:sz w:val="24"/>
                <w:szCs w:val="24"/>
                <w14:ligatures w14:val="none"/>
              </w:rPr>
              <w:fldChar w:fldCharType="end"/>
            </w:r>
          </w:p>
        </w:tc>
      </w:tr>
      <w:tr w:rsidR="00B56E6A" w:rsidRPr="00B56E6A" w14:paraId="51161365" w14:textId="77777777" w:rsidTr="00430D4D">
        <w:trPr>
          <w:trHeight w:val="147"/>
        </w:trPr>
        <w:tc>
          <w:tcPr>
            <w:cnfStyle w:val="001000000000" w:firstRow="0" w:lastRow="0" w:firstColumn="1" w:lastColumn="0" w:oddVBand="0" w:evenVBand="0" w:oddHBand="0" w:evenHBand="0" w:firstRowFirstColumn="0" w:firstRowLastColumn="0" w:lastRowFirstColumn="0" w:lastRowLastColumn="0"/>
            <w:tcW w:w="1134" w:type="dxa"/>
            <w:vMerge/>
            <w:shd w:val="clear" w:color="auto" w:fill="auto"/>
          </w:tcPr>
          <w:p w14:paraId="17BE5EF0" w14:textId="77777777" w:rsidR="00B56E6A" w:rsidRPr="00B56E6A" w:rsidRDefault="00B56E6A" w:rsidP="00B56E6A">
            <w:pPr>
              <w:spacing w:after="160"/>
              <w:jc w:val="both"/>
              <w:rPr>
                <w:rFonts w:ascii="Times New Roman" w:eastAsia="Calibri" w:hAnsi="Times New Roman" w:cs="Times New Roman"/>
                <w:color w:val="auto"/>
                <w:sz w:val="24"/>
                <w:szCs w:val="24"/>
              </w:rPr>
            </w:pPr>
          </w:p>
        </w:tc>
        <w:tc>
          <w:tcPr>
            <w:tcW w:w="1276" w:type="dxa"/>
            <w:shd w:val="clear" w:color="auto" w:fill="auto"/>
          </w:tcPr>
          <w:p w14:paraId="7D4CCA71"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VIM-F VIM-R</w:t>
            </w:r>
          </w:p>
        </w:tc>
        <w:tc>
          <w:tcPr>
            <w:tcW w:w="3686" w:type="dxa"/>
            <w:shd w:val="clear" w:color="auto" w:fill="auto"/>
          </w:tcPr>
          <w:p w14:paraId="05FF462B"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GATGGTGTTTGGTCGCAT</w:t>
            </w:r>
          </w:p>
          <w:p w14:paraId="2D338F80"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ACGAATGCGCAGCACCAG</w:t>
            </w:r>
          </w:p>
        </w:tc>
        <w:tc>
          <w:tcPr>
            <w:tcW w:w="1701" w:type="dxa"/>
            <w:shd w:val="clear" w:color="auto" w:fill="auto"/>
          </w:tcPr>
          <w:p w14:paraId="2E14FDF7"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w:t>
            </w:r>
          </w:p>
        </w:tc>
        <w:tc>
          <w:tcPr>
            <w:tcW w:w="1417" w:type="dxa"/>
            <w:shd w:val="clear" w:color="auto" w:fill="auto"/>
          </w:tcPr>
          <w:p w14:paraId="765FA5BF"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390</w:t>
            </w:r>
          </w:p>
        </w:tc>
        <w:tc>
          <w:tcPr>
            <w:tcW w:w="1276" w:type="dxa"/>
            <w:shd w:val="clear" w:color="auto" w:fill="auto"/>
          </w:tcPr>
          <w:p w14:paraId="4E66995B" w14:textId="14813414"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sz w:val="24"/>
                <w:szCs w:val="24"/>
                <w14:ligatures w14:val="none"/>
              </w:rPr>
              <w:fldChar w:fldCharType="begin" w:fldLock="1"/>
            </w:r>
            <w:r w:rsidR="002C3702">
              <w:rPr>
                <w:rFonts w:ascii="Times New Roman" w:eastAsia="Calibri" w:hAnsi="Times New Roman" w:cs="Times New Roman"/>
                <w:color w:val="auto"/>
                <w:sz w:val="24"/>
                <w:szCs w:val="24"/>
              </w:rPr>
              <w:instrText>ADDIN CSL_CITATION {"citationItems":[{"id":"ITEM-1","itemData":{"DOI":"10.1016/j.diagmicrobio.2010.12.002","ISSN":"07328893","PMID":"21398074","abstract":"A rapid and reliable PCR-based technique was developed for detection of genes encoding carbapenemases belonging to different classes. Primers were designed to amplify the following 11 genes: blaIMP, blaVIM, blaNDM, blaSPM, blaAIM, blaDIM, blaGIM, blaSIM blaKPC, blaBIC, and blaOXA-48. Three different multiplex reaction mixtures were defined and evaluated for the detection of all these 11 genes. Using optimized conditions, each reaction mixture allowed to identify the respective genes, with PCR giving distinct amplicon sizes corresponding to the different genes for each mixture. We reported here a rapid and reliable technique for screening all clinically relevant carbapenemase genes. © 2011 Elsevier Inc.","author":[{"dropping-particle":"","family":"Poirel","given":"Laurent","non-dropping-particle":"","parse-names":false,"suffix":""},{"dropping-particle":"","family":"Walsh","given":"Timothy R.","non-dropping-particle":"","parse-names":false,"suffix":""},{"dropping-particle":"","family":"Cuvillier","given":"Vincent","non-dropping-particle":"","parse-names":false,"suffix":""},{"dropping-particle":"","family":"Nordmann","given":"Patrice","non-dropping-particle":"","parse-names":false,"suffix":""}],"container-title":"Diagnostic Microbiology and Infectious Disease","id":"ITEM-1","issue":"1","issued":{"date-parts":[["2011"]]},"page":"119-123","publisher":"Elsevier Inc.","title":"Multiplex PCR for detection of acquired carbapenemase genes","type":"article-journal","volume":"70"},"uris":["http://www.mendeley.com/documents/?uuid=57dc5955-d016-4ff4-af80-f6ffa638e01a"]}],"mendeley":{"formattedCitation":"[3]","plainTextFormattedCitation":"[3]","previouslyFormattedCitation":"[19]"},"properties":{"noteIndex":0},"schema":"https://github.com/citation-style-language/schema/raw/master/csl-citation.json"}</w:instrText>
            </w:r>
            <w:r w:rsidRPr="00B56E6A">
              <w:rPr>
                <w:rFonts w:ascii="Times New Roman" w:eastAsia="Calibri" w:hAnsi="Times New Roman" w:cs="Times New Roman"/>
                <w:sz w:val="24"/>
                <w:szCs w:val="24"/>
                <w14:ligatures w14:val="none"/>
              </w:rPr>
              <w:fldChar w:fldCharType="separate"/>
            </w:r>
            <w:r w:rsidR="002C3702" w:rsidRPr="002C3702">
              <w:rPr>
                <w:rFonts w:ascii="Times New Roman" w:eastAsia="Calibri" w:hAnsi="Times New Roman" w:cs="Times New Roman"/>
                <w:noProof/>
                <w:color w:val="auto"/>
                <w:sz w:val="24"/>
                <w:szCs w:val="24"/>
              </w:rPr>
              <w:t>[3]</w:t>
            </w:r>
            <w:r w:rsidRPr="00B56E6A">
              <w:rPr>
                <w:rFonts w:ascii="Times New Roman" w:eastAsia="Calibri" w:hAnsi="Times New Roman" w:cs="Times New Roman"/>
                <w:sz w:val="24"/>
                <w:szCs w:val="24"/>
                <w14:ligatures w14:val="none"/>
              </w:rPr>
              <w:fldChar w:fldCharType="end"/>
            </w:r>
          </w:p>
        </w:tc>
      </w:tr>
      <w:tr w:rsidR="00B56E6A" w:rsidRPr="00B56E6A" w14:paraId="7B480291" w14:textId="77777777" w:rsidTr="00430D4D">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134" w:type="dxa"/>
            <w:vMerge/>
            <w:tcBorders>
              <w:left w:val="none" w:sz="0" w:space="0" w:color="auto"/>
              <w:right w:val="none" w:sz="0" w:space="0" w:color="auto"/>
            </w:tcBorders>
            <w:shd w:val="clear" w:color="auto" w:fill="auto"/>
          </w:tcPr>
          <w:p w14:paraId="56F2F3A4" w14:textId="77777777" w:rsidR="00B56E6A" w:rsidRPr="00B56E6A" w:rsidRDefault="00B56E6A" w:rsidP="00B56E6A">
            <w:pPr>
              <w:spacing w:after="160"/>
              <w:jc w:val="both"/>
              <w:rPr>
                <w:rFonts w:ascii="Times New Roman" w:eastAsia="Calibri" w:hAnsi="Times New Roman" w:cs="Times New Roman"/>
                <w:color w:val="auto"/>
                <w:sz w:val="24"/>
                <w:szCs w:val="24"/>
              </w:rPr>
            </w:pPr>
          </w:p>
        </w:tc>
        <w:tc>
          <w:tcPr>
            <w:tcW w:w="1276" w:type="dxa"/>
            <w:tcBorders>
              <w:left w:val="none" w:sz="0" w:space="0" w:color="auto"/>
              <w:right w:val="none" w:sz="0" w:space="0" w:color="auto"/>
            </w:tcBorders>
            <w:shd w:val="clear" w:color="auto" w:fill="auto"/>
          </w:tcPr>
          <w:p w14:paraId="4179AE46"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KPC-F</w:t>
            </w:r>
          </w:p>
          <w:p w14:paraId="741F8925"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KPC-R</w:t>
            </w:r>
          </w:p>
        </w:tc>
        <w:tc>
          <w:tcPr>
            <w:tcW w:w="3686" w:type="dxa"/>
            <w:tcBorders>
              <w:left w:val="none" w:sz="0" w:space="0" w:color="auto"/>
              <w:right w:val="none" w:sz="0" w:space="0" w:color="auto"/>
            </w:tcBorders>
            <w:shd w:val="clear" w:color="auto" w:fill="auto"/>
          </w:tcPr>
          <w:p w14:paraId="78DD48D9"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 xml:space="preserve">CGTCTAGTTCTGCTGTCTTG </w:t>
            </w:r>
          </w:p>
          <w:p w14:paraId="5C40A923"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CTTGTCATCCTTGTTAGGCG</w:t>
            </w:r>
          </w:p>
        </w:tc>
        <w:tc>
          <w:tcPr>
            <w:tcW w:w="1701" w:type="dxa"/>
            <w:tcBorders>
              <w:left w:val="none" w:sz="0" w:space="0" w:color="auto"/>
              <w:right w:val="none" w:sz="0" w:space="0" w:color="auto"/>
            </w:tcBorders>
            <w:shd w:val="clear" w:color="auto" w:fill="auto"/>
          </w:tcPr>
          <w:p w14:paraId="37A58ABE"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w:t>
            </w:r>
          </w:p>
        </w:tc>
        <w:tc>
          <w:tcPr>
            <w:tcW w:w="1417" w:type="dxa"/>
            <w:tcBorders>
              <w:left w:val="none" w:sz="0" w:space="0" w:color="auto"/>
              <w:right w:val="none" w:sz="0" w:space="0" w:color="auto"/>
            </w:tcBorders>
            <w:shd w:val="clear" w:color="auto" w:fill="auto"/>
          </w:tcPr>
          <w:p w14:paraId="64C86B7F"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798</w:t>
            </w:r>
          </w:p>
          <w:p w14:paraId="77D0C41F" w14:textId="77777777"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232</w:t>
            </w:r>
          </w:p>
        </w:tc>
        <w:tc>
          <w:tcPr>
            <w:tcW w:w="1276" w:type="dxa"/>
            <w:tcBorders>
              <w:left w:val="none" w:sz="0" w:space="0" w:color="auto"/>
              <w:right w:val="none" w:sz="0" w:space="0" w:color="auto"/>
            </w:tcBorders>
            <w:shd w:val="clear" w:color="auto" w:fill="auto"/>
          </w:tcPr>
          <w:p w14:paraId="1F00C310" w14:textId="6FC8D7C6" w:rsidR="00B56E6A" w:rsidRPr="00B56E6A" w:rsidRDefault="00B56E6A" w:rsidP="00B56E6A">
            <w:pPr>
              <w:spacing w:after="1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sz w:val="24"/>
                <w:szCs w:val="24"/>
                <w14:ligatures w14:val="none"/>
              </w:rPr>
              <w:fldChar w:fldCharType="begin" w:fldLock="1"/>
            </w:r>
            <w:r w:rsidR="002C3702">
              <w:rPr>
                <w:rFonts w:ascii="Times New Roman" w:eastAsia="Calibri" w:hAnsi="Times New Roman" w:cs="Times New Roman"/>
                <w:color w:val="auto"/>
                <w:sz w:val="24"/>
                <w:szCs w:val="24"/>
              </w:rPr>
              <w:instrText>ADDIN CSL_CITATION {"citationItems":[{"id":"ITEM-1","itemData":{"DOI":"10.1016/j.diagmicrobio.2010.12.002","ISSN":"07328893","PMID":"21398074","abstract":"A rapid and reliable PCR-based technique was developed for detection of genes encoding carbapenemases belonging to different classes. Primers were designed to amplify the following 11 genes: blaIMP, blaVIM, blaNDM, blaSPM, blaAIM, blaDIM, blaGIM, blaSIM blaKPC, blaBIC, and blaOXA-48. Three different multiplex reaction mixtures were defined and evaluated for the detection of all these 11 genes. Using optimized conditions, each reaction mixture allowed to identify the respective genes, with PCR giving distinct amplicon sizes corresponding to the different genes for each mixture. We reported here a rapid and reliable technique for screening all clinically relevant carbapenemase genes. © 2011 Elsevier Inc.","author":[{"dropping-particle":"","family":"Poirel","given":"Laurent","non-dropping-particle":"","parse-names":false,"suffix":""},{"dropping-particle":"","family":"Walsh","given":"Timothy R.","non-dropping-particle":"","parse-names":false,"suffix":""},{"dropping-particle":"","family":"Cuvillier","given":"Vincent","non-dropping-particle":"","parse-names":false,"suffix":""},{"dropping-particle":"","family":"Nordmann","given":"Patrice","non-dropping-particle":"","parse-names":false,"suffix":""}],"container-title":"Diagnostic Microbiology and Infectious Disease","id":"ITEM-1","issue":"1","issued":{"date-parts":[["2011"]]},"page":"119-123","publisher":"Elsevier Inc.","title":"Multiplex PCR for detection of acquired carbapenemase genes","type":"article-journal","volume":"70"},"uris":["http://www.mendeley.com/documents/?uuid=57dc5955-d016-4ff4-af80-f6ffa638e01a"]}],"mendeley":{"formattedCitation":"[3]","plainTextFormattedCitation":"[3]","previouslyFormattedCitation":"[19]"},"properties":{"noteIndex":0},"schema":"https://github.com/citation-style-language/schema/raw/master/csl-citation.json"}</w:instrText>
            </w:r>
            <w:r w:rsidRPr="00B56E6A">
              <w:rPr>
                <w:rFonts w:ascii="Times New Roman" w:eastAsia="Calibri" w:hAnsi="Times New Roman" w:cs="Times New Roman"/>
                <w:sz w:val="24"/>
                <w:szCs w:val="24"/>
                <w14:ligatures w14:val="none"/>
              </w:rPr>
              <w:fldChar w:fldCharType="separate"/>
            </w:r>
            <w:r w:rsidR="002C3702" w:rsidRPr="002C3702">
              <w:rPr>
                <w:rFonts w:ascii="Times New Roman" w:eastAsia="Calibri" w:hAnsi="Times New Roman" w:cs="Times New Roman"/>
                <w:noProof/>
                <w:color w:val="auto"/>
                <w:sz w:val="24"/>
                <w:szCs w:val="24"/>
              </w:rPr>
              <w:t>[3]</w:t>
            </w:r>
            <w:r w:rsidRPr="00B56E6A">
              <w:rPr>
                <w:rFonts w:ascii="Times New Roman" w:eastAsia="Calibri" w:hAnsi="Times New Roman" w:cs="Times New Roman"/>
                <w:sz w:val="24"/>
                <w:szCs w:val="24"/>
                <w14:ligatures w14:val="none"/>
              </w:rPr>
              <w:fldChar w:fldCharType="end"/>
            </w:r>
          </w:p>
        </w:tc>
      </w:tr>
      <w:tr w:rsidR="00B56E6A" w:rsidRPr="00B56E6A" w14:paraId="44BB109A" w14:textId="77777777" w:rsidTr="00430D4D">
        <w:trPr>
          <w:trHeight w:val="147"/>
        </w:trPr>
        <w:tc>
          <w:tcPr>
            <w:cnfStyle w:val="001000000000" w:firstRow="0" w:lastRow="0" w:firstColumn="1" w:lastColumn="0" w:oddVBand="0" w:evenVBand="0" w:oddHBand="0" w:evenHBand="0" w:firstRowFirstColumn="0" w:firstRowLastColumn="0" w:lastRowFirstColumn="0" w:lastRowLastColumn="0"/>
            <w:tcW w:w="1134" w:type="dxa"/>
            <w:vMerge/>
            <w:shd w:val="clear" w:color="auto" w:fill="auto"/>
          </w:tcPr>
          <w:p w14:paraId="14977901" w14:textId="77777777" w:rsidR="00B56E6A" w:rsidRPr="00B56E6A" w:rsidRDefault="00B56E6A" w:rsidP="00B56E6A">
            <w:pPr>
              <w:spacing w:after="160"/>
              <w:jc w:val="both"/>
              <w:rPr>
                <w:rFonts w:ascii="Times New Roman" w:eastAsia="Calibri" w:hAnsi="Times New Roman" w:cs="Times New Roman"/>
                <w:color w:val="auto"/>
                <w:sz w:val="24"/>
                <w:szCs w:val="24"/>
              </w:rPr>
            </w:pPr>
          </w:p>
        </w:tc>
        <w:tc>
          <w:tcPr>
            <w:tcW w:w="1276" w:type="dxa"/>
            <w:shd w:val="clear" w:color="auto" w:fill="auto"/>
          </w:tcPr>
          <w:p w14:paraId="1209C673"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IMP-F IMP-R</w:t>
            </w:r>
          </w:p>
        </w:tc>
        <w:tc>
          <w:tcPr>
            <w:tcW w:w="3686" w:type="dxa"/>
            <w:shd w:val="clear" w:color="auto" w:fill="auto"/>
          </w:tcPr>
          <w:p w14:paraId="1C0EEE44"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GGAATAGAGTGGCTTAAYTCTC GGTTTAAYAAAACAACCACC</w:t>
            </w:r>
          </w:p>
        </w:tc>
        <w:tc>
          <w:tcPr>
            <w:tcW w:w="1701" w:type="dxa"/>
            <w:shd w:val="clear" w:color="auto" w:fill="auto"/>
          </w:tcPr>
          <w:p w14:paraId="03D75AEF"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w:t>
            </w:r>
          </w:p>
        </w:tc>
        <w:tc>
          <w:tcPr>
            <w:tcW w:w="1417" w:type="dxa"/>
            <w:shd w:val="clear" w:color="auto" w:fill="auto"/>
          </w:tcPr>
          <w:p w14:paraId="77C82716" w14:textId="77777777"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color w:val="auto"/>
                <w:sz w:val="24"/>
                <w:szCs w:val="24"/>
              </w:rPr>
              <w:t>232</w:t>
            </w:r>
          </w:p>
        </w:tc>
        <w:tc>
          <w:tcPr>
            <w:tcW w:w="1276" w:type="dxa"/>
            <w:shd w:val="clear" w:color="auto" w:fill="auto"/>
          </w:tcPr>
          <w:p w14:paraId="549073E6" w14:textId="02C14785" w:rsidR="00B56E6A" w:rsidRPr="00B56E6A" w:rsidRDefault="00B56E6A" w:rsidP="00B56E6A">
            <w:pPr>
              <w:spacing w:after="1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B56E6A">
              <w:rPr>
                <w:rFonts w:ascii="Times New Roman" w:eastAsia="Calibri" w:hAnsi="Times New Roman" w:cs="Times New Roman"/>
                <w:sz w:val="24"/>
                <w:szCs w:val="24"/>
                <w14:ligatures w14:val="none"/>
              </w:rPr>
              <w:fldChar w:fldCharType="begin" w:fldLock="1"/>
            </w:r>
            <w:r w:rsidR="002C3702">
              <w:rPr>
                <w:rFonts w:ascii="Times New Roman" w:eastAsia="Calibri" w:hAnsi="Times New Roman" w:cs="Times New Roman"/>
                <w:color w:val="auto"/>
                <w:sz w:val="24"/>
                <w:szCs w:val="24"/>
              </w:rPr>
              <w:instrText>ADDIN CSL_CITATION {"citationItems":[{"id":"ITEM-1","itemData":{"DOI":"10.1016/j.diagmicrobio.2010.12.002","ISSN":"07328893","PMID":"21398074","abstract":"A rapid and reliable PCR-based technique was developed for detection of genes encoding carbapenemases belonging to different classes. Primers were designed to amplify the following 11 genes: blaIMP, blaVIM, blaNDM, blaSPM, blaAIM, blaDIM, blaGIM, blaSIM blaKPC, blaBIC, and blaOXA-48. Three different multiplex reaction mixtures were defined and evaluated for the detection of all these 11 genes. Using optimized conditions, each reaction mixture allowed to identify the respective genes, with PCR giving distinct amplicon sizes corresponding to the different genes for each mixture. We reported here a rapid and reliable technique for screening all clinically relevant carbapenemase genes. © 2011 Elsevier Inc.","author":[{"dropping-particle":"","family":"Poirel","given":"Laurent","non-dropping-particle":"","parse-names":false,"suffix":""},{"dropping-particle":"","family":"Walsh","given":"Timothy R.","non-dropping-particle":"","parse-names":false,"suffix":""},{"dropping-particle":"","family":"Cuvillier","given":"Vincent","non-dropping-particle":"","parse-names":false,"suffix":""},{"dropping-particle":"","family":"Nordmann","given":"Patrice","non-dropping-particle":"","parse-names":false,"suffix":""}],"container-title":"Diagnostic Microbiology and Infectious Disease","id":"ITEM-1","issue":"1","issued":{"date-parts":[["2011"]]},"page":"119-123","publisher":"Elsevier Inc.","title":"Multiplex PCR for detection of acquired carbapenemase genes","type":"article-journal","volume":"70"},"uris":["http://www.mendeley.com/documents/?uuid=57dc5955-d016-4ff4-af80-f6ffa638e01a"]}],"mendeley":{"formattedCitation":"[3]","plainTextFormattedCitation":"[3]","previouslyFormattedCitation":"[19]"},"properties":{"noteIndex":0},"schema":"https://github.com/citation-style-language/schema/raw/master/csl-citation.json"}</w:instrText>
            </w:r>
            <w:r w:rsidRPr="00B56E6A">
              <w:rPr>
                <w:rFonts w:ascii="Times New Roman" w:eastAsia="Calibri" w:hAnsi="Times New Roman" w:cs="Times New Roman"/>
                <w:sz w:val="24"/>
                <w:szCs w:val="24"/>
                <w14:ligatures w14:val="none"/>
              </w:rPr>
              <w:fldChar w:fldCharType="separate"/>
            </w:r>
            <w:r w:rsidR="002C3702" w:rsidRPr="002C3702">
              <w:rPr>
                <w:rFonts w:ascii="Times New Roman" w:eastAsia="Calibri" w:hAnsi="Times New Roman" w:cs="Times New Roman"/>
                <w:noProof/>
                <w:color w:val="auto"/>
                <w:sz w:val="24"/>
                <w:szCs w:val="24"/>
              </w:rPr>
              <w:t>[3]</w:t>
            </w:r>
            <w:r w:rsidRPr="00B56E6A">
              <w:rPr>
                <w:rFonts w:ascii="Times New Roman" w:eastAsia="Calibri" w:hAnsi="Times New Roman" w:cs="Times New Roman"/>
                <w:sz w:val="24"/>
                <w:szCs w:val="24"/>
                <w14:ligatures w14:val="none"/>
              </w:rPr>
              <w:fldChar w:fldCharType="end"/>
            </w:r>
          </w:p>
        </w:tc>
      </w:tr>
    </w:tbl>
    <w:p w14:paraId="0D5D565B" w14:textId="77777777" w:rsidR="00916DA5" w:rsidRDefault="00916DA5" w:rsidP="00916DA5">
      <w:pPr>
        <w:spacing w:line="240" w:lineRule="auto"/>
        <w:jc w:val="both"/>
        <w:rPr>
          <w:rFonts w:ascii="Times New Roman" w:eastAsia="Calibri" w:hAnsi="Times New Roman" w:cs="Times New Roman"/>
          <w:b/>
          <w:bCs/>
          <w:kern w:val="0"/>
          <w:sz w:val="24"/>
          <w:lang w:val="en-US"/>
          <w14:ligatures w14:val="none"/>
        </w:rPr>
      </w:pPr>
    </w:p>
    <w:p w14:paraId="10425E00" w14:textId="36F26D71" w:rsidR="00916DA5" w:rsidRPr="00916DA5" w:rsidRDefault="00916DA5" w:rsidP="00916DA5">
      <w:pPr>
        <w:spacing w:line="240" w:lineRule="auto"/>
        <w:jc w:val="both"/>
        <w:rPr>
          <w:rFonts w:ascii="Times New Roman" w:eastAsia="Calibri" w:hAnsi="Times New Roman" w:cs="Times New Roman"/>
          <w:b/>
          <w:bCs/>
          <w:kern w:val="0"/>
          <w:sz w:val="24"/>
          <w:lang w:val="en-US"/>
          <w14:ligatures w14:val="none"/>
        </w:rPr>
      </w:pPr>
      <w:r w:rsidRPr="00916DA5">
        <w:rPr>
          <w:rFonts w:ascii="Times New Roman" w:eastAsia="Calibri" w:hAnsi="Times New Roman" w:cs="Times New Roman"/>
          <w:b/>
          <w:bCs/>
          <w:kern w:val="0"/>
          <w:sz w:val="24"/>
          <w:lang w:val="en-US"/>
          <w14:ligatures w14:val="none"/>
        </w:rPr>
        <w:t>References</w:t>
      </w:r>
    </w:p>
    <w:p w14:paraId="660C9804" w14:textId="7F70F75B" w:rsidR="002C3702" w:rsidRPr="00411C4D" w:rsidRDefault="002C3702" w:rsidP="002C3702">
      <w:pPr>
        <w:widowControl w:val="0"/>
        <w:autoSpaceDE w:val="0"/>
        <w:autoSpaceDN w:val="0"/>
        <w:adjustRightInd w:val="0"/>
        <w:spacing w:line="480" w:lineRule="auto"/>
        <w:ind w:left="640" w:hanging="640"/>
        <w:jc w:val="both"/>
        <w:rPr>
          <w:rFonts w:ascii="Times New Roman" w:hAnsi="Times New Roman" w:cs="Times New Roman"/>
          <w:noProof/>
          <w:kern w:val="0"/>
          <w:sz w:val="24"/>
          <w:szCs w:val="24"/>
        </w:rPr>
      </w:pPr>
      <w:r>
        <w:fldChar w:fldCharType="begin" w:fldLock="1"/>
      </w:r>
      <w:r>
        <w:instrText xml:space="preserve">ADDIN Mendeley Bibliography CSL_BIBLIOGRAPHY </w:instrText>
      </w:r>
      <w:r>
        <w:fldChar w:fldCharType="separate"/>
      </w:r>
      <w:r w:rsidRPr="002C3702">
        <w:rPr>
          <w:rFonts w:ascii="Calibri" w:hAnsi="Calibri" w:cs="Calibri"/>
          <w:noProof/>
          <w:kern w:val="0"/>
        </w:rPr>
        <w:t xml:space="preserve">1. </w:t>
      </w:r>
      <w:r w:rsidRPr="002C3702">
        <w:rPr>
          <w:rFonts w:ascii="Calibri" w:hAnsi="Calibri" w:cs="Calibri"/>
          <w:noProof/>
          <w:kern w:val="0"/>
        </w:rPr>
        <w:tab/>
      </w:r>
      <w:r w:rsidRPr="00411C4D">
        <w:rPr>
          <w:rFonts w:ascii="Times New Roman" w:hAnsi="Times New Roman" w:cs="Times New Roman"/>
          <w:noProof/>
          <w:kern w:val="0"/>
          <w:sz w:val="24"/>
          <w:szCs w:val="24"/>
        </w:rPr>
        <w:t>Seman A, Mihret A, Sebre S, Awoke T, Yitayew B, Aseffa A, et al. Prevalence and Molecular Characterization of Extended Spectrum β-Lactamase and Carbapenemase-Producing Enterobacteriaceae Isolates from Bloodstream Infection Suspected Patients in Addis Ababa, Ethiopia. Infect Drug Resist. 2022;15: 1367–1382. doi:10.2147/IDR.S349566</w:t>
      </w:r>
    </w:p>
    <w:p w14:paraId="0C30CD03" w14:textId="77777777" w:rsidR="002C3702" w:rsidRPr="00411C4D" w:rsidRDefault="002C3702" w:rsidP="002C3702">
      <w:pPr>
        <w:widowControl w:val="0"/>
        <w:autoSpaceDE w:val="0"/>
        <w:autoSpaceDN w:val="0"/>
        <w:adjustRightInd w:val="0"/>
        <w:spacing w:line="480" w:lineRule="auto"/>
        <w:ind w:left="640" w:hanging="640"/>
        <w:jc w:val="both"/>
        <w:rPr>
          <w:rFonts w:ascii="Times New Roman" w:hAnsi="Times New Roman" w:cs="Times New Roman"/>
          <w:noProof/>
          <w:kern w:val="0"/>
          <w:sz w:val="24"/>
          <w:szCs w:val="24"/>
        </w:rPr>
      </w:pPr>
      <w:r w:rsidRPr="00411C4D">
        <w:rPr>
          <w:rFonts w:ascii="Times New Roman" w:hAnsi="Times New Roman" w:cs="Times New Roman"/>
          <w:noProof/>
          <w:kern w:val="0"/>
          <w:sz w:val="24"/>
          <w:szCs w:val="24"/>
        </w:rPr>
        <w:t xml:space="preserve">2. </w:t>
      </w:r>
      <w:r w:rsidRPr="00411C4D">
        <w:rPr>
          <w:rFonts w:ascii="Times New Roman" w:hAnsi="Times New Roman" w:cs="Times New Roman"/>
          <w:noProof/>
          <w:kern w:val="0"/>
          <w:sz w:val="24"/>
          <w:szCs w:val="24"/>
        </w:rPr>
        <w:tab/>
        <w:t>Pérez-Pérez FJ, Hanson ND. Detection of plasmid-mediated AmpC β-lactamase genes in clinical isolates by using multiplex PCR. J Clin Microbiol. 2002;40: 2153–2162. doi:10.1128/JCM.40.6.2153-2162.2002</w:t>
      </w:r>
    </w:p>
    <w:p w14:paraId="4735B3B9" w14:textId="77777777" w:rsidR="002C3702" w:rsidRPr="00411C4D" w:rsidRDefault="002C3702" w:rsidP="002C3702">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411C4D">
        <w:rPr>
          <w:rFonts w:ascii="Times New Roman" w:hAnsi="Times New Roman" w:cs="Times New Roman"/>
          <w:noProof/>
          <w:kern w:val="0"/>
          <w:sz w:val="24"/>
          <w:szCs w:val="24"/>
        </w:rPr>
        <w:t xml:space="preserve">3. </w:t>
      </w:r>
      <w:r w:rsidRPr="00411C4D">
        <w:rPr>
          <w:rFonts w:ascii="Times New Roman" w:hAnsi="Times New Roman" w:cs="Times New Roman"/>
          <w:noProof/>
          <w:kern w:val="0"/>
          <w:sz w:val="24"/>
          <w:szCs w:val="24"/>
        </w:rPr>
        <w:tab/>
        <w:t>Poirel L, Walsh TR, Cuvillier V, Nordmann P. Multiplex PCR for detection of acquired carbapenemase genes. Diagn Microbiol Infect Dis. 2011;70: 119–123. doi:10.1016/j.diagmicrobio.2010.12.002</w:t>
      </w:r>
    </w:p>
    <w:p w14:paraId="540C300F" w14:textId="6695E820" w:rsidR="00B56E6A" w:rsidRDefault="002C3702">
      <w:r>
        <w:fldChar w:fldCharType="end"/>
      </w:r>
    </w:p>
    <w:sectPr w:rsidR="00B56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B26C6"/>
    <w:rsid w:val="00012015"/>
    <w:rsid w:val="000E3EC8"/>
    <w:rsid w:val="00237565"/>
    <w:rsid w:val="00282C35"/>
    <w:rsid w:val="002C3702"/>
    <w:rsid w:val="00327FBB"/>
    <w:rsid w:val="003A2388"/>
    <w:rsid w:val="003B26C6"/>
    <w:rsid w:val="00411C4D"/>
    <w:rsid w:val="00430D4D"/>
    <w:rsid w:val="00510FCA"/>
    <w:rsid w:val="007B5E0E"/>
    <w:rsid w:val="0083653E"/>
    <w:rsid w:val="00916DA5"/>
    <w:rsid w:val="00967FA4"/>
    <w:rsid w:val="00A46BA6"/>
    <w:rsid w:val="00AB0C98"/>
    <w:rsid w:val="00AD4F95"/>
    <w:rsid w:val="00B4016B"/>
    <w:rsid w:val="00B56E6A"/>
    <w:rsid w:val="00B8581C"/>
    <w:rsid w:val="00C75470"/>
    <w:rsid w:val="00EC56F4"/>
    <w:rsid w:val="00F02966"/>
    <w:rsid w:val="00FF1F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45AD"/>
  <w15:chartTrackingRefBased/>
  <w15:docId w15:val="{889A9826-F5DE-4D2F-8510-E9132807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itre1">
    <w:name w:val="heading 1"/>
    <w:basedOn w:val="Normal"/>
    <w:next w:val="Normal"/>
    <w:link w:val="Titre1Car"/>
    <w:autoRedefine/>
    <w:uiPriority w:val="9"/>
    <w:qFormat/>
    <w:rsid w:val="007B5E0E"/>
    <w:pPr>
      <w:keepNext/>
      <w:keepLines/>
      <w:spacing w:before="240" w:after="0" w:line="276" w:lineRule="auto"/>
      <w:outlineLvl w:val="0"/>
    </w:pPr>
    <w:rPr>
      <w:rFonts w:ascii="Arial" w:eastAsiaTheme="majorEastAsia" w:hAnsi="Arial" w:cstheme="majorBidi"/>
      <w:b/>
      <w:color w:val="000000" w:themeColor="text1"/>
      <w:kern w:val="0"/>
      <w:sz w:val="24"/>
      <w:szCs w:val="32"/>
      <w:lang w:val="fr-FR"/>
    </w:rPr>
  </w:style>
  <w:style w:type="paragraph" w:styleId="Titre2">
    <w:name w:val="heading 2"/>
    <w:basedOn w:val="Normal"/>
    <w:next w:val="Normal"/>
    <w:link w:val="Titre2Car"/>
    <w:uiPriority w:val="9"/>
    <w:semiHidden/>
    <w:unhideWhenUsed/>
    <w:qFormat/>
    <w:rsid w:val="003B26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B26C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B26C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B26C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B26C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B26C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B26C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B26C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5E0E"/>
    <w:rPr>
      <w:rFonts w:ascii="Arial" w:eastAsiaTheme="majorEastAsia" w:hAnsi="Arial" w:cstheme="majorBidi"/>
      <w:b/>
      <w:color w:val="000000" w:themeColor="text1"/>
      <w:kern w:val="0"/>
      <w:sz w:val="24"/>
      <w:szCs w:val="32"/>
    </w:rPr>
  </w:style>
  <w:style w:type="character" w:customStyle="1" w:styleId="Titre2Car">
    <w:name w:val="Titre 2 Car"/>
    <w:basedOn w:val="Policepardfaut"/>
    <w:link w:val="Titre2"/>
    <w:uiPriority w:val="9"/>
    <w:semiHidden/>
    <w:rsid w:val="003B26C6"/>
    <w:rPr>
      <w:rFonts w:asciiTheme="majorHAnsi" w:eastAsiaTheme="majorEastAsia" w:hAnsiTheme="majorHAnsi" w:cstheme="majorBidi"/>
      <w:color w:val="2F5496" w:themeColor="accent1" w:themeShade="BF"/>
      <w:sz w:val="32"/>
      <w:szCs w:val="32"/>
      <w:lang w:val="en-GB"/>
    </w:rPr>
  </w:style>
  <w:style w:type="character" w:customStyle="1" w:styleId="Titre3Car">
    <w:name w:val="Titre 3 Car"/>
    <w:basedOn w:val="Policepardfaut"/>
    <w:link w:val="Titre3"/>
    <w:uiPriority w:val="9"/>
    <w:semiHidden/>
    <w:rsid w:val="003B26C6"/>
    <w:rPr>
      <w:rFonts w:eastAsiaTheme="majorEastAsia" w:cstheme="majorBidi"/>
      <w:color w:val="2F5496" w:themeColor="accent1" w:themeShade="BF"/>
      <w:sz w:val="28"/>
      <w:szCs w:val="28"/>
      <w:lang w:val="en-GB"/>
    </w:rPr>
  </w:style>
  <w:style w:type="character" w:customStyle="1" w:styleId="Titre4Car">
    <w:name w:val="Titre 4 Car"/>
    <w:basedOn w:val="Policepardfaut"/>
    <w:link w:val="Titre4"/>
    <w:uiPriority w:val="9"/>
    <w:semiHidden/>
    <w:rsid w:val="003B26C6"/>
    <w:rPr>
      <w:rFonts w:eastAsiaTheme="majorEastAsia" w:cstheme="majorBidi"/>
      <w:i/>
      <w:iCs/>
      <w:color w:val="2F5496" w:themeColor="accent1" w:themeShade="BF"/>
      <w:lang w:val="en-GB"/>
    </w:rPr>
  </w:style>
  <w:style w:type="character" w:customStyle="1" w:styleId="Titre5Car">
    <w:name w:val="Titre 5 Car"/>
    <w:basedOn w:val="Policepardfaut"/>
    <w:link w:val="Titre5"/>
    <w:uiPriority w:val="9"/>
    <w:semiHidden/>
    <w:rsid w:val="003B26C6"/>
    <w:rPr>
      <w:rFonts w:eastAsiaTheme="majorEastAsia" w:cstheme="majorBidi"/>
      <w:color w:val="2F5496" w:themeColor="accent1" w:themeShade="BF"/>
      <w:lang w:val="en-GB"/>
    </w:rPr>
  </w:style>
  <w:style w:type="character" w:customStyle="1" w:styleId="Titre6Car">
    <w:name w:val="Titre 6 Car"/>
    <w:basedOn w:val="Policepardfaut"/>
    <w:link w:val="Titre6"/>
    <w:uiPriority w:val="9"/>
    <w:semiHidden/>
    <w:rsid w:val="003B26C6"/>
    <w:rPr>
      <w:rFonts w:eastAsiaTheme="majorEastAsia" w:cstheme="majorBidi"/>
      <w:i/>
      <w:iCs/>
      <w:color w:val="595959" w:themeColor="text1" w:themeTint="A6"/>
      <w:lang w:val="en-GB"/>
    </w:rPr>
  </w:style>
  <w:style w:type="character" w:customStyle="1" w:styleId="Titre7Car">
    <w:name w:val="Titre 7 Car"/>
    <w:basedOn w:val="Policepardfaut"/>
    <w:link w:val="Titre7"/>
    <w:uiPriority w:val="9"/>
    <w:semiHidden/>
    <w:rsid w:val="003B26C6"/>
    <w:rPr>
      <w:rFonts w:eastAsiaTheme="majorEastAsia" w:cstheme="majorBidi"/>
      <w:color w:val="595959" w:themeColor="text1" w:themeTint="A6"/>
      <w:lang w:val="en-GB"/>
    </w:rPr>
  </w:style>
  <w:style w:type="character" w:customStyle="1" w:styleId="Titre8Car">
    <w:name w:val="Titre 8 Car"/>
    <w:basedOn w:val="Policepardfaut"/>
    <w:link w:val="Titre8"/>
    <w:uiPriority w:val="9"/>
    <w:semiHidden/>
    <w:rsid w:val="003B26C6"/>
    <w:rPr>
      <w:rFonts w:eastAsiaTheme="majorEastAsia" w:cstheme="majorBidi"/>
      <w:i/>
      <w:iCs/>
      <w:color w:val="272727" w:themeColor="text1" w:themeTint="D8"/>
      <w:lang w:val="en-GB"/>
    </w:rPr>
  </w:style>
  <w:style w:type="character" w:customStyle="1" w:styleId="Titre9Car">
    <w:name w:val="Titre 9 Car"/>
    <w:basedOn w:val="Policepardfaut"/>
    <w:link w:val="Titre9"/>
    <w:uiPriority w:val="9"/>
    <w:semiHidden/>
    <w:rsid w:val="003B26C6"/>
    <w:rPr>
      <w:rFonts w:eastAsiaTheme="majorEastAsia" w:cstheme="majorBidi"/>
      <w:color w:val="272727" w:themeColor="text1" w:themeTint="D8"/>
      <w:lang w:val="en-GB"/>
    </w:rPr>
  </w:style>
  <w:style w:type="paragraph" w:styleId="Titre">
    <w:name w:val="Title"/>
    <w:basedOn w:val="Normal"/>
    <w:next w:val="Normal"/>
    <w:link w:val="TitreCar"/>
    <w:uiPriority w:val="10"/>
    <w:qFormat/>
    <w:rsid w:val="003B2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B26C6"/>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3B26C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B26C6"/>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3B26C6"/>
    <w:pPr>
      <w:spacing w:before="160"/>
      <w:jc w:val="center"/>
    </w:pPr>
    <w:rPr>
      <w:i/>
      <w:iCs/>
      <w:color w:val="404040" w:themeColor="text1" w:themeTint="BF"/>
    </w:rPr>
  </w:style>
  <w:style w:type="character" w:customStyle="1" w:styleId="CitationCar">
    <w:name w:val="Citation Car"/>
    <w:basedOn w:val="Policepardfaut"/>
    <w:link w:val="Citation"/>
    <w:uiPriority w:val="29"/>
    <w:rsid w:val="003B26C6"/>
    <w:rPr>
      <w:i/>
      <w:iCs/>
      <w:color w:val="404040" w:themeColor="text1" w:themeTint="BF"/>
      <w:lang w:val="en-GB"/>
    </w:rPr>
  </w:style>
  <w:style w:type="paragraph" w:styleId="Paragraphedeliste">
    <w:name w:val="List Paragraph"/>
    <w:basedOn w:val="Normal"/>
    <w:uiPriority w:val="34"/>
    <w:qFormat/>
    <w:rsid w:val="003B26C6"/>
    <w:pPr>
      <w:ind w:left="720"/>
      <w:contextualSpacing/>
    </w:pPr>
  </w:style>
  <w:style w:type="character" w:styleId="Accentuationintense">
    <w:name w:val="Intense Emphasis"/>
    <w:basedOn w:val="Policepardfaut"/>
    <w:uiPriority w:val="21"/>
    <w:qFormat/>
    <w:rsid w:val="003B26C6"/>
    <w:rPr>
      <w:i/>
      <w:iCs/>
      <w:color w:val="2F5496" w:themeColor="accent1" w:themeShade="BF"/>
    </w:rPr>
  </w:style>
  <w:style w:type="paragraph" w:styleId="Citationintense">
    <w:name w:val="Intense Quote"/>
    <w:basedOn w:val="Normal"/>
    <w:next w:val="Normal"/>
    <w:link w:val="CitationintenseCar"/>
    <w:uiPriority w:val="30"/>
    <w:qFormat/>
    <w:rsid w:val="003B2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B26C6"/>
    <w:rPr>
      <w:i/>
      <w:iCs/>
      <w:color w:val="2F5496" w:themeColor="accent1" w:themeShade="BF"/>
      <w:lang w:val="en-GB"/>
    </w:rPr>
  </w:style>
  <w:style w:type="character" w:styleId="Rfrenceintense">
    <w:name w:val="Intense Reference"/>
    <w:basedOn w:val="Policepardfaut"/>
    <w:uiPriority w:val="32"/>
    <w:qFormat/>
    <w:rsid w:val="003B26C6"/>
    <w:rPr>
      <w:b/>
      <w:bCs/>
      <w:smallCaps/>
      <w:color w:val="2F5496" w:themeColor="accent1" w:themeShade="BF"/>
      <w:spacing w:val="5"/>
    </w:rPr>
  </w:style>
  <w:style w:type="table" w:customStyle="1" w:styleId="Ombrageclair1">
    <w:name w:val="Ombrage clair1"/>
    <w:basedOn w:val="TableauNormal"/>
    <w:next w:val="Ombrageclair"/>
    <w:uiPriority w:val="60"/>
    <w:rsid w:val="00B56E6A"/>
    <w:pPr>
      <w:spacing w:after="0" w:line="240" w:lineRule="auto"/>
    </w:pPr>
    <w:rPr>
      <w:color w:val="000000"/>
      <w:kern w:val="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Ombrageclair">
    <w:name w:val="Light Shading"/>
    <w:basedOn w:val="TableauNormal"/>
    <w:uiPriority w:val="60"/>
    <w:semiHidden/>
    <w:unhideWhenUsed/>
    <w:rsid w:val="00B56E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40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45F02-18E6-434A-B9F6-37A48F48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4422</Words>
  <Characters>24324</Characters>
  <Application>Microsoft Office Word</Application>
  <DocSecurity>0</DocSecurity>
  <Lines>202</Lines>
  <Paragraphs>57</Paragraphs>
  <ScaleCrop>false</ScaleCrop>
  <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Djifahamaï SOMA</dc:creator>
  <cp:keywords/>
  <dc:description/>
  <cp:lastModifiedBy>Djifahamaï SOMA</cp:lastModifiedBy>
  <cp:revision>10</cp:revision>
  <cp:lastPrinted>2025-09-05T16:53:00Z</cp:lastPrinted>
  <dcterms:created xsi:type="dcterms:W3CDTF">2025-09-05T15:19:00Z</dcterms:created>
  <dcterms:modified xsi:type="dcterms:W3CDTF">2025-09-05T17:01:00Z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http://www.zotero.org/styles/american-journal-of-veterinary-research</vt:lpwstr>
  </property>
  <property fmtid="{D5CDD505-2E9C-101B-9397-08002B2CF9AE}" pid="3" name="Mendeley Recent Style Name 0_1">
    <vt:lpwstr>American Journal of Veterinary Research</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http://www.zotero.org/styles/elsevier-vancouver</vt:lpwstr>
  </property>
  <property fmtid="{D5CDD505-2E9C-101B-9397-08002B2CF9AE}" pid="7" name="Mendeley Recent Style Name 2_1">
    <vt:lpwstr>Elsevier - Vancouver</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http://www.zotero.org/styles/journal-of-antimicrobial-chemotherapy</vt:lpwstr>
  </property>
  <property fmtid="{D5CDD505-2E9C-101B-9397-08002B2CF9AE}" pid="11" name="Mendeley Recent Style Name 4_1">
    <vt:lpwstr>Journal of Antimicrobial Chemotherapy</vt:lpwstr>
  </property>
  <property fmtid="{D5CDD505-2E9C-101B-9397-08002B2CF9AE}" pid="12" name="Mendeley Recent Style Id 5_1">
    <vt:lpwstr>http://www.zotero.org/styles/microorganisms</vt:lpwstr>
  </property>
  <property fmtid="{D5CDD505-2E9C-101B-9397-08002B2CF9AE}" pid="13" name="Mendeley Recent Style Name 5_1">
    <vt:lpwstr>Microorganisms</vt:lpwstr>
  </property>
  <property fmtid="{D5CDD505-2E9C-101B-9397-08002B2CF9AE}" pid="14" name="Mendeley Recent Style Id 6_1">
    <vt:lpwstr>http://www.zotero.org/styles/norsk-apa-manual</vt:lpwstr>
  </property>
  <property fmtid="{D5CDD505-2E9C-101B-9397-08002B2CF9AE}" pid="15" name="Mendeley Recent Style Name 6_1">
    <vt:lpwstr>Norsk APA-manual - APA 7th edition (author-date)</vt:lpwstr>
  </property>
  <property fmtid="{D5CDD505-2E9C-101B-9397-08002B2CF9AE}" pid="16" name="Mendeley Recent Style Id 7_1">
    <vt:lpwstr>http://www.zotero.org/styles/plos-one</vt:lpwstr>
  </property>
  <property fmtid="{D5CDD505-2E9C-101B-9397-08002B2CF9AE}" pid="17" name="Mendeley Recent Style Name 7_1">
    <vt:lpwstr>PLOS ONE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http://www.zotero.org/styles/veterinary-microbiology</vt:lpwstr>
  </property>
  <property fmtid="{D5CDD505-2E9C-101B-9397-08002B2CF9AE}" pid="21" name="Mendeley Recent Style Name 9_1">
    <vt:lpwstr>Veterinary Microbiology</vt:lpwstr>
  </property>
  <property fmtid="{D5CDD505-2E9C-101B-9397-08002B2CF9AE}" pid="22" name="Mendeley Citation Style_1">
    <vt:lpwstr>http://www.zotero.org/styles/plos-one</vt:lpwstr>
  </property>
  <property fmtid="{D5CDD505-2E9C-101B-9397-08002B2CF9AE}" pid="23" name="Mendeley Document_1">
    <vt:lpwstr>True</vt:lpwstr>
  </property>
  <property fmtid="{D5CDD505-2E9C-101B-9397-08002B2CF9AE}" pid="24" name="Mendeley Unique User Id_1">
    <vt:lpwstr>fb4e66b2-4ff8-3648-acae-db35f4bd1b37</vt:lpwstr>
  </property>
</Properties>
</file>