
<file path=[Content_Types].xml><?xml version="1.0" encoding="utf-8"?>
<Types xmlns="http://schemas.openxmlformats.org/package/2006/content-types"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B0A2DD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Times New Roman" w:hAnsi="Times New Roman" w:eastAsia="宋体" w:cs="Times New Roman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highlight w:val="none"/>
          <w:lang w:val="en-US" w:eastAsia="zh-CN"/>
        </w:rPr>
        <w:t>Supplementary Information</w:t>
      </w:r>
    </w:p>
    <w:p w14:paraId="42231D37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highlight w:val="none"/>
          <w:lang w:val="en-US" w:eastAsia="zh-CN" w:bidi="ar-SA"/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highlight w:val="none"/>
          <w:lang w:val="en-US" w:eastAsia="zh-CN" w:bidi="ar-SA"/>
        </w:rPr>
        <w:t>1. C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highlight w:val="none"/>
          <w:lang w:val="en-US" w:eastAsia="zh-CN" w:bidi="ar-SA"/>
        </w:rPr>
        <w:t>onstruction of PPIGi-shHIF-1α plasmid</w:t>
      </w:r>
    </w:p>
    <w:p w14:paraId="2F2187B1">
      <w:pPr>
        <w:spacing w:before="156" w:beforeLines="50" w:line="360" w:lineRule="auto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黑体" w:cs="Times New Roman"/>
          <w:kern w:val="0"/>
          <w:sz w:val="21"/>
          <w:szCs w:val="21"/>
          <w:lang w:bidi="ar"/>
        </w:rPr>
        <w:t>Table S1 shRNA primer sequences</w:t>
      </w:r>
    </w:p>
    <w:tbl>
      <w:tblPr>
        <w:tblStyle w:val="5"/>
        <w:tblW w:w="0" w:type="auto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8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6038"/>
      </w:tblGrid>
      <w:tr w14:paraId="6127036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top w:val="single" w:color="auto" w:sz="12" w:space="0"/>
              <w:bottom w:val="single" w:color="auto" w:sz="8" w:space="0"/>
            </w:tcBorders>
          </w:tcPr>
          <w:p w14:paraId="414F5AD2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  <w:t>Primers</w:t>
            </w:r>
          </w:p>
        </w:tc>
        <w:tc>
          <w:tcPr>
            <w:tcW w:w="6038" w:type="dxa"/>
            <w:tcBorders>
              <w:top w:val="single" w:color="auto" w:sz="12" w:space="0"/>
              <w:bottom w:val="single" w:color="auto" w:sz="8" w:space="0"/>
            </w:tcBorders>
          </w:tcPr>
          <w:p w14:paraId="1EE6CC19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kern w:val="0"/>
                <w:sz w:val="21"/>
                <w:szCs w:val="21"/>
                <w:lang w:val="en-US" w:eastAsia="zh-CN" w:bidi="ar"/>
              </w:rPr>
              <w:t>S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21"/>
                <w:szCs w:val="21"/>
                <w:lang w:bidi="ar"/>
              </w:rPr>
              <w:t>equences</w:t>
            </w:r>
          </w:p>
        </w:tc>
      </w:tr>
      <w:tr w14:paraId="7A503A0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51C10462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shHIF-1a-1 oligoT</w:t>
            </w:r>
          </w:p>
        </w:tc>
        <w:tc>
          <w:tcPr>
            <w:tcW w:w="6038" w:type="dxa"/>
            <w:tcBorders>
              <w:top w:val="nil"/>
              <w:bottom w:val="nil"/>
            </w:tcBorders>
          </w:tcPr>
          <w:p w14:paraId="3897B7D6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TGCTGATATGATTGTGTCTCCAGCGGGTTTTGG</w:t>
            </w:r>
          </w:p>
          <w:p w14:paraId="7C20D89D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CCACTGACTGACCCGCTGGACACAATCATAT</w:t>
            </w:r>
          </w:p>
        </w:tc>
      </w:tr>
      <w:tr w14:paraId="1153BAB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D44EC2C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shHIF-1a-1 oligoB</w:t>
            </w:r>
          </w:p>
        </w:tc>
        <w:tc>
          <w:tcPr>
            <w:tcW w:w="6038" w:type="dxa"/>
            <w:tcBorders>
              <w:top w:val="nil"/>
              <w:bottom w:val="nil"/>
            </w:tcBorders>
          </w:tcPr>
          <w:p w14:paraId="66DDE7F9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CCTGATATGATTGTGTCCAGCGGGTCAGTC</w:t>
            </w:r>
          </w:p>
          <w:p w14:paraId="1F803AF9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AGTGGCCAAAACCCGCTGGAGACACAATCATATC</w:t>
            </w:r>
          </w:p>
        </w:tc>
      </w:tr>
      <w:tr w14:paraId="64A1346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6EEE3CC8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shHIF-1a-2 oligoT</w:t>
            </w:r>
          </w:p>
        </w:tc>
        <w:tc>
          <w:tcPr>
            <w:tcW w:w="6038" w:type="dxa"/>
            <w:tcBorders>
              <w:top w:val="nil"/>
              <w:bottom w:val="nil"/>
            </w:tcBorders>
          </w:tcPr>
          <w:p w14:paraId="127C5090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TGCTGAATATTCATAAATTGAGCGGCGTTTTGGC</w:t>
            </w:r>
          </w:p>
          <w:p w14:paraId="5B2D3FA4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CACTGACTGACGCCGCTCATTATGAATATT</w:t>
            </w:r>
          </w:p>
        </w:tc>
      </w:tr>
      <w:tr w14:paraId="086110D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24828B73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shHIF-1a-2 oligoB</w:t>
            </w:r>
          </w:p>
        </w:tc>
        <w:tc>
          <w:tcPr>
            <w:tcW w:w="6038" w:type="dxa"/>
            <w:tcBorders>
              <w:top w:val="nil"/>
              <w:bottom w:val="nil"/>
            </w:tcBorders>
          </w:tcPr>
          <w:p w14:paraId="36CFAB3B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CCTGAATATTCATAATGAGCGGCGTCAGTCAGTGGC</w:t>
            </w:r>
          </w:p>
          <w:p w14:paraId="45F6CCEE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CAAAACGCCGCTCAATTTATGAATATTC</w:t>
            </w:r>
          </w:p>
        </w:tc>
      </w:tr>
      <w:tr w14:paraId="52F7AC9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117F9010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shHIF-1a-3 oligoT</w:t>
            </w:r>
          </w:p>
        </w:tc>
        <w:tc>
          <w:tcPr>
            <w:tcW w:w="6038" w:type="dxa"/>
            <w:tcBorders>
              <w:top w:val="nil"/>
              <w:bottom w:val="nil"/>
            </w:tcBorders>
          </w:tcPr>
          <w:p w14:paraId="3DC05892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TGCTGTTAATAGCGACAAAGTGCATAGTTTTGGCCACT</w:t>
            </w:r>
          </w:p>
          <w:p w14:paraId="03881829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GACTGACTATGCACTGTCGCTATTAA</w:t>
            </w:r>
          </w:p>
        </w:tc>
      </w:tr>
      <w:tr w14:paraId="252781C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top w:val="nil"/>
              <w:bottom w:val="single" w:color="auto" w:sz="12" w:space="0"/>
            </w:tcBorders>
            <w:vAlign w:val="center"/>
          </w:tcPr>
          <w:p w14:paraId="2D5433CC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</w:rPr>
              <w:t>shHIF-1a-3 oligoB</w:t>
            </w:r>
          </w:p>
        </w:tc>
        <w:tc>
          <w:tcPr>
            <w:tcW w:w="6038" w:type="dxa"/>
            <w:tcBorders>
              <w:top w:val="nil"/>
              <w:bottom w:val="single" w:color="auto" w:sz="12" w:space="0"/>
            </w:tcBorders>
          </w:tcPr>
          <w:p w14:paraId="22A03C9C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CCTGTTAATAGCGACAGTGCATAGTCAGTCAGTGGCCA</w:t>
            </w:r>
          </w:p>
          <w:p w14:paraId="60A05F1F">
            <w:pPr>
              <w:spacing w:line="400" w:lineRule="exact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AAACTATGCACTTTGTCGCTATTAAC</w:t>
            </w:r>
          </w:p>
        </w:tc>
      </w:tr>
    </w:tbl>
    <w:p w14:paraId="6BDC9224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</w:p>
    <w:p w14:paraId="766BF350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</w:p>
    <w:p w14:paraId="615B4FB8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</w:p>
    <w:p w14:paraId="4317AEE9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</w:p>
    <w:p w14:paraId="782C001D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</w:p>
    <w:p w14:paraId="5AC560A7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4394835" cy="2038350"/>
            <wp:effectExtent l="0" t="0" r="12065" b="6350"/>
            <wp:docPr id="770018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1810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C3D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kern w:val="0"/>
          <w:szCs w:val="21"/>
          <w:lang w:bidi="ar"/>
        </w:rPr>
      </w:pPr>
      <w:r>
        <w:rPr>
          <w:rFonts w:hint="default" w:ascii="Times New Roman" w:hAnsi="Times New Roman" w:cs="Times New Roman"/>
          <w:highlight w:val="none"/>
        </w:rPr>
        <w:t>Fig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ure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S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1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-1</w:t>
      </w:r>
      <w:r>
        <w:rPr>
          <w:rFonts w:hint="default" w:ascii="Times New Roman" w:hAnsi="Times New Roman" w:eastAsia="黑体" w:cs="Times New Roman"/>
          <w:kern w:val="0"/>
          <w:szCs w:val="21"/>
          <w:lang w:bidi="ar"/>
        </w:rPr>
        <w:t xml:space="preserve"> Plasmid map of PPIGi-shHIF-1α-1</w:t>
      </w:r>
    </w:p>
    <w:p w14:paraId="178DA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kern w:val="0"/>
          <w:szCs w:val="21"/>
          <w:lang w:bidi="ar"/>
        </w:rPr>
      </w:pPr>
    </w:p>
    <w:p w14:paraId="2B5DD3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4432300" cy="2055495"/>
            <wp:effectExtent l="0" t="0" r="0" b="1905"/>
            <wp:docPr id="7275150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15078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11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eastAsia="宋体" w:cs="Times New Roman"/>
          <w:sz w:val="24"/>
        </w:rPr>
      </w:pPr>
      <w:r>
        <w:rPr>
          <w:rFonts w:hint="default" w:ascii="Times New Roman" w:hAnsi="Times New Roman" w:cs="Times New Roman"/>
          <w:highlight w:val="none"/>
        </w:rPr>
        <w:t>Figure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S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1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-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2</w:t>
      </w:r>
      <w:r>
        <w:rPr>
          <w:rFonts w:hint="default" w:ascii="Times New Roman" w:hAnsi="Times New Roman" w:eastAsia="黑体" w:cs="Times New Roman"/>
          <w:kern w:val="0"/>
          <w:szCs w:val="21"/>
          <w:lang w:bidi="ar"/>
        </w:rPr>
        <w:t xml:space="preserve"> Plasmid map of PPIGi-shHIF-1α-</w:t>
      </w:r>
      <w:r>
        <w:rPr>
          <w:rFonts w:hint="eastAsia" w:ascii="Times New Roman" w:hAnsi="Times New Roman" w:eastAsia="黑体" w:cs="Times New Roman"/>
          <w:kern w:val="0"/>
          <w:szCs w:val="21"/>
          <w:lang w:val="en-US" w:eastAsia="zh-CN" w:bidi="ar"/>
        </w:rPr>
        <w:t>2</w:t>
      </w:r>
    </w:p>
    <w:p w14:paraId="4A07FE51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</w:p>
    <w:p w14:paraId="630F967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</w:p>
    <w:p w14:paraId="4782C5FE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</w:p>
    <w:p w14:paraId="3EB943E0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</w:p>
    <w:p w14:paraId="1E5AA599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</w:p>
    <w:p w14:paraId="240A8E19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4630420" cy="2152015"/>
            <wp:effectExtent l="0" t="0" r="5080" b="6985"/>
            <wp:docPr id="19974255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25596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2A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黑体" w:cs="Times New Roman"/>
          <w:kern w:val="0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highlight w:val="none"/>
        </w:rPr>
        <w:t>Figure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S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1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-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kern w:val="0"/>
          <w:szCs w:val="21"/>
          <w:lang w:bidi="ar"/>
        </w:rPr>
        <w:t xml:space="preserve"> Plasmid map of PPIGi-shHIF-1α-</w:t>
      </w:r>
      <w:r>
        <w:rPr>
          <w:rFonts w:hint="eastAsia" w:ascii="Times New Roman" w:hAnsi="Times New Roman" w:eastAsia="黑体" w:cs="Times New Roman"/>
          <w:kern w:val="0"/>
          <w:szCs w:val="21"/>
          <w:lang w:val="en-US" w:eastAsia="zh-CN" w:bidi="ar"/>
        </w:rPr>
        <w:t>3</w:t>
      </w:r>
    </w:p>
    <w:p w14:paraId="523632B1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3D119A04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31C8BD4D">
      <w:pPr>
        <w:widowControl w:val="0"/>
        <w:numPr>
          <w:ilvl w:val="0"/>
          <w:numId w:val="0"/>
        </w:numPr>
        <w:tabs>
          <w:tab w:val="left" w:pos="3403"/>
        </w:tabs>
        <w:ind w:left="0" w:leftChars="0" w:firstLine="0" w:firstLineChars="0"/>
        <w:jc w:val="both"/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highlight w:val="none"/>
          <w:lang w:val="en-US" w:eastAsia="zh-CN" w:bidi="ar-SA"/>
        </w:rPr>
        <w:t xml:space="preserve">2.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PCR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  <w:lang w:val="en-US" w:eastAsia="zh-CN"/>
        </w:rPr>
        <w:t>primer sequences</w:t>
      </w:r>
    </w:p>
    <w:p w14:paraId="0728589E">
      <w:pPr>
        <w:spacing w:before="156" w:beforeLines="50" w:line="360" w:lineRule="auto"/>
        <w:jc w:val="center"/>
        <w:rPr>
          <w:rFonts w:hint="default" w:ascii="Times New Roman" w:hAnsi="Times New Roman" w:eastAsia="黑体" w:cs="Times New Roman"/>
          <w:sz w:val="24"/>
          <w:szCs w:val="24"/>
          <w:highlight w:val="yellow"/>
          <w:lang w:val="en-US" w:eastAsia="zh-CN"/>
        </w:rPr>
      </w:pPr>
      <w:r>
        <w:rPr>
          <w:rFonts w:hint="default" w:ascii="Times New Roman" w:hAnsi="Times New Roman" w:eastAsia="黑体" w:cs="Times New Roman"/>
          <w:kern w:val="0"/>
          <w:sz w:val="21"/>
          <w:szCs w:val="21"/>
          <w:lang w:bidi="ar"/>
        </w:rPr>
        <w:t>Table S</w:t>
      </w:r>
      <w:r>
        <w:rPr>
          <w:rFonts w:hint="eastAsia" w:ascii="Times New Roman" w:hAnsi="Times New Roman" w:eastAsia="黑体" w:cs="Times New Roman"/>
          <w:kern w:val="0"/>
          <w:sz w:val="21"/>
          <w:szCs w:val="21"/>
          <w:lang w:val="en-US" w:eastAsia="zh-CN" w:bidi="ar"/>
        </w:rPr>
        <w:t>2</w:t>
      </w:r>
      <w:r>
        <w:rPr>
          <w:rFonts w:hint="default" w:ascii="Times New Roman" w:hAnsi="Times New Roman" w:eastAsia="黑体" w:cs="Times New Roman"/>
          <w:kern w:val="0"/>
          <w:sz w:val="21"/>
          <w:szCs w:val="21"/>
          <w:lang w:bidi="ar"/>
        </w:rPr>
        <w:t xml:space="preserve"> </w:t>
      </w:r>
      <w:r>
        <w:rPr>
          <w:rFonts w:hint="eastAsia" w:ascii="Times New Roman" w:hAnsi="Times New Roman" w:eastAsia="黑体" w:cs="Times New Roman"/>
          <w:kern w:val="0"/>
          <w:sz w:val="21"/>
          <w:szCs w:val="21"/>
          <w:lang w:val="en-US" w:eastAsia="zh-CN" w:bidi="ar"/>
        </w:rPr>
        <w:t>P</w:t>
      </w:r>
      <w:r>
        <w:rPr>
          <w:rFonts w:hint="default" w:ascii="Times New Roman" w:hAnsi="Times New Roman" w:eastAsia="黑体" w:cs="Times New Roman"/>
          <w:kern w:val="0"/>
          <w:sz w:val="21"/>
          <w:szCs w:val="21"/>
          <w:lang w:bidi="ar"/>
        </w:rPr>
        <w:t>rimer sequences</w:t>
      </w:r>
      <w:r>
        <w:rPr>
          <w:rFonts w:hint="eastAsia" w:ascii="Times New Roman" w:hAnsi="Times New Roman" w:eastAsia="黑体" w:cs="Times New Roman"/>
          <w:kern w:val="0"/>
          <w:sz w:val="21"/>
          <w:szCs w:val="21"/>
          <w:lang w:val="en-US" w:eastAsia="zh-CN" w:bidi="ar"/>
        </w:rPr>
        <w:t xml:space="preserve"> used in HK-2 cells</w:t>
      </w:r>
    </w:p>
    <w:tbl>
      <w:tblPr>
        <w:tblStyle w:val="4"/>
        <w:tblW w:w="9147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4251"/>
        <w:gridCol w:w="2344"/>
      </w:tblGrid>
      <w:tr w14:paraId="30F673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4273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 w:val="0"/>
                <w:bCs/>
                <w:sz w:val="21"/>
                <w:szCs w:val="21"/>
              </w:rPr>
              <w:t>Primer</w:t>
            </w:r>
          </w:p>
        </w:tc>
        <w:tc>
          <w:tcPr>
            <w:tcW w:w="425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25D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 w:val="0"/>
                <w:bCs/>
                <w:sz w:val="21"/>
                <w:szCs w:val="21"/>
                <w:lang w:val="en-US" w:eastAsia="zh-CN"/>
              </w:rPr>
              <w:t>S</w:t>
            </w:r>
            <w:r>
              <w:rPr>
                <w:rFonts w:hint="eastAsia" w:ascii="Times New Roman" w:hAnsi="Times New Roman"/>
                <w:b w:val="0"/>
                <w:bCs/>
                <w:sz w:val="21"/>
                <w:szCs w:val="21"/>
              </w:rPr>
              <w:t>equence</w:t>
            </w:r>
            <w:r>
              <w:rPr>
                <w:rFonts w:hint="eastAsia" w:ascii="Times New Roman" w:hAnsi="Times New Roman"/>
                <w:b w:val="0"/>
                <w:bCs/>
                <w:sz w:val="21"/>
                <w:szCs w:val="21"/>
                <w:lang w:val="en-US" w:eastAsia="zh-CN"/>
              </w:rPr>
              <w:t xml:space="preserve"> (</w:t>
            </w:r>
            <w:r>
              <w:rPr>
                <w:rFonts w:ascii="Times New Roman" w:hAnsi="Times New Roman"/>
                <w:b w:val="0"/>
                <w:bCs/>
                <w:sz w:val="21"/>
                <w:szCs w:val="21"/>
              </w:rPr>
              <w:t>5’ to 3’</w:t>
            </w:r>
            <w:r>
              <w:rPr>
                <w:rFonts w:hint="eastAsia" w:ascii="Times New Roman" w:hAnsi="Times New Roman"/>
                <w:b w:val="0"/>
                <w:bCs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234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A68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 w:val="0"/>
                <w:bCs/>
                <w:sz w:val="21"/>
                <w:szCs w:val="21"/>
              </w:rPr>
              <w:t>Amplicon length</w:t>
            </w:r>
          </w:p>
        </w:tc>
      </w:tr>
      <w:tr w14:paraId="6554FBE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57ABB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Hu-GAPDH-F</w:t>
            </w:r>
          </w:p>
        </w:tc>
        <w:tc>
          <w:tcPr>
            <w:tcW w:w="4251" w:type="dxa"/>
            <w:vAlign w:val="center"/>
          </w:tcPr>
          <w:p w14:paraId="701FE8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GGGGCTCTCCAGAACATC</w:t>
            </w:r>
          </w:p>
        </w:tc>
        <w:tc>
          <w:tcPr>
            <w:tcW w:w="2344" w:type="dxa"/>
            <w:vAlign w:val="center"/>
          </w:tcPr>
          <w:p w14:paraId="1FBF15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</w:tr>
      <w:tr w14:paraId="4CF969E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4A4927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Hu-GAPDH-R</w:t>
            </w:r>
          </w:p>
        </w:tc>
        <w:tc>
          <w:tcPr>
            <w:tcW w:w="4251" w:type="dxa"/>
            <w:vAlign w:val="center"/>
          </w:tcPr>
          <w:p w14:paraId="245E1F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TGACACGTTGGCAGTGG</w:t>
            </w:r>
          </w:p>
        </w:tc>
        <w:tc>
          <w:tcPr>
            <w:tcW w:w="2344" w:type="dxa"/>
            <w:vAlign w:val="center"/>
          </w:tcPr>
          <w:p w14:paraId="27126B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14:paraId="54C3C9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4AC61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Hu-HIF1α-F</w:t>
            </w:r>
          </w:p>
        </w:tc>
        <w:tc>
          <w:tcPr>
            <w:tcW w:w="4251" w:type="dxa"/>
            <w:vAlign w:val="center"/>
          </w:tcPr>
          <w:p w14:paraId="4E531A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GACAGTACAGGATGCTTGCCA</w:t>
            </w:r>
          </w:p>
        </w:tc>
        <w:tc>
          <w:tcPr>
            <w:tcW w:w="2344" w:type="dxa"/>
            <w:vAlign w:val="center"/>
          </w:tcPr>
          <w:p w14:paraId="5CE9E2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14:paraId="3B2786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7027DD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Hu-HIF1α-R</w:t>
            </w:r>
          </w:p>
        </w:tc>
        <w:tc>
          <w:tcPr>
            <w:tcW w:w="4251" w:type="dxa"/>
            <w:vAlign w:val="center"/>
          </w:tcPr>
          <w:p w14:paraId="359E52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ACAATGCACTGTGGTTGAGAA</w:t>
            </w:r>
          </w:p>
        </w:tc>
        <w:tc>
          <w:tcPr>
            <w:tcW w:w="2344" w:type="dxa"/>
            <w:vAlign w:val="center"/>
          </w:tcPr>
          <w:p w14:paraId="794759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14:paraId="599D4BA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5F47C8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Hu-PPARγ-F</w:t>
            </w:r>
          </w:p>
        </w:tc>
        <w:tc>
          <w:tcPr>
            <w:tcW w:w="4251" w:type="dxa"/>
            <w:vAlign w:val="center"/>
          </w:tcPr>
          <w:p w14:paraId="55900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CCAGAAGCCTGCATTTCTGC</w:t>
            </w:r>
          </w:p>
        </w:tc>
        <w:tc>
          <w:tcPr>
            <w:tcW w:w="2344" w:type="dxa"/>
            <w:vAlign w:val="center"/>
          </w:tcPr>
          <w:p w14:paraId="6FFE99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</w:tr>
      <w:tr w14:paraId="4DD027D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634D92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Hu-PPARγ-R</w:t>
            </w:r>
          </w:p>
        </w:tc>
        <w:tc>
          <w:tcPr>
            <w:tcW w:w="4251" w:type="dxa"/>
            <w:vAlign w:val="center"/>
          </w:tcPr>
          <w:p w14:paraId="026F5B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GTGTCAACCATGGTCATTTCGTT</w:t>
            </w:r>
          </w:p>
        </w:tc>
        <w:tc>
          <w:tcPr>
            <w:tcW w:w="2344" w:type="dxa"/>
            <w:vAlign w:val="center"/>
          </w:tcPr>
          <w:p w14:paraId="5EAB2D7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2B49721">
      <w:pPr>
        <w:spacing w:before="156" w:beforeLines="50" w:line="240" w:lineRule="auto"/>
        <w:jc w:val="both"/>
        <w:rPr>
          <w:rFonts w:hint="default" w:ascii="Times New Roman" w:hAnsi="Times New Roman" w:eastAsia="黑体" w:cs="Times New Roman"/>
          <w:kern w:val="0"/>
          <w:sz w:val="21"/>
          <w:szCs w:val="21"/>
          <w:lang w:bidi="ar"/>
        </w:rPr>
      </w:pPr>
    </w:p>
    <w:p w14:paraId="3AB6DCBD">
      <w:pPr>
        <w:spacing w:before="156" w:beforeLines="50" w:line="360" w:lineRule="auto"/>
        <w:jc w:val="center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kern w:val="0"/>
          <w:sz w:val="21"/>
          <w:szCs w:val="21"/>
          <w:lang w:bidi="ar"/>
        </w:rPr>
        <w:t>Table S</w:t>
      </w:r>
      <w:r>
        <w:rPr>
          <w:rFonts w:hint="eastAsia" w:ascii="Times New Roman" w:hAnsi="Times New Roman" w:eastAsia="黑体" w:cs="Times New Roman"/>
          <w:kern w:val="0"/>
          <w:sz w:val="21"/>
          <w:szCs w:val="21"/>
          <w:lang w:val="en-US" w:eastAsia="zh-CN" w:bidi="ar"/>
        </w:rPr>
        <w:t>3 P</w:t>
      </w:r>
      <w:r>
        <w:rPr>
          <w:rFonts w:hint="default" w:ascii="Times New Roman" w:hAnsi="Times New Roman" w:eastAsia="黑体" w:cs="Times New Roman"/>
          <w:kern w:val="0"/>
          <w:sz w:val="21"/>
          <w:szCs w:val="21"/>
          <w:lang w:bidi="ar"/>
        </w:rPr>
        <w:t>rimer sequences</w:t>
      </w:r>
      <w:r>
        <w:rPr>
          <w:rFonts w:hint="eastAsia" w:ascii="Times New Roman" w:hAnsi="Times New Roman" w:eastAsia="黑体" w:cs="Times New Roman"/>
          <w:kern w:val="0"/>
          <w:sz w:val="21"/>
          <w:szCs w:val="21"/>
          <w:lang w:val="en-US" w:eastAsia="zh-CN" w:bidi="ar"/>
        </w:rPr>
        <w:t xml:space="preserve"> used in mouse model</w:t>
      </w:r>
    </w:p>
    <w:tbl>
      <w:tblPr>
        <w:tblStyle w:val="4"/>
        <w:tblW w:w="9147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4251"/>
        <w:gridCol w:w="2344"/>
      </w:tblGrid>
      <w:tr w14:paraId="6D3F7CB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50F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/>
                <w:b/>
              </w:rPr>
            </w:pPr>
            <w:r>
              <w:rPr>
                <w:rFonts w:hint="eastAsia" w:ascii="Times New Roman" w:hAnsi="Times New Roman"/>
                <w:b w:val="0"/>
                <w:bCs/>
                <w:sz w:val="21"/>
                <w:szCs w:val="21"/>
              </w:rPr>
              <w:t>Primer</w:t>
            </w:r>
          </w:p>
        </w:tc>
        <w:tc>
          <w:tcPr>
            <w:tcW w:w="425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0AB42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/>
                <w:b/>
              </w:rPr>
            </w:pPr>
            <w:r>
              <w:rPr>
                <w:rFonts w:hint="eastAsia" w:ascii="Times New Roman" w:hAnsi="Times New Roman"/>
                <w:b w:val="0"/>
                <w:bCs/>
                <w:sz w:val="21"/>
                <w:szCs w:val="21"/>
                <w:lang w:val="en-US" w:eastAsia="zh-CN"/>
              </w:rPr>
              <w:t>S</w:t>
            </w:r>
            <w:r>
              <w:rPr>
                <w:rFonts w:hint="eastAsia" w:ascii="Times New Roman" w:hAnsi="Times New Roman"/>
                <w:b w:val="0"/>
                <w:bCs/>
                <w:sz w:val="21"/>
                <w:szCs w:val="21"/>
              </w:rPr>
              <w:t>equence</w:t>
            </w:r>
            <w:r>
              <w:rPr>
                <w:rFonts w:hint="eastAsia" w:ascii="Times New Roman" w:hAnsi="Times New Roman"/>
                <w:b w:val="0"/>
                <w:bCs/>
                <w:sz w:val="21"/>
                <w:szCs w:val="21"/>
                <w:lang w:val="en-US" w:eastAsia="zh-CN"/>
              </w:rPr>
              <w:t xml:space="preserve"> (</w:t>
            </w:r>
            <w:r>
              <w:rPr>
                <w:rFonts w:ascii="Times New Roman" w:hAnsi="Times New Roman"/>
                <w:b w:val="0"/>
                <w:bCs/>
                <w:sz w:val="21"/>
                <w:szCs w:val="21"/>
              </w:rPr>
              <w:t>5’ to 3’</w:t>
            </w:r>
            <w:r>
              <w:rPr>
                <w:rFonts w:hint="eastAsia" w:ascii="Times New Roman" w:hAnsi="Times New Roman"/>
                <w:b w:val="0"/>
                <w:bCs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234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953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 w:val="0"/>
                <w:bCs/>
                <w:sz w:val="21"/>
                <w:szCs w:val="21"/>
              </w:rPr>
              <w:t>Amplicon length</w:t>
            </w:r>
          </w:p>
        </w:tc>
      </w:tr>
      <w:tr w14:paraId="4572126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1A2211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Mu-GAPDH-F</w:t>
            </w:r>
          </w:p>
        </w:tc>
        <w:tc>
          <w:tcPr>
            <w:tcW w:w="4251" w:type="dxa"/>
            <w:vAlign w:val="center"/>
          </w:tcPr>
          <w:p w14:paraId="5E321C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AGGTCGGTGTGAACGGATTTG</w:t>
            </w:r>
          </w:p>
        </w:tc>
        <w:tc>
          <w:tcPr>
            <w:tcW w:w="2344" w:type="dxa"/>
            <w:vAlign w:val="center"/>
          </w:tcPr>
          <w:p w14:paraId="6FC8D6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</w:tr>
      <w:tr w14:paraId="76E55CE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5F685E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Mu-GAPDH-R</w:t>
            </w:r>
          </w:p>
        </w:tc>
        <w:tc>
          <w:tcPr>
            <w:tcW w:w="4251" w:type="dxa"/>
            <w:vAlign w:val="center"/>
          </w:tcPr>
          <w:p w14:paraId="305EAE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TGTAGACCATGTAGTTGAGGTCA</w:t>
            </w:r>
          </w:p>
        </w:tc>
        <w:tc>
          <w:tcPr>
            <w:tcW w:w="2344" w:type="dxa"/>
            <w:vAlign w:val="center"/>
          </w:tcPr>
          <w:p w14:paraId="67A929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14:paraId="0C52428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5C4A29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Mu-HIF1α-F</w:t>
            </w:r>
          </w:p>
        </w:tc>
        <w:tc>
          <w:tcPr>
            <w:tcW w:w="4251" w:type="dxa"/>
            <w:vAlign w:val="center"/>
          </w:tcPr>
          <w:p w14:paraId="0AA2D9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TCTGCCAGTTTTCTGGGCAA</w:t>
            </w:r>
          </w:p>
        </w:tc>
        <w:tc>
          <w:tcPr>
            <w:tcW w:w="2344" w:type="dxa"/>
            <w:vAlign w:val="center"/>
          </w:tcPr>
          <w:p w14:paraId="73A4FE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</w:tr>
      <w:tr w14:paraId="1F5A869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0530C6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Mu-HIF1α-R</w:t>
            </w:r>
          </w:p>
        </w:tc>
        <w:tc>
          <w:tcPr>
            <w:tcW w:w="4251" w:type="dxa"/>
            <w:vAlign w:val="center"/>
          </w:tcPr>
          <w:p w14:paraId="75ABE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GGGGAAGTGGCAACTGATGA</w:t>
            </w:r>
          </w:p>
        </w:tc>
        <w:tc>
          <w:tcPr>
            <w:tcW w:w="2344" w:type="dxa"/>
            <w:vAlign w:val="center"/>
          </w:tcPr>
          <w:p w14:paraId="60D91F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14:paraId="6D95CD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22F38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Mu-PPARγ-F</w:t>
            </w:r>
          </w:p>
        </w:tc>
        <w:tc>
          <w:tcPr>
            <w:tcW w:w="4251" w:type="dxa"/>
            <w:vAlign w:val="center"/>
          </w:tcPr>
          <w:p w14:paraId="4D665F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TGTGAGACCAACAGCCTGAC</w:t>
            </w:r>
          </w:p>
        </w:tc>
        <w:tc>
          <w:tcPr>
            <w:tcW w:w="2344" w:type="dxa"/>
            <w:vAlign w:val="center"/>
          </w:tcPr>
          <w:p w14:paraId="6108BB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</w:tr>
      <w:tr w14:paraId="3D8D20D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52" w:type="dxa"/>
            <w:vAlign w:val="center"/>
          </w:tcPr>
          <w:p w14:paraId="18D476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Mu-PPARγ-R</w:t>
            </w:r>
          </w:p>
        </w:tc>
        <w:tc>
          <w:tcPr>
            <w:tcW w:w="4251" w:type="dxa"/>
            <w:vAlign w:val="center"/>
          </w:tcPr>
          <w:p w14:paraId="707FE1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TCAGTGGTTCACCGCTTCTT</w:t>
            </w:r>
          </w:p>
        </w:tc>
        <w:tc>
          <w:tcPr>
            <w:tcW w:w="2344" w:type="dxa"/>
            <w:vAlign w:val="center"/>
          </w:tcPr>
          <w:p w14:paraId="531B326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EDB101C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73F42E90">
      <w:pPr>
        <w:numPr>
          <w:ilvl w:val="0"/>
          <w:numId w:val="0"/>
        </w:num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3. Molecular docking Ligplot 2D schematic diagram</w:t>
      </w:r>
    </w:p>
    <w:p w14:paraId="2547D641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863090"/>
            <wp:effectExtent l="0" t="0" r="9525" b="3810"/>
            <wp:docPr id="5" name="图片 5" descr="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P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F161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</w:rPr>
        <w:t>Figure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S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2 Protein-protein interaction 2D schematic diagram. The green lines in the diagram represent hydrogen bonds, while the red lines represent other interactions.</w:t>
      </w:r>
    </w:p>
    <w:p w14:paraId="2F53485C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Times New Roman" w:hAnsi="Times New Roman" w:cs="Times New Roman"/>
          <w:highlight w:val="none"/>
          <w:lang w:val="en-US" w:eastAsia="zh-CN"/>
        </w:rPr>
      </w:pPr>
    </w:p>
    <w:p w14:paraId="23185755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4. Photographs of as-prepared CCDs</w:t>
      </w:r>
    </w:p>
    <w:p w14:paraId="4778FE88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 w14:paraId="68373EDB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476875" cy="108013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6183">
      <w:pPr>
        <w:pStyle w:val="2"/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t>Figure S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/>
          <w:lang w:val="en-US" w:eastAsia="zh-CN"/>
        </w:rPr>
        <w:t xml:space="preserve"> The photographs of CCDs powder</w:t>
      </w:r>
      <w:r>
        <w:rPr>
          <w:rFonts w:hint="eastAsia" w:ascii="Times New Roman" w:hAnsi="Times New Roman" w:cs="Times New Roman"/>
          <w:lang w:val="en-US" w:eastAsia="zh-CN"/>
        </w:rPr>
        <w:t>s.</w:t>
      </w:r>
    </w:p>
    <w:p w14:paraId="40BBD9A7">
      <w:pPr>
        <w:rPr>
          <w:rFonts w:hint="default" w:ascii="Times New Roman" w:hAnsi="Times New Roman" w:cs="Times New Roman"/>
          <w:lang w:val="en-US" w:eastAsia="zh-CN"/>
        </w:rPr>
      </w:pPr>
    </w:p>
    <w:p w14:paraId="4CCC4295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 xml:space="preserve">5.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Transcriptomic analysis heatmap</w:t>
      </w:r>
    </w:p>
    <w:p w14:paraId="72F5E223">
      <w:pPr>
        <w:widowControl w:val="0"/>
        <w:numPr>
          <w:ilvl w:val="0"/>
          <w:numId w:val="0"/>
        </w:numPr>
        <w:ind w:leftChars="0"/>
        <w:jc w:val="center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3143250" cy="3263265"/>
            <wp:effectExtent l="0" t="0" r="635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44AA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Figure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S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4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Preliminary transcriptomic heatmap results from the research group revealed that HIF-1α and PPARγ expression was synchronously up-regulated in mouse kidney tissue following uranium exposure.</w:t>
      </w:r>
    </w:p>
    <w:p w14:paraId="4743778D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</w:p>
    <w:p w14:paraId="49DE65FF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default" w:ascii="Times New Roman" w:hAnsi="Times New Roman" w:cs="Times New Roman" w:eastAsiaTheme="major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 w:eastAsiaTheme="majorEastAsia"/>
          <w:b/>
          <w:bCs/>
          <w:kern w:val="2"/>
          <w:sz w:val="24"/>
          <w:szCs w:val="24"/>
          <w:lang w:val="en-US" w:eastAsia="zh-CN" w:bidi="ar-SA"/>
        </w:rPr>
        <w:t>6</w:t>
      </w:r>
      <w:r>
        <w:rPr>
          <w:rFonts w:hint="default" w:ascii="Times New Roman" w:hAnsi="Times New Roman" w:cs="Times New Roman" w:eastAsiaTheme="majorEastAsia"/>
          <w:b/>
          <w:bCs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 w:eastAsiaTheme="majorEastAsia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 w:eastAsiaTheme="majorEastAsia"/>
          <w:b/>
          <w:bCs/>
          <w:sz w:val="24"/>
          <w:szCs w:val="24"/>
          <w:highlight w:val="none"/>
          <w:lang w:val="en-US" w:eastAsia="zh-CN"/>
        </w:rPr>
        <w:t>Carbon dots biocompatibility experimental results</w:t>
      </w:r>
    </w:p>
    <w:p w14:paraId="765FA27F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4566285" cy="2402840"/>
            <wp:effectExtent l="0" t="0" r="5715" b="10160"/>
            <wp:docPr id="4" name="图片 4" descr="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组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32A7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</w:rPr>
        <w:t>Figure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S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5 A. Effects of curcumin and curcumin carbon dots (CCDs-120, CCDs-150, CCDs-180, CCDs-210) on the viability of HK-2 cells; B. In vitro hemolysis assay of curcumin and curcumin carbon dots (CCDs-120, CCDs-150, CCDs-180, CCDs-210). The results show that the hemolysis rates in all groups are significantly lower than 5%, indicating excellent biocompatibility.</w:t>
      </w:r>
    </w:p>
    <w:p w14:paraId="7E3A4AF2"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highlight w:val="none"/>
          <w:lang w:val="en-US" w:eastAsia="zh-CN"/>
        </w:rPr>
      </w:pPr>
    </w:p>
    <w:p w14:paraId="0A786A77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4147F0"/>
    <w:rsid w:val="00A63962"/>
    <w:rsid w:val="00C104B9"/>
    <w:rsid w:val="069F1ABB"/>
    <w:rsid w:val="094E18E1"/>
    <w:rsid w:val="141B23B3"/>
    <w:rsid w:val="148B27E4"/>
    <w:rsid w:val="154147F0"/>
    <w:rsid w:val="15BD2562"/>
    <w:rsid w:val="16B863D3"/>
    <w:rsid w:val="19A35324"/>
    <w:rsid w:val="1BC752FA"/>
    <w:rsid w:val="1CED31DA"/>
    <w:rsid w:val="1E357192"/>
    <w:rsid w:val="1F27744B"/>
    <w:rsid w:val="2236664E"/>
    <w:rsid w:val="23512FFE"/>
    <w:rsid w:val="29126E23"/>
    <w:rsid w:val="2A447AF7"/>
    <w:rsid w:val="2C9F5275"/>
    <w:rsid w:val="30975661"/>
    <w:rsid w:val="321C75CA"/>
    <w:rsid w:val="357B4FEB"/>
    <w:rsid w:val="37CB063E"/>
    <w:rsid w:val="39616936"/>
    <w:rsid w:val="3A282FB0"/>
    <w:rsid w:val="3AF54C0B"/>
    <w:rsid w:val="3D4769C7"/>
    <w:rsid w:val="3DE12D2B"/>
    <w:rsid w:val="3E374CB6"/>
    <w:rsid w:val="3EF332E5"/>
    <w:rsid w:val="3F5059F5"/>
    <w:rsid w:val="3F93165A"/>
    <w:rsid w:val="40390AB7"/>
    <w:rsid w:val="4100099C"/>
    <w:rsid w:val="415B010F"/>
    <w:rsid w:val="424A21BE"/>
    <w:rsid w:val="44C1472D"/>
    <w:rsid w:val="45F83C56"/>
    <w:rsid w:val="48C920F7"/>
    <w:rsid w:val="4C345DA7"/>
    <w:rsid w:val="4E174F3A"/>
    <w:rsid w:val="53FD1E0E"/>
    <w:rsid w:val="54235713"/>
    <w:rsid w:val="55D1374D"/>
    <w:rsid w:val="59516241"/>
    <w:rsid w:val="59841A6C"/>
    <w:rsid w:val="59A52234"/>
    <w:rsid w:val="5BD92074"/>
    <w:rsid w:val="63690012"/>
    <w:rsid w:val="6553506E"/>
    <w:rsid w:val="66533F6E"/>
    <w:rsid w:val="6A3456EC"/>
    <w:rsid w:val="6C03109C"/>
    <w:rsid w:val="6D205949"/>
    <w:rsid w:val="70761FC0"/>
    <w:rsid w:val="70974410"/>
    <w:rsid w:val="70A33D4F"/>
    <w:rsid w:val="73394BB6"/>
    <w:rsid w:val="793F5645"/>
    <w:rsid w:val="7A430AD1"/>
    <w:rsid w:val="7C2E3ECA"/>
    <w:rsid w:val="7D2F6326"/>
    <w:rsid w:val="7EB8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3">
    <w:name w:val="Normal (Web)"/>
    <w:basedOn w:val="1"/>
    <w:qFormat/>
    <w:uiPriority w:val="0"/>
    <w:rPr>
      <w:sz w:val="24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Emphasis"/>
    <w:basedOn w:val="6"/>
    <w:qFormat/>
    <w:uiPriority w:val="0"/>
    <w:rPr>
      <w:i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tif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251</Words>
  <Characters>2063</Characters>
  <Lines>0</Lines>
  <Paragraphs>0</Paragraphs>
  <TotalTime>2</TotalTime>
  <ScaleCrop>false</ScaleCrop>
  <LinksUpToDate>false</LinksUpToDate>
  <CharactersWithSpaces>2241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2026-01-14T03:54:00Z</dcterms:created>
  <dc:creator>MAYDAY</dc:creator>
  <cp:lastModifiedBy>熊熊</cp:lastModifiedBy>
  <dcterms:modified xsi:type="dcterms:W3CDTF">2026-02-24T08:49:15Z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BB2E5222C5CA4726AC5DD1994BDDD777_11</vt:lpwstr>
  </property>
  <property fmtid="{D5CDD505-2E9C-101B-9397-08002B2CF9AE}" pid="4" name="KSOTemplateDocerSaveRecord">
    <vt:lpwstr>eyJoZGlkIjoiN2ZiMWU4NjE2ZThjZWFmNTIyNjY1N2Y2MGM4NGU0YzgiLCJ1c2VySWQiOiIyMzg0NTM2NzAifQ==</vt:lpwstr>
  </property>
</Properties>
</file>