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7CF4D" w14:textId="77777777" w:rsidR="00EC7C85" w:rsidRDefault="00EC7C85" w:rsidP="00F125EE">
      <w:pPr>
        <w:rPr>
          <w:sz w:val="36"/>
          <w:szCs w:val="36"/>
        </w:rPr>
      </w:pPr>
    </w:p>
    <w:p w14:paraId="33788641" w14:textId="77777777" w:rsidR="00F125EE" w:rsidRDefault="00F125EE" w:rsidP="00FA1481">
      <w:pPr>
        <w:jc w:val="center"/>
        <w:rPr>
          <w:sz w:val="36"/>
          <w:szCs w:val="36"/>
        </w:rPr>
      </w:pPr>
    </w:p>
    <w:p w14:paraId="31C337D1" w14:textId="77777777" w:rsidR="00D04BCF" w:rsidRPr="003B40E6" w:rsidRDefault="00BB2D2A" w:rsidP="00FA1481">
      <w:pPr>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rsidP="00F53570">
      <w:pPr>
        <w:jc w:val="both"/>
      </w:pPr>
    </w:p>
    <w:p w14:paraId="339B31F7" w14:textId="5933DED0" w:rsidR="00015F74" w:rsidRDefault="00F53570" w:rsidP="00F53570">
      <w:pPr>
        <w:jc w:val="both"/>
        <w:rPr>
          <w:rFonts w:eastAsia="맑은 고딕"/>
          <w:sz w:val="28"/>
          <w:szCs w:val="28"/>
          <w:lang w:eastAsia="ko-KR"/>
        </w:rPr>
      </w:pPr>
      <w:r w:rsidRPr="00F53570">
        <w:rPr>
          <w:sz w:val="28"/>
          <w:szCs w:val="28"/>
        </w:rPr>
        <w:t>Toll-like Receptor 2 Exerts Oligodendrocyte Protection in White Matter Stroke Through Downstream NF-κB-cIAP2</w:t>
      </w:r>
    </w:p>
    <w:p w14:paraId="5BC1450F" w14:textId="77777777" w:rsidR="00F53570" w:rsidRPr="00F53570" w:rsidRDefault="00F53570" w:rsidP="00F53570">
      <w:pPr>
        <w:jc w:val="both"/>
        <w:rPr>
          <w:rFonts w:eastAsia="맑은 고딕" w:hint="eastAsia"/>
          <w:sz w:val="28"/>
          <w:szCs w:val="28"/>
          <w:lang w:eastAsia="ko-KR"/>
        </w:rPr>
      </w:pPr>
    </w:p>
    <w:p w14:paraId="2EDC80C8" w14:textId="77777777" w:rsidR="00F53570" w:rsidRPr="00F53570" w:rsidRDefault="00F53570" w:rsidP="00F53570">
      <w:pPr>
        <w:jc w:val="both"/>
        <w:rPr>
          <w:iCs/>
          <w:szCs w:val="24"/>
        </w:rPr>
      </w:pPr>
      <w:r w:rsidRPr="00F53570">
        <w:rPr>
          <w:iCs/>
          <w:szCs w:val="24"/>
        </w:rPr>
        <w:t>Hanki Kim</w:t>
      </w:r>
      <w:r w:rsidRPr="00F53570">
        <w:rPr>
          <w:iCs/>
          <w:szCs w:val="24"/>
          <w:vertAlign w:val="superscript"/>
        </w:rPr>
        <w:t>1,</w:t>
      </w:r>
      <w:r w:rsidRPr="00F53570">
        <w:rPr>
          <w:rFonts w:hint="eastAsia"/>
          <w:iCs/>
          <w:szCs w:val="24"/>
          <w:vertAlign w:val="superscript"/>
        </w:rPr>
        <w:t>2,6</w:t>
      </w:r>
      <w:r w:rsidRPr="00F53570">
        <w:rPr>
          <w:iCs/>
          <w:szCs w:val="24"/>
          <w:vertAlign w:val="superscript"/>
        </w:rPr>
        <w:t>,</w:t>
      </w:r>
      <w:proofErr w:type="gramStart"/>
      <w:r w:rsidRPr="00F53570">
        <w:rPr>
          <w:rFonts w:hint="eastAsia"/>
          <w:iCs/>
          <w:szCs w:val="24"/>
          <w:vertAlign w:val="superscript"/>
        </w:rPr>
        <w:t>7</w:t>
      </w:r>
      <w:r w:rsidRPr="00F53570">
        <w:rPr>
          <w:iCs/>
          <w:szCs w:val="24"/>
          <w:vertAlign w:val="superscript"/>
        </w:rPr>
        <w:t>†</w:t>
      </w:r>
      <w:r w:rsidRPr="00F53570">
        <w:rPr>
          <w:iCs/>
          <w:szCs w:val="24"/>
        </w:rPr>
        <w:t>,</w:t>
      </w:r>
      <w:proofErr w:type="gramEnd"/>
      <w:r w:rsidRPr="00F53570">
        <w:rPr>
          <w:iCs/>
          <w:szCs w:val="24"/>
        </w:rPr>
        <w:t xml:space="preserve"> </w:t>
      </w:r>
      <w:proofErr w:type="spellStart"/>
      <w:r w:rsidRPr="00F53570">
        <w:rPr>
          <w:iCs/>
          <w:szCs w:val="24"/>
        </w:rPr>
        <w:t>Xuelian</w:t>
      </w:r>
      <w:proofErr w:type="spellEnd"/>
      <w:r w:rsidRPr="00F53570">
        <w:rPr>
          <w:iCs/>
          <w:szCs w:val="24"/>
        </w:rPr>
        <w:t xml:space="preserve"> Jin</w:t>
      </w:r>
      <w:r w:rsidRPr="00F53570">
        <w:rPr>
          <w:iCs/>
          <w:szCs w:val="24"/>
          <w:vertAlign w:val="superscript"/>
        </w:rPr>
        <w:t>1,</w:t>
      </w:r>
      <w:proofErr w:type="gramStart"/>
      <w:r w:rsidRPr="00F53570">
        <w:rPr>
          <w:rFonts w:hint="eastAsia"/>
          <w:iCs/>
          <w:szCs w:val="24"/>
          <w:vertAlign w:val="superscript"/>
        </w:rPr>
        <w:t>8</w:t>
      </w:r>
      <w:r w:rsidRPr="00F53570">
        <w:rPr>
          <w:iCs/>
          <w:szCs w:val="24"/>
          <w:vertAlign w:val="superscript"/>
        </w:rPr>
        <w:t>†</w:t>
      </w:r>
      <w:r w:rsidRPr="00F53570">
        <w:rPr>
          <w:iCs/>
          <w:szCs w:val="24"/>
        </w:rPr>
        <w:t>,</w:t>
      </w:r>
      <w:proofErr w:type="gramEnd"/>
      <w:r w:rsidRPr="00F53570">
        <w:rPr>
          <w:iCs/>
          <w:szCs w:val="24"/>
        </w:rPr>
        <w:t xml:space="preserve"> Jun Young Choi</w:t>
      </w:r>
      <w:r w:rsidRPr="00F53570">
        <w:rPr>
          <w:iCs/>
          <w:szCs w:val="24"/>
          <w:vertAlign w:val="superscript"/>
        </w:rPr>
        <w:t>1,</w:t>
      </w:r>
      <w:proofErr w:type="gramStart"/>
      <w:r w:rsidRPr="00F53570">
        <w:rPr>
          <w:rFonts w:hint="eastAsia"/>
          <w:iCs/>
          <w:szCs w:val="24"/>
          <w:vertAlign w:val="superscript"/>
        </w:rPr>
        <w:t>3</w:t>
      </w:r>
      <w:r w:rsidRPr="00F53570">
        <w:rPr>
          <w:iCs/>
          <w:szCs w:val="24"/>
          <w:vertAlign w:val="superscript"/>
        </w:rPr>
        <w:t>,</w:t>
      </w:r>
      <w:r w:rsidRPr="00F53570">
        <w:rPr>
          <w:rFonts w:hint="eastAsia"/>
          <w:iCs/>
          <w:szCs w:val="24"/>
          <w:vertAlign w:val="superscript"/>
        </w:rPr>
        <w:t>6</w:t>
      </w:r>
      <w:r w:rsidRPr="00F53570">
        <w:rPr>
          <w:iCs/>
          <w:szCs w:val="24"/>
          <w:vertAlign w:val="superscript"/>
        </w:rPr>
        <w:t>†*</w:t>
      </w:r>
      <w:proofErr w:type="gramEnd"/>
      <w:r w:rsidRPr="00F53570">
        <w:rPr>
          <w:iCs/>
          <w:szCs w:val="24"/>
        </w:rPr>
        <w:t>, Samma Tasneem Chowdhury</w:t>
      </w:r>
      <w:r w:rsidRPr="00F53570">
        <w:rPr>
          <w:iCs/>
          <w:szCs w:val="24"/>
          <w:vertAlign w:val="superscript"/>
        </w:rPr>
        <w:t>1</w:t>
      </w:r>
      <w:r w:rsidRPr="00F53570">
        <w:rPr>
          <w:iCs/>
          <w:szCs w:val="24"/>
        </w:rPr>
        <w:t>, Yue-Xian Cui</w:t>
      </w:r>
      <w:r w:rsidRPr="00F53570">
        <w:rPr>
          <w:iCs/>
          <w:szCs w:val="24"/>
          <w:vertAlign w:val="superscript"/>
        </w:rPr>
        <w:t>1,</w:t>
      </w:r>
      <w:r w:rsidRPr="00F53570">
        <w:rPr>
          <w:rFonts w:hint="eastAsia"/>
          <w:iCs/>
          <w:szCs w:val="24"/>
          <w:vertAlign w:val="superscript"/>
        </w:rPr>
        <w:t>9</w:t>
      </w:r>
      <w:r w:rsidRPr="00F53570">
        <w:rPr>
          <w:iCs/>
          <w:szCs w:val="24"/>
        </w:rPr>
        <w:t>, Hyo Jin Cho</w:t>
      </w:r>
      <w:r w:rsidRPr="00F53570">
        <w:rPr>
          <w:iCs/>
          <w:szCs w:val="24"/>
          <w:vertAlign w:val="superscript"/>
        </w:rPr>
        <w:t>1</w:t>
      </w:r>
      <w:r w:rsidRPr="00F53570">
        <w:rPr>
          <w:iCs/>
          <w:szCs w:val="24"/>
        </w:rPr>
        <w:t>, Bum Jun Kim</w:t>
      </w:r>
      <w:r w:rsidRPr="00F53570">
        <w:rPr>
          <w:iCs/>
          <w:szCs w:val="24"/>
          <w:vertAlign w:val="superscript"/>
        </w:rPr>
        <w:t>1</w:t>
      </w:r>
      <w:r w:rsidRPr="00F53570">
        <w:rPr>
          <w:iCs/>
          <w:szCs w:val="24"/>
        </w:rPr>
        <w:t xml:space="preserve">, </w:t>
      </w:r>
      <w:proofErr w:type="spellStart"/>
      <w:r w:rsidRPr="00F53570">
        <w:rPr>
          <w:iCs/>
          <w:szCs w:val="24"/>
        </w:rPr>
        <w:t>Seungyon</w:t>
      </w:r>
      <w:proofErr w:type="spellEnd"/>
      <w:r w:rsidRPr="00F53570">
        <w:rPr>
          <w:iCs/>
          <w:szCs w:val="24"/>
        </w:rPr>
        <w:t xml:space="preserve"> Koh</w:t>
      </w:r>
      <w:r w:rsidRPr="00F53570">
        <w:rPr>
          <w:iCs/>
          <w:szCs w:val="24"/>
          <w:vertAlign w:val="superscript"/>
        </w:rPr>
        <w:t>1,</w:t>
      </w:r>
      <w:r w:rsidRPr="00F53570">
        <w:rPr>
          <w:rFonts w:hint="eastAsia"/>
          <w:iCs/>
          <w:szCs w:val="24"/>
          <w:vertAlign w:val="superscript"/>
        </w:rPr>
        <w:t>4</w:t>
      </w:r>
      <w:r w:rsidRPr="00F53570">
        <w:rPr>
          <w:iCs/>
          <w:szCs w:val="24"/>
        </w:rPr>
        <w:t>, Seung Eun Lee</w:t>
      </w:r>
      <w:r w:rsidRPr="00F53570">
        <w:rPr>
          <w:rFonts w:hint="eastAsia"/>
          <w:iCs/>
          <w:szCs w:val="24"/>
          <w:vertAlign w:val="superscript"/>
        </w:rPr>
        <w:t>10</w:t>
      </w:r>
      <w:r w:rsidRPr="00F53570">
        <w:rPr>
          <w:iCs/>
          <w:szCs w:val="24"/>
        </w:rPr>
        <w:t>, Su Bin Lim</w:t>
      </w:r>
      <w:r w:rsidRPr="00F53570">
        <w:rPr>
          <w:rFonts w:hint="eastAsia"/>
          <w:iCs/>
          <w:szCs w:val="24"/>
          <w:vertAlign w:val="superscript"/>
        </w:rPr>
        <w:t>5</w:t>
      </w:r>
      <w:r w:rsidRPr="00F53570">
        <w:rPr>
          <w:iCs/>
          <w:szCs w:val="24"/>
        </w:rPr>
        <w:t>, Byung Gon Kim</w:t>
      </w:r>
      <w:r w:rsidRPr="00F53570">
        <w:rPr>
          <w:iCs/>
          <w:szCs w:val="24"/>
          <w:vertAlign w:val="superscript"/>
        </w:rPr>
        <w:t>1,</w:t>
      </w:r>
      <w:r w:rsidRPr="00F53570">
        <w:rPr>
          <w:rFonts w:hint="eastAsia"/>
          <w:iCs/>
          <w:szCs w:val="24"/>
          <w:vertAlign w:val="superscript"/>
        </w:rPr>
        <w:t>3</w:t>
      </w:r>
      <w:r w:rsidRPr="00F53570">
        <w:rPr>
          <w:iCs/>
          <w:szCs w:val="24"/>
          <w:vertAlign w:val="superscript"/>
        </w:rPr>
        <w:t>,</w:t>
      </w:r>
      <w:r w:rsidRPr="00F53570">
        <w:rPr>
          <w:rFonts w:hint="eastAsia"/>
          <w:iCs/>
          <w:szCs w:val="24"/>
          <w:vertAlign w:val="superscript"/>
        </w:rPr>
        <w:t>6</w:t>
      </w:r>
      <w:r w:rsidRPr="00F53570">
        <w:rPr>
          <w:iCs/>
          <w:szCs w:val="24"/>
          <w:vertAlign w:val="superscript"/>
        </w:rPr>
        <w:t>*</w:t>
      </w:r>
    </w:p>
    <w:p w14:paraId="0648E06D" w14:textId="77777777" w:rsidR="000F0DCE" w:rsidRDefault="000F0DCE" w:rsidP="00F53570">
      <w:pPr>
        <w:jc w:val="both"/>
        <w:rPr>
          <w:szCs w:val="24"/>
        </w:rPr>
      </w:pPr>
    </w:p>
    <w:p w14:paraId="34D67477" w14:textId="63BB78C0" w:rsidR="004779CB" w:rsidRDefault="00E4519A" w:rsidP="00F53570">
      <w:pPr>
        <w:jc w:val="both"/>
        <w:rPr>
          <w:rFonts w:eastAsia="맑은 고딕"/>
          <w:szCs w:val="22"/>
          <w:lang w:eastAsia="ko-KR"/>
        </w:rPr>
      </w:pPr>
      <w:r>
        <w:rPr>
          <w:szCs w:val="24"/>
        </w:rPr>
        <w:t xml:space="preserve">Correspondence </w:t>
      </w:r>
      <w:r w:rsidR="004779CB">
        <w:rPr>
          <w:szCs w:val="24"/>
        </w:rPr>
        <w:t>to:</w:t>
      </w:r>
      <w:r w:rsidR="00BC3E04">
        <w:rPr>
          <w:szCs w:val="24"/>
        </w:rPr>
        <w:t xml:space="preserve"> </w:t>
      </w:r>
      <w:r w:rsidR="00F53570" w:rsidRPr="00F253A1">
        <w:rPr>
          <w:szCs w:val="22"/>
        </w:rPr>
        <w:t xml:space="preserve"> </w:t>
      </w:r>
      <w:r w:rsidR="00F53570" w:rsidRPr="00F53570">
        <w:rPr>
          <w:szCs w:val="22"/>
        </w:rPr>
        <w:t>taz312@gmail.com</w:t>
      </w:r>
      <w:r w:rsidR="00F53570">
        <w:rPr>
          <w:rFonts w:eastAsia="맑은 고딕" w:hint="eastAsia"/>
          <w:szCs w:val="22"/>
          <w:lang w:eastAsia="ko-KR"/>
        </w:rPr>
        <w:t xml:space="preserve">, </w:t>
      </w:r>
      <w:r w:rsidR="00F53570" w:rsidRPr="00F253A1">
        <w:rPr>
          <w:szCs w:val="22"/>
        </w:rPr>
        <w:t>kimbg@ajou.ac.kr</w:t>
      </w:r>
    </w:p>
    <w:p w14:paraId="778039D9" w14:textId="77777777" w:rsidR="00F53570" w:rsidRPr="00F53570" w:rsidRDefault="00F53570" w:rsidP="00F53570">
      <w:pPr>
        <w:jc w:val="both"/>
        <w:rPr>
          <w:rFonts w:eastAsia="맑은 고딕" w:hint="eastAsia"/>
          <w:szCs w:val="24"/>
          <w:lang w:eastAsia="ko-KR"/>
        </w:rPr>
      </w:pPr>
    </w:p>
    <w:p w14:paraId="223EBBEB" w14:textId="77777777" w:rsidR="002C030F" w:rsidRPr="00F53570" w:rsidRDefault="002C030F" w:rsidP="00F53570">
      <w:pPr>
        <w:jc w:val="both"/>
        <w:rPr>
          <w:rFonts w:eastAsia="맑은 고딕" w:hint="eastAsia"/>
          <w:lang w:eastAsia="ko-KR"/>
        </w:rPr>
      </w:pPr>
    </w:p>
    <w:p w14:paraId="5BBBF32C" w14:textId="77777777" w:rsidR="00015F74" w:rsidRDefault="00015F74">
      <w:pPr>
        <w:rPr>
          <w:b/>
        </w:rPr>
      </w:pPr>
    </w:p>
    <w:p w14:paraId="546CBFCA" w14:textId="77777777" w:rsidR="002C030F" w:rsidRPr="00262D72" w:rsidRDefault="009743A9">
      <w:pPr>
        <w:rPr>
          <w:b/>
        </w:rPr>
      </w:pPr>
      <w:r>
        <w:rPr>
          <w:b/>
        </w:rPr>
        <w:t xml:space="preserve">This PDF file </w:t>
      </w:r>
      <w:r w:rsidR="002C030F" w:rsidRPr="00262D72">
        <w:rPr>
          <w:b/>
        </w:rPr>
        <w:t>includes:</w:t>
      </w:r>
    </w:p>
    <w:p w14:paraId="6B069C4B" w14:textId="77777777" w:rsidR="002C030F" w:rsidRDefault="002C030F"/>
    <w:p w14:paraId="77A6E95F" w14:textId="77777777" w:rsidR="002C030F" w:rsidRDefault="002C030F" w:rsidP="00262D72">
      <w:pPr>
        <w:ind w:left="720"/>
      </w:pPr>
      <w:r>
        <w:t>Materials and Methods</w:t>
      </w:r>
    </w:p>
    <w:p w14:paraId="5953D2BA" w14:textId="697A123A" w:rsidR="002C030F" w:rsidRDefault="00BB2D2A" w:rsidP="00262D72">
      <w:pPr>
        <w:ind w:left="720"/>
      </w:pPr>
      <w:r>
        <w:t>Supplementary</w:t>
      </w:r>
      <w:r w:rsidR="00AB399E">
        <w:t xml:space="preserve"> </w:t>
      </w:r>
      <w:r w:rsidR="002C030F">
        <w:t>Text</w:t>
      </w:r>
    </w:p>
    <w:p w14:paraId="7FC81517" w14:textId="51022CE9" w:rsidR="002C030F" w:rsidRPr="00F53570" w:rsidRDefault="002C030F" w:rsidP="00262D72">
      <w:pPr>
        <w:ind w:left="720"/>
        <w:rPr>
          <w:rFonts w:eastAsia="맑은 고딕" w:hint="eastAsia"/>
          <w:lang w:eastAsia="ko-KR"/>
        </w:rPr>
      </w:pPr>
      <w:r>
        <w:t>Fig</w:t>
      </w:r>
      <w:r w:rsidR="00821F38">
        <w:rPr>
          <w:rFonts w:hint="eastAsia"/>
          <w:lang w:eastAsia="zh-CN"/>
        </w:rPr>
        <w:t>ure</w:t>
      </w:r>
      <w:r w:rsidR="00A3403B">
        <w:t xml:space="preserve">s. </w:t>
      </w:r>
      <w:r>
        <w:t>S1</w:t>
      </w:r>
      <w:r w:rsidR="00A3403B">
        <w:t xml:space="preserve"> to </w:t>
      </w:r>
      <w:r>
        <w:t>S</w:t>
      </w:r>
      <w:r w:rsidR="00F53570">
        <w:rPr>
          <w:rFonts w:eastAsia="맑은 고딕" w:hint="eastAsia"/>
          <w:lang w:eastAsia="ko-KR"/>
        </w:rPr>
        <w:t>5</w:t>
      </w:r>
    </w:p>
    <w:p w14:paraId="4B448789" w14:textId="01DEDC97" w:rsidR="002C030F" w:rsidRPr="00F53570" w:rsidRDefault="002C030F" w:rsidP="00F53570">
      <w:pPr>
        <w:ind w:left="720"/>
        <w:rPr>
          <w:rFonts w:eastAsia="맑은 고딕" w:hint="eastAsia"/>
          <w:lang w:eastAsia="ko-KR"/>
        </w:rPr>
      </w:pPr>
      <w:r>
        <w:t>Table S1</w:t>
      </w:r>
    </w:p>
    <w:p w14:paraId="58F1B32A" w14:textId="77777777" w:rsidR="00F53570" w:rsidRPr="00F53570" w:rsidRDefault="00F53570" w:rsidP="00F53570">
      <w:pPr>
        <w:ind w:left="720"/>
        <w:rPr>
          <w:rFonts w:eastAsia="맑은 고딕" w:hint="eastAsia"/>
          <w:lang w:eastAsia="ko-KR"/>
        </w:rPr>
      </w:pPr>
    </w:p>
    <w:p w14:paraId="1F1080B1" w14:textId="64A22570" w:rsidR="00065EBD" w:rsidRPr="00B57F00" w:rsidRDefault="002C030F" w:rsidP="00015F74">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5725CBAF" w14:textId="77777777" w:rsidR="002C030F" w:rsidRDefault="002C030F"/>
    <w:p w14:paraId="21142E95" w14:textId="77777777" w:rsidR="00F53570" w:rsidRDefault="00F53570" w:rsidP="00262D72">
      <w:pPr>
        <w:ind w:left="720"/>
        <w:rPr>
          <w:rFonts w:eastAsia="맑은 고딕"/>
          <w:lang w:eastAsia="ko-KR"/>
        </w:rPr>
      </w:pPr>
      <w:r w:rsidRPr="00F53570">
        <w:t>Uncropped raw immunoblot images</w:t>
      </w:r>
    </w:p>
    <w:p w14:paraId="02AB3800" w14:textId="77777777" w:rsidR="0021209D" w:rsidRDefault="0021209D" w:rsidP="00262D72">
      <w:pPr>
        <w:ind w:left="720"/>
        <w:rPr>
          <w:rFonts w:eastAsia="맑은 고딕"/>
          <w:lang w:eastAsia="ko-KR"/>
        </w:rPr>
      </w:pPr>
    </w:p>
    <w:p w14:paraId="19A21E2C" w14:textId="7B6C2D1C" w:rsidR="0021209D" w:rsidRDefault="0021209D">
      <w:pPr>
        <w:rPr>
          <w:rFonts w:eastAsia="맑은 고딕"/>
          <w:lang w:eastAsia="ko-KR"/>
        </w:rPr>
      </w:pPr>
      <w:r>
        <w:rPr>
          <w:rFonts w:eastAsia="맑은 고딕"/>
          <w:lang w:eastAsia="ko-KR"/>
        </w:rPr>
        <w:br w:type="page"/>
      </w:r>
    </w:p>
    <w:p w14:paraId="56364198" w14:textId="576182DD" w:rsidR="00015F74" w:rsidRPr="00F53570" w:rsidRDefault="00015F74" w:rsidP="00F74F95">
      <w:pPr>
        <w:pStyle w:val="SMHeading"/>
        <w:rPr>
          <w:rFonts w:eastAsia="맑은 고딕" w:hint="eastAsia"/>
          <w:lang w:eastAsia="ko-KR"/>
        </w:rPr>
      </w:pPr>
      <w:bookmarkStart w:id="0" w:name="Tables"/>
      <w:bookmarkStart w:id="1" w:name="MaterialsMethods"/>
      <w:bookmarkEnd w:id="0"/>
      <w:bookmarkEnd w:id="1"/>
      <w:r w:rsidRPr="00B43B31">
        <w:lastRenderedPageBreak/>
        <w:t>Materials and Methods</w:t>
      </w:r>
    </w:p>
    <w:p w14:paraId="6EF151CB" w14:textId="77777777" w:rsidR="00F53570" w:rsidRPr="00F253A1" w:rsidRDefault="00F53570" w:rsidP="00F53570">
      <w:pPr>
        <w:rPr>
          <w:b/>
          <w:bCs/>
          <w:i/>
          <w:szCs w:val="22"/>
        </w:rPr>
      </w:pPr>
      <w:r w:rsidRPr="00F253A1">
        <w:rPr>
          <w:b/>
          <w:bCs/>
          <w:i/>
          <w:szCs w:val="22"/>
        </w:rPr>
        <w:t>Primary oligodendrocyte culture</w:t>
      </w:r>
    </w:p>
    <w:p w14:paraId="3ADBD62D" w14:textId="77777777" w:rsidR="00F53570" w:rsidRPr="00F253A1" w:rsidRDefault="00F53570" w:rsidP="00F53570">
      <w:pPr>
        <w:rPr>
          <w:szCs w:val="22"/>
        </w:rPr>
      </w:pPr>
      <w:r w:rsidRPr="00F253A1">
        <w:rPr>
          <w:szCs w:val="22"/>
        </w:rPr>
        <w:tab/>
        <w:t xml:space="preserve">Primary OPCs were isolated from cerebral cortices of postnatal day 1 Sprague-Dawley rats, following a method utilizing differential centrifugation with density gradient-forming agent </w:t>
      </w:r>
      <w:proofErr w:type="spellStart"/>
      <w:r w:rsidRPr="00F253A1">
        <w:rPr>
          <w:szCs w:val="22"/>
        </w:rPr>
        <w:t>Optiprep</w:t>
      </w:r>
      <w:r w:rsidRPr="00F253A1">
        <w:rPr>
          <w:szCs w:val="22"/>
          <w:vertAlign w:val="superscript"/>
        </w:rPr>
        <w:t>TM</w:t>
      </w:r>
      <w:proofErr w:type="spellEnd"/>
      <w:r w:rsidRPr="00F253A1">
        <w:rPr>
          <w:szCs w:val="22"/>
        </w:rPr>
        <w:t>, developed in this laboratory. The obtained OPCs were seeded onto Poly-D-Lysine (PDL, Gibco, #A3890401)-coated T75 flasks (Corning, #430641 U) at a density of 1 × 10</w:t>
      </w:r>
      <w:r w:rsidRPr="00F253A1">
        <w:rPr>
          <w:szCs w:val="22"/>
          <w:vertAlign w:val="superscript"/>
        </w:rPr>
        <w:t>4</w:t>
      </w:r>
      <w:r w:rsidRPr="00F253A1">
        <w:rPr>
          <w:szCs w:val="22"/>
        </w:rPr>
        <w:t xml:space="preserve"> cells/cm</w:t>
      </w:r>
      <w:r w:rsidRPr="00F253A1">
        <w:rPr>
          <w:szCs w:val="22"/>
          <w:vertAlign w:val="superscript"/>
        </w:rPr>
        <w:t>2</w:t>
      </w:r>
      <w:r w:rsidRPr="00F253A1">
        <w:rPr>
          <w:szCs w:val="22"/>
        </w:rPr>
        <w:t xml:space="preserve"> and allowed to proliferate for five days in a 37°C/5% CO</w:t>
      </w:r>
      <w:r w:rsidRPr="00F253A1">
        <w:rPr>
          <w:szCs w:val="22"/>
          <w:vertAlign w:val="subscript"/>
        </w:rPr>
        <w:t>2</w:t>
      </w:r>
      <w:r w:rsidRPr="00F253A1">
        <w:rPr>
          <w:szCs w:val="22"/>
        </w:rPr>
        <w:t xml:space="preserve"> culture incubator, in OPC medium; Dulbecco’s Modified Eagle Medium/Ham’s F12 (DMEM/F12, </w:t>
      </w:r>
      <w:proofErr w:type="spellStart"/>
      <w:r w:rsidRPr="00F253A1">
        <w:rPr>
          <w:szCs w:val="22"/>
        </w:rPr>
        <w:t>Thermo</w:t>
      </w:r>
      <w:proofErr w:type="spellEnd"/>
      <w:r w:rsidRPr="00F253A1">
        <w:rPr>
          <w:szCs w:val="22"/>
        </w:rPr>
        <w:t xml:space="preserve"> Fisher Scientific, #11320033) with 1% </w:t>
      </w:r>
      <w:proofErr w:type="spellStart"/>
      <w:r w:rsidRPr="00F253A1">
        <w:rPr>
          <w:szCs w:val="22"/>
        </w:rPr>
        <w:t>GlutaMAX</w:t>
      </w:r>
      <w:r w:rsidRPr="00F253A1">
        <w:rPr>
          <w:szCs w:val="22"/>
          <w:vertAlign w:val="superscript"/>
        </w:rPr>
        <w:t>TM</w:t>
      </w:r>
      <w:proofErr w:type="spellEnd"/>
      <w:r w:rsidRPr="00F253A1">
        <w:rPr>
          <w:szCs w:val="22"/>
        </w:rPr>
        <w:t xml:space="preserve"> (</w:t>
      </w:r>
      <w:proofErr w:type="spellStart"/>
      <w:r w:rsidRPr="00F253A1">
        <w:rPr>
          <w:szCs w:val="22"/>
        </w:rPr>
        <w:t>Thermo</w:t>
      </w:r>
      <w:proofErr w:type="spellEnd"/>
      <w:r w:rsidRPr="00F253A1">
        <w:rPr>
          <w:szCs w:val="22"/>
        </w:rPr>
        <w:t xml:space="preserve"> Fisher Scientific, #35050-061), 1% penicillin/streptomycin (</w:t>
      </w:r>
      <w:proofErr w:type="spellStart"/>
      <w:r w:rsidRPr="00F253A1">
        <w:rPr>
          <w:szCs w:val="22"/>
        </w:rPr>
        <w:t>Cytiva</w:t>
      </w:r>
      <w:proofErr w:type="spellEnd"/>
      <w:r w:rsidRPr="00F253A1">
        <w:rPr>
          <w:szCs w:val="22"/>
        </w:rPr>
        <w:t>, #SV30010), 2% B-27 supplement (</w:t>
      </w:r>
      <w:proofErr w:type="spellStart"/>
      <w:r w:rsidRPr="00F253A1">
        <w:rPr>
          <w:szCs w:val="22"/>
        </w:rPr>
        <w:t>Thermo</w:t>
      </w:r>
      <w:proofErr w:type="spellEnd"/>
      <w:r w:rsidRPr="00F253A1">
        <w:rPr>
          <w:szCs w:val="22"/>
        </w:rPr>
        <w:t xml:space="preserve"> Fisher Scientific, #17504-044), 30 ng/mL platelet-derived growth factor-AA (PDGF-AA, </w:t>
      </w:r>
      <w:proofErr w:type="spellStart"/>
      <w:r w:rsidRPr="00F253A1">
        <w:rPr>
          <w:szCs w:val="22"/>
        </w:rPr>
        <w:t>PeproTech</w:t>
      </w:r>
      <w:proofErr w:type="spellEnd"/>
      <w:r w:rsidRPr="00F253A1">
        <w:rPr>
          <w:szCs w:val="22"/>
        </w:rPr>
        <w:t xml:space="preserve">, #100-13A), 10 ng/mL fibroblast growth factor (FGF, </w:t>
      </w:r>
      <w:proofErr w:type="spellStart"/>
      <w:r w:rsidRPr="00F253A1">
        <w:rPr>
          <w:szCs w:val="22"/>
        </w:rPr>
        <w:t>PeproTech</w:t>
      </w:r>
      <w:proofErr w:type="spellEnd"/>
      <w:r w:rsidRPr="00F253A1">
        <w:rPr>
          <w:szCs w:val="22"/>
        </w:rPr>
        <w:t xml:space="preserve">, #100-18B), 10 ng/mL epidermal growth factor (EGF, </w:t>
      </w:r>
      <w:proofErr w:type="spellStart"/>
      <w:r w:rsidRPr="00F253A1">
        <w:rPr>
          <w:szCs w:val="22"/>
        </w:rPr>
        <w:t>PeproTech</w:t>
      </w:r>
      <w:proofErr w:type="spellEnd"/>
      <w:r w:rsidRPr="00F253A1">
        <w:rPr>
          <w:szCs w:val="22"/>
        </w:rPr>
        <w:t xml:space="preserve">, #AF-100-15). At day five, OPCs were washed with phosphate buffered saline (PBS), passaged with </w:t>
      </w:r>
      <w:proofErr w:type="spellStart"/>
      <w:r w:rsidRPr="00F253A1">
        <w:rPr>
          <w:szCs w:val="22"/>
        </w:rPr>
        <w:t>Accutase</w:t>
      </w:r>
      <w:proofErr w:type="spellEnd"/>
      <w:r w:rsidRPr="00F253A1">
        <w:rPr>
          <w:szCs w:val="22"/>
        </w:rPr>
        <w:t>® (</w:t>
      </w:r>
      <w:proofErr w:type="spellStart"/>
      <w:r w:rsidRPr="00F253A1">
        <w:rPr>
          <w:szCs w:val="22"/>
        </w:rPr>
        <w:t>Thermo</w:t>
      </w:r>
      <w:proofErr w:type="spellEnd"/>
      <w:r w:rsidRPr="00F253A1">
        <w:rPr>
          <w:szCs w:val="22"/>
        </w:rPr>
        <w:t xml:space="preserve"> Fisher Scientific, #A11105-01), pelleted at 200 × g/3 min/room temperature (RT = ~23°C), re-seeded onto desired culture surfaces at 1 × 10</w:t>
      </w:r>
      <w:r w:rsidRPr="00F253A1">
        <w:rPr>
          <w:szCs w:val="22"/>
          <w:vertAlign w:val="superscript"/>
        </w:rPr>
        <w:t>4</w:t>
      </w:r>
      <w:r w:rsidRPr="00F253A1">
        <w:rPr>
          <w:szCs w:val="22"/>
        </w:rPr>
        <w:t xml:space="preserve"> cells/cm</w:t>
      </w:r>
      <w:r w:rsidRPr="00F253A1">
        <w:rPr>
          <w:szCs w:val="22"/>
          <w:vertAlign w:val="superscript"/>
        </w:rPr>
        <w:t>2</w:t>
      </w:r>
      <w:r w:rsidRPr="00F253A1">
        <w:rPr>
          <w:szCs w:val="22"/>
        </w:rPr>
        <w:t xml:space="preserve">, and differentiated for 24 hours in OL differentiation medium; Neurobasal medium (NBM, </w:t>
      </w:r>
      <w:proofErr w:type="spellStart"/>
      <w:r w:rsidRPr="00F253A1">
        <w:rPr>
          <w:szCs w:val="22"/>
        </w:rPr>
        <w:t>Thermo</w:t>
      </w:r>
      <w:proofErr w:type="spellEnd"/>
      <w:r w:rsidRPr="00F253A1">
        <w:rPr>
          <w:szCs w:val="22"/>
        </w:rPr>
        <w:t xml:space="preserve"> Fisher Scientific, #21103049) with 1% </w:t>
      </w:r>
      <w:proofErr w:type="spellStart"/>
      <w:r w:rsidRPr="00F253A1">
        <w:rPr>
          <w:szCs w:val="22"/>
        </w:rPr>
        <w:t>GlutaMAX</w:t>
      </w:r>
      <w:proofErr w:type="spellEnd"/>
      <w:r w:rsidRPr="00F253A1">
        <w:rPr>
          <w:szCs w:val="22"/>
        </w:rPr>
        <w:t>, 1% penicillin/streptomycin, 2% B-27 supplement, 1% N2 supplement (</w:t>
      </w:r>
      <w:proofErr w:type="spellStart"/>
      <w:r w:rsidRPr="00F253A1">
        <w:rPr>
          <w:szCs w:val="22"/>
        </w:rPr>
        <w:t>Thermo</w:t>
      </w:r>
      <w:proofErr w:type="spellEnd"/>
      <w:r w:rsidRPr="00F253A1">
        <w:rPr>
          <w:szCs w:val="22"/>
        </w:rPr>
        <w:t xml:space="preserve"> Fisher Scientific, #17502048) and 40 ng/mL triiodothyronine (thyroid hormone T3, Sigma Aldrich, #T6397).</w:t>
      </w:r>
    </w:p>
    <w:p w14:paraId="1EB458E3" w14:textId="77777777" w:rsidR="00F53570" w:rsidRPr="00F253A1" w:rsidRDefault="00F53570" w:rsidP="00F53570">
      <w:pPr>
        <w:ind w:firstLine="800"/>
        <w:rPr>
          <w:szCs w:val="22"/>
        </w:rPr>
      </w:pPr>
    </w:p>
    <w:p w14:paraId="07C2BC75" w14:textId="77777777" w:rsidR="00F53570" w:rsidRPr="00F253A1" w:rsidRDefault="00F53570" w:rsidP="00F53570">
      <w:pPr>
        <w:rPr>
          <w:b/>
          <w:bCs/>
          <w:i/>
          <w:szCs w:val="22"/>
        </w:rPr>
      </w:pPr>
      <w:r w:rsidRPr="00F253A1">
        <w:rPr>
          <w:b/>
          <w:bCs/>
          <w:i/>
          <w:szCs w:val="22"/>
        </w:rPr>
        <w:t>Transfection of siRNA and overexpression plasmids to primary OLs</w:t>
      </w:r>
    </w:p>
    <w:p w14:paraId="54C48CA0" w14:textId="77777777" w:rsidR="00F53570" w:rsidRPr="00F253A1" w:rsidRDefault="00F53570" w:rsidP="00F53570">
      <w:pPr>
        <w:rPr>
          <w:szCs w:val="22"/>
        </w:rPr>
      </w:pPr>
      <w:r w:rsidRPr="00F253A1">
        <w:rPr>
          <w:szCs w:val="22"/>
        </w:rPr>
        <w:tab/>
        <w:t xml:space="preserve">The </w:t>
      </w:r>
      <w:proofErr w:type="spellStart"/>
      <w:r w:rsidRPr="00F253A1">
        <w:rPr>
          <w:szCs w:val="22"/>
        </w:rPr>
        <w:t>Amaxa</w:t>
      </w:r>
      <w:proofErr w:type="spellEnd"/>
      <w:r w:rsidRPr="00F253A1">
        <w:rPr>
          <w:szCs w:val="22"/>
        </w:rPr>
        <w:t xml:space="preserve"> Nucleofector</w:t>
      </w:r>
      <w:r w:rsidRPr="00F253A1">
        <w:rPr>
          <w:szCs w:val="22"/>
          <w:vertAlign w:val="superscript"/>
        </w:rPr>
        <w:t>®</w:t>
      </w:r>
      <w:r w:rsidRPr="00F253A1">
        <w:rPr>
          <w:szCs w:val="22"/>
        </w:rPr>
        <w:t xml:space="preserve"> electroporation system and basic Nucleofector</w:t>
      </w:r>
      <w:r w:rsidRPr="00F253A1">
        <w:rPr>
          <w:szCs w:val="22"/>
          <w:vertAlign w:val="superscript"/>
        </w:rPr>
        <w:t>®</w:t>
      </w:r>
      <w:r w:rsidRPr="00F253A1">
        <w:rPr>
          <w:szCs w:val="22"/>
        </w:rPr>
        <w:t xml:space="preserve"> kit for primary mammalian glial cells (Lonza, #VPI-1006) was used to transfect siRNAs and overexpression plasmids for each candidate protein; siRNA for ERK1/2 (Santa Cruz, #sc156030 &amp; #sc156031), p38 (Santa Cruz, #sc156091), CREB (Santa Cruz, #sc72030), cIAP2 (</w:t>
      </w:r>
      <w:proofErr w:type="spellStart"/>
      <w:r w:rsidRPr="00F253A1">
        <w:rPr>
          <w:szCs w:val="22"/>
        </w:rPr>
        <w:t>Thermo</w:t>
      </w:r>
      <w:proofErr w:type="spellEnd"/>
      <w:r w:rsidRPr="00F253A1">
        <w:rPr>
          <w:szCs w:val="22"/>
        </w:rPr>
        <w:t xml:space="preserve"> Fisher Scientific, #s134950) or p65 (Santa Cruz, #sc61876), and overexpression plasmids for IKK2 (</w:t>
      </w:r>
      <w:proofErr w:type="spellStart"/>
      <w:r w:rsidRPr="00F253A1">
        <w:rPr>
          <w:szCs w:val="22"/>
        </w:rPr>
        <w:t>Addgene</w:t>
      </w:r>
      <w:proofErr w:type="spellEnd"/>
      <w:r w:rsidRPr="00F253A1">
        <w:rPr>
          <w:szCs w:val="22"/>
        </w:rPr>
        <w:t>, #11105), MKK6 (</w:t>
      </w:r>
      <w:proofErr w:type="spellStart"/>
      <w:r w:rsidRPr="00F253A1">
        <w:rPr>
          <w:szCs w:val="22"/>
        </w:rPr>
        <w:t>Addgene</w:t>
      </w:r>
      <w:proofErr w:type="spellEnd"/>
      <w:r w:rsidRPr="00F253A1">
        <w:rPr>
          <w:szCs w:val="22"/>
        </w:rPr>
        <w:t>, #13518), and cIAP2 (</w:t>
      </w:r>
      <w:proofErr w:type="spellStart"/>
      <w:r w:rsidRPr="00F253A1">
        <w:rPr>
          <w:szCs w:val="22"/>
        </w:rPr>
        <w:t>Origene</w:t>
      </w:r>
      <w:proofErr w:type="spellEnd"/>
      <w:r w:rsidRPr="00F253A1">
        <w:rPr>
          <w:szCs w:val="22"/>
        </w:rPr>
        <w:t>, #RC207764). Briefly, OPCs, detached and pelleted after five days of proliferation, were resuspended with Nucleofector</w:t>
      </w:r>
      <w:r w:rsidRPr="00F253A1">
        <w:rPr>
          <w:szCs w:val="22"/>
          <w:vertAlign w:val="superscript"/>
        </w:rPr>
        <w:t>®</w:t>
      </w:r>
      <w:r w:rsidRPr="00F253A1">
        <w:rPr>
          <w:szCs w:val="22"/>
        </w:rPr>
        <w:t xml:space="preserve"> solution with the designated siRNA/plasmid or corresponding control siRNA (Santa Cruz, #sc37007)/control plasmid (</w:t>
      </w:r>
      <w:proofErr w:type="spellStart"/>
      <w:r w:rsidRPr="00F253A1">
        <w:rPr>
          <w:szCs w:val="22"/>
        </w:rPr>
        <w:t>Origene</w:t>
      </w:r>
      <w:proofErr w:type="spellEnd"/>
      <w:r w:rsidRPr="00F253A1">
        <w:rPr>
          <w:szCs w:val="22"/>
        </w:rPr>
        <w:t>, #PCMV-6XL4). Resuspended OPCs were transferred into an electroporation cuvette and were electroporated using the Nucleofector</w:t>
      </w:r>
      <w:r w:rsidRPr="00F253A1">
        <w:rPr>
          <w:szCs w:val="22"/>
          <w:vertAlign w:val="superscript"/>
        </w:rPr>
        <w:t>®</w:t>
      </w:r>
      <w:r w:rsidRPr="00F253A1">
        <w:rPr>
          <w:szCs w:val="22"/>
        </w:rPr>
        <w:t xml:space="preserve"> II machine (program number for OLs/glia: A-033 or O-017). OL differentiation medium was added immediately after electroporation. OPCs were seeded onto designated culture surfaces at 3 × 10</w:t>
      </w:r>
      <w:r w:rsidRPr="00F253A1">
        <w:rPr>
          <w:szCs w:val="22"/>
          <w:vertAlign w:val="superscript"/>
        </w:rPr>
        <w:t>4</w:t>
      </w:r>
      <w:r w:rsidRPr="00F253A1">
        <w:rPr>
          <w:szCs w:val="22"/>
        </w:rPr>
        <w:t xml:space="preserve"> cells/cm</w:t>
      </w:r>
      <w:r w:rsidRPr="00F253A1">
        <w:rPr>
          <w:szCs w:val="22"/>
          <w:vertAlign w:val="superscript"/>
        </w:rPr>
        <w:t>2</w:t>
      </w:r>
      <w:r w:rsidRPr="00F253A1">
        <w:rPr>
          <w:szCs w:val="22"/>
        </w:rPr>
        <w:t xml:space="preserve"> in OL differentiation medium and cultured for 24 hours before OGD exposure.</w:t>
      </w:r>
    </w:p>
    <w:p w14:paraId="1353B1D7" w14:textId="77777777" w:rsidR="00F53570" w:rsidRPr="00F253A1" w:rsidRDefault="00F53570" w:rsidP="00F53570">
      <w:pPr>
        <w:rPr>
          <w:szCs w:val="22"/>
        </w:rPr>
      </w:pPr>
    </w:p>
    <w:p w14:paraId="0CDA452C" w14:textId="77777777" w:rsidR="00F53570" w:rsidRPr="00F253A1" w:rsidRDefault="00F53570" w:rsidP="00F53570">
      <w:pPr>
        <w:pBdr>
          <w:top w:val="nil"/>
          <w:left w:val="nil"/>
          <w:bottom w:val="nil"/>
          <w:right w:val="nil"/>
          <w:between w:val="nil"/>
        </w:pBdr>
        <w:rPr>
          <w:b/>
          <w:bCs/>
          <w:i/>
          <w:color w:val="000000"/>
          <w:szCs w:val="22"/>
        </w:rPr>
      </w:pPr>
      <w:r w:rsidRPr="00F253A1">
        <w:rPr>
          <w:b/>
          <w:bCs/>
          <w:i/>
          <w:color w:val="000000"/>
          <w:szCs w:val="22"/>
        </w:rPr>
        <w:t xml:space="preserve">Immunoblotting </w:t>
      </w:r>
    </w:p>
    <w:p w14:paraId="2C9C6813" w14:textId="77777777" w:rsidR="00F53570" w:rsidRPr="00F253A1" w:rsidRDefault="00F53570" w:rsidP="00F53570">
      <w:pPr>
        <w:ind w:right="330" w:firstLine="400"/>
        <w:rPr>
          <w:szCs w:val="22"/>
        </w:rPr>
      </w:pPr>
      <w:r w:rsidRPr="00F253A1">
        <w:rPr>
          <w:szCs w:val="22"/>
        </w:rPr>
        <w:t>Cultured OLs were washed twice with PBS and harvested with a lysis buffer containing 20 mM Tris-HCl (pH 7.5), 1 mM EDTA, 5 mM MgCl</w:t>
      </w:r>
      <w:r w:rsidRPr="00F253A1">
        <w:rPr>
          <w:szCs w:val="22"/>
          <w:vertAlign w:val="subscript"/>
        </w:rPr>
        <w:t>2</w:t>
      </w:r>
      <w:r w:rsidRPr="00F253A1">
        <w:rPr>
          <w:szCs w:val="22"/>
        </w:rPr>
        <w:t xml:space="preserve">, 1 mM dithiothreitol, 0.1 mM </w:t>
      </w:r>
      <w:proofErr w:type="spellStart"/>
      <w:r w:rsidRPr="00F253A1">
        <w:rPr>
          <w:szCs w:val="22"/>
        </w:rPr>
        <w:t>phenylmethylsulfonyl</w:t>
      </w:r>
      <w:proofErr w:type="spellEnd"/>
      <w:r w:rsidRPr="00F253A1">
        <w:rPr>
          <w:szCs w:val="22"/>
        </w:rPr>
        <w:t xml:space="preserve"> fluoride, and a protease/phosphatase inhibitor cocktail. Cell lysates were centrifuged at 20,000 × g/20 min/4°C. Protein concentration was quantified by the Bradford assay (Bio-</w:t>
      </w:r>
      <w:proofErr w:type="gramStart"/>
      <w:r w:rsidRPr="00F253A1">
        <w:rPr>
          <w:szCs w:val="22"/>
        </w:rPr>
        <w:t>Rad, #</w:t>
      </w:r>
      <w:proofErr w:type="gramEnd"/>
      <w:r w:rsidRPr="00F253A1">
        <w:rPr>
          <w:szCs w:val="22"/>
        </w:rPr>
        <w:t xml:space="preserve">5000205). Sodium dodecyl sulfate polyacrylamide gel electrophoresis (SDS-PAGE) was done with 10 % or 4-20 % gradient gels (Bio-Rad), and the proteins on the gels were transferred to polyvinylidene fluoride (PVDF) membranes. The membranes were blocked with 5% nonfat milk or 5% bovine serum albumin for 1 hours at room temperature and then incubated with the following primary antibodies; </w:t>
      </w:r>
      <w:r w:rsidRPr="00F253A1">
        <w:rPr>
          <w:color w:val="000000"/>
          <w:szCs w:val="22"/>
        </w:rPr>
        <w:t>anti-</w:t>
      </w:r>
      <w:r w:rsidRPr="00F253A1">
        <w:rPr>
          <w:szCs w:val="22"/>
        </w:rPr>
        <w:t xml:space="preserve">phospho-AKT (Cell Signaling Technology, #9271S, 1:1000), </w:t>
      </w:r>
      <w:r w:rsidRPr="00F253A1">
        <w:rPr>
          <w:color w:val="000000"/>
          <w:szCs w:val="22"/>
        </w:rPr>
        <w:t>anti-</w:t>
      </w:r>
      <w:r w:rsidRPr="00F253A1">
        <w:rPr>
          <w:szCs w:val="22"/>
        </w:rPr>
        <w:t xml:space="preserve">total-AKT (Cell Signaling </w:t>
      </w:r>
      <w:r w:rsidRPr="00F253A1">
        <w:rPr>
          <w:szCs w:val="22"/>
        </w:rPr>
        <w:lastRenderedPageBreak/>
        <w:t xml:space="preserve">Technology, #9272L, 1:1000), </w:t>
      </w:r>
      <w:r w:rsidRPr="00F253A1">
        <w:rPr>
          <w:color w:val="000000"/>
          <w:szCs w:val="22"/>
        </w:rPr>
        <w:t>anti-</w:t>
      </w:r>
      <w:r w:rsidRPr="00F253A1">
        <w:rPr>
          <w:szCs w:val="22"/>
        </w:rPr>
        <w:t xml:space="preserve">phospho-CREB (Cell Signaling Technology, #9198S, 1:1000), </w:t>
      </w:r>
      <w:r w:rsidRPr="00F253A1">
        <w:rPr>
          <w:color w:val="000000"/>
          <w:szCs w:val="22"/>
        </w:rPr>
        <w:t>anti-</w:t>
      </w:r>
      <w:r w:rsidRPr="00F253A1">
        <w:rPr>
          <w:szCs w:val="22"/>
        </w:rPr>
        <w:t xml:space="preserve">total-CREB (Cell Signaling Technology, #9197S, 1:1000), </w:t>
      </w:r>
      <w:r w:rsidRPr="00F253A1">
        <w:rPr>
          <w:color w:val="000000"/>
          <w:szCs w:val="22"/>
        </w:rPr>
        <w:t>anti-</w:t>
      </w:r>
      <w:r w:rsidRPr="00F253A1">
        <w:rPr>
          <w:szCs w:val="22"/>
        </w:rPr>
        <w:t xml:space="preserve">phospho-ERK1/2 (Cell Signaling Technology, #9101S, 1:1000), </w:t>
      </w:r>
      <w:r w:rsidRPr="00F253A1">
        <w:rPr>
          <w:color w:val="000000"/>
          <w:szCs w:val="22"/>
        </w:rPr>
        <w:t>anti-</w:t>
      </w:r>
      <w:r w:rsidRPr="00F253A1">
        <w:rPr>
          <w:szCs w:val="22"/>
        </w:rPr>
        <w:t xml:space="preserve">total-ERK1/2 (Cell Signaling Technology, #4695S, 1:1000), </w:t>
      </w:r>
      <w:r w:rsidRPr="00F253A1">
        <w:rPr>
          <w:color w:val="000000"/>
          <w:szCs w:val="22"/>
        </w:rPr>
        <w:t>anti-</w:t>
      </w:r>
      <w:r w:rsidRPr="00F253A1">
        <w:rPr>
          <w:szCs w:val="22"/>
        </w:rPr>
        <w:t xml:space="preserve">phospho-JNK (Cell Signaling Technology, #9251S, 1:1000), </w:t>
      </w:r>
      <w:r w:rsidRPr="00F253A1">
        <w:rPr>
          <w:color w:val="000000"/>
          <w:szCs w:val="22"/>
        </w:rPr>
        <w:t>anti-</w:t>
      </w:r>
      <w:r w:rsidRPr="00F253A1">
        <w:rPr>
          <w:szCs w:val="22"/>
        </w:rPr>
        <w:t xml:space="preserve">total-JNK (Cell Signaling Technology, #9252S, 1:1000), </w:t>
      </w:r>
      <w:r w:rsidRPr="00F253A1">
        <w:rPr>
          <w:color w:val="000000"/>
          <w:szCs w:val="22"/>
        </w:rPr>
        <w:t>anti-</w:t>
      </w:r>
      <w:r w:rsidRPr="00F253A1">
        <w:rPr>
          <w:szCs w:val="22"/>
        </w:rPr>
        <w:t xml:space="preserve">phospho-p38 (Cell Signaling Technology, #9211S, 1:1000), </w:t>
      </w:r>
      <w:r w:rsidRPr="00F253A1">
        <w:rPr>
          <w:color w:val="000000"/>
          <w:szCs w:val="22"/>
        </w:rPr>
        <w:t>anti-</w:t>
      </w:r>
      <w:r w:rsidRPr="00F253A1">
        <w:rPr>
          <w:szCs w:val="22"/>
        </w:rPr>
        <w:t xml:space="preserve">total-p38 (Cell Signaling Technology, #9212S, 1:1000), </w:t>
      </w:r>
      <w:r w:rsidRPr="00F253A1">
        <w:rPr>
          <w:color w:val="000000"/>
          <w:szCs w:val="22"/>
        </w:rPr>
        <w:t>anti-</w:t>
      </w:r>
      <w:r w:rsidRPr="00F253A1">
        <w:rPr>
          <w:szCs w:val="22"/>
        </w:rPr>
        <w:t xml:space="preserve">phospho-p65 (Cell Signaling Technology, #3033, 1:1000), </w:t>
      </w:r>
      <w:r w:rsidRPr="00F253A1">
        <w:rPr>
          <w:color w:val="000000"/>
          <w:szCs w:val="22"/>
        </w:rPr>
        <w:t>anti-</w:t>
      </w:r>
      <w:r w:rsidRPr="00F253A1">
        <w:rPr>
          <w:szCs w:val="22"/>
        </w:rPr>
        <w:t xml:space="preserve">total-p65 (Abcam, #ab16502, 1:1000), </w:t>
      </w:r>
      <w:r w:rsidRPr="00F253A1">
        <w:rPr>
          <w:color w:val="000000"/>
          <w:szCs w:val="22"/>
        </w:rPr>
        <w:t>anti-</w:t>
      </w:r>
      <w:r w:rsidRPr="00F253A1">
        <w:rPr>
          <w:szCs w:val="22"/>
        </w:rPr>
        <w:t xml:space="preserve">Bcl2 (Santa Cruz, #sc-7382, 1:1000), </w:t>
      </w:r>
      <w:r w:rsidRPr="00F253A1">
        <w:rPr>
          <w:color w:val="000000"/>
          <w:szCs w:val="22"/>
        </w:rPr>
        <w:t>anti-</w:t>
      </w:r>
      <w:r w:rsidRPr="00F253A1">
        <w:rPr>
          <w:szCs w:val="22"/>
        </w:rPr>
        <w:t xml:space="preserve">cIAP2 (Abcam, #ab23423, 1:1000), </w:t>
      </w:r>
      <w:r w:rsidRPr="00F253A1">
        <w:rPr>
          <w:color w:val="000000"/>
          <w:szCs w:val="22"/>
        </w:rPr>
        <w:t>anti-</w:t>
      </w:r>
      <w:proofErr w:type="spellStart"/>
      <w:r w:rsidRPr="00F253A1">
        <w:rPr>
          <w:szCs w:val="22"/>
        </w:rPr>
        <w:t>IκB</w:t>
      </w:r>
      <w:proofErr w:type="spellEnd"/>
      <w:r w:rsidRPr="00F253A1">
        <w:rPr>
          <w:szCs w:val="22"/>
        </w:rPr>
        <w:t xml:space="preserve">-ɑ (Santa Cruz, #SC-371, 1:1000), </w:t>
      </w:r>
      <w:r w:rsidRPr="00F253A1">
        <w:rPr>
          <w:color w:val="000000"/>
          <w:szCs w:val="22"/>
        </w:rPr>
        <w:t>anti-</w:t>
      </w:r>
      <w:r w:rsidRPr="00F253A1">
        <w:rPr>
          <w:szCs w:val="22"/>
        </w:rPr>
        <w:t xml:space="preserve">FLAG (Abcam, #F1804, 1:1000), </w:t>
      </w:r>
      <w:r w:rsidRPr="00F253A1">
        <w:rPr>
          <w:color w:val="000000"/>
          <w:szCs w:val="22"/>
        </w:rPr>
        <w:t>anti-</w:t>
      </w:r>
      <w:proofErr w:type="spellStart"/>
      <w:r w:rsidRPr="00F253A1">
        <w:rPr>
          <w:szCs w:val="22"/>
        </w:rPr>
        <w:t>Myc</w:t>
      </w:r>
      <w:proofErr w:type="spellEnd"/>
      <w:r w:rsidRPr="00F253A1">
        <w:rPr>
          <w:szCs w:val="22"/>
        </w:rPr>
        <w:t xml:space="preserve"> (Cell Signaling Technology, #2278T, 1:1000), </w:t>
      </w:r>
      <w:r w:rsidRPr="00F253A1">
        <w:rPr>
          <w:color w:val="000000"/>
          <w:szCs w:val="22"/>
        </w:rPr>
        <w:t>anti-</w:t>
      </w:r>
      <w:r w:rsidRPr="00F253A1">
        <w:rPr>
          <w:szCs w:val="22"/>
        </w:rPr>
        <w:t xml:space="preserve">ɑ-tubulin (Abcam, #ab40742, 1:20,000), </w:t>
      </w:r>
      <w:r w:rsidRPr="00F253A1">
        <w:rPr>
          <w:color w:val="000000"/>
          <w:szCs w:val="22"/>
        </w:rPr>
        <w:t>anti-</w:t>
      </w:r>
      <w:r w:rsidRPr="00F253A1">
        <w:rPr>
          <w:szCs w:val="22"/>
          <w:lang w:val="el-GR"/>
        </w:rPr>
        <w:t>β</w:t>
      </w:r>
      <w:r w:rsidRPr="00F253A1">
        <w:rPr>
          <w:szCs w:val="22"/>
        </w:rPr>
        <w:t>-Actin (Abcam, #ab8227, 1:1000). After repeated washing with 0.05% TBST, the membranes were incubated at RT with horse radish peroxidase-conjugated secondary antibodies. Finally, the membranes were visualized using enhanced chemiluminescence detection (Pierce).</w:t>
      </w:r>
    </w:p>
    <w:p w14:paraId="0751787F" w14:textId="77777777" w:rsidR="00F53570" w:rsidRPr="00F253A1" w:rsidRDefault="00F53570" w:rsidP="00F53570">
      <w:pPr>
        <w:ind w:firstLine="400"/>
        <w:rPr>
          <w:szCs w:val="22"/>
        </w:rPr>
      </w:pPr>
    </w:p>
    <w:p w14:paraId="5B886093" w14:textId="77777777" w:rsidR="00F53570" w:rsidRPr="00F253A1" w:rsidRDefault="00F53570" w:rsidP="00F53570">
      <w:pPr>
        <w:rPr>
          <w:b/>
          <w:bCs/>
          <w:i/>
          <w:szCs w:val="22"/>
        </w:rPr>
      </w:pPr>
      <w:r w:rsidRPr="00F253A1">
        <w:rPr>
          <w:b/>
          <w:bCs/>
          <w:i/>
          <w:szCs w:val="22"/>
        </w:rPr>
        <w:t>Animals and surgical procedures</w:t>
      </w:r>
    </w:p>
    <w:p w14:paraId="19EDC956" w14:textId="77777777" w:rsidR="00F53570" w:rsidRPr="00F253A1" w:rsidRDefault="00F53570" w:rsidP="00F53570">
      <w:pPr>
        <w:ind w:firstLine="400"/>
        <w:rPr>
          <w:szCs w:val="22"/>
        </w:rPr>
      </w:pPr>
      <w:r w:rsidRPr="00F253A1">
        <w:rPr>
          <w:szCs w:val="22"/>
        </w:rPr>
        <w:t xml:space="preserve">C57BL/6 male mice (Orient Bio, Republic of Korea) or TLR2 (-/-) male mice (on a C57BL/6 background; 25–28 g, generated by Takeuchi, O., et al.), were used. Mice were housed four or five per cage in a temperature- and humidity-controlled facility under a 12-hour light/dark cycle with ad libitum access to food and water. All procedures adhered to ethical guidelines to minimize animal suffering and the number of animals used, reviewed and approved by the Institutional Animal Care </w:t>
      </w:r>
      <w:proofErr w:type="gramStart"/>
      <w:r w:rsidRPr="00F253A1">
        <w:rPr>
          <w:szCs w:val="22"/>
        </w:rPr>
        <w:t>And</w:t>
      </w:r>
      <w:proofErr w:type="gramEnd"/>
      <w:r w:rsidRPr="00F253A1">
        <w:rPr>
          <w:szCs w:val="22"/>
        </w:rPr>
        <w:t xml:space="preserve"> Use Committee of </w:t>
      </w:r>
      <w:proofErr w:type="spellStart"/>
      <w:r w:rsidRPr="00F253A1">
        <w:rPr>
          <w:szCs w:val="22"/>
        </w:rPr>
        <w:t>Ajou</w:t>
      </w:r>
      <w:proofErr w:type="spellEnd"/>
      <w:r w:rsidRPr="00F253A1">
        <w:rPr>
          <w:szCs w:val="22"/>
        </w:rPr>
        <w:t xml:space="preserve"> University. The optimal number of animals was determined based on prior studies.</w:t>
      </w:r>
    </w:p>
    <w:p w14:paraId="5251AB3A" w14:textId="77777777" w:rsidR="00F53570" w:rsidRPr="00F253A1" w:rsidRDefault="00F53570" w:rsidP="00F53570">
      <w:pPr>
        <w:ind w:firstLine="400"/>
        <w:rPr>
          <w:szCs w:val="22"/>
        </w:rPr>
      </w:pPr>
      <w:r w:rsidRPr="00F253A1">
        <w:rPr>
          <w:szCs w:val="22"/>
        </w:rPr>
        <w:t xml:space="preserve">The focal internal capsule WMS model was established as previously described with slight modifications. Mice were anesthetized via intraperitoneal injection of ketamine (90 mg/kg) and xylazine (10 mg/kg), and the head was secured to a stereotaxic frame. </w:t>
      </w:r>
      <w:proofErr w:type="gramStart"/>
      <w:r w:rsidRPr="00F253A1">
        <w:rPr>
          <w:szCs w:val="22"/>
        </w:rPr>
        <w:t>A craniotomy</w:t>
      </w:r>
      <w:proofErr w:type="gramEnd"/>
      <w:r w:rsidRPr="00F253A1">
        <w:rPr>
          <w:szCs w:val="22"/>
        </w:rPr>
        <w:t xml:space="preserve"> was performed using a drill. The stereotaxic coordinates </w:t>
      </w:r>
      <w:proofErr w:type="gramStart"/>
      <w:r w:rsidRPr="00F253A1">
        <w:rPr>
          <w:szCs w:val="22"/>
        </w:rPr>
        <w:t>were: -</w:t>
      </w:r>
      <w:proofErr w:type="gramEnd"/>
      <w:r w:rsidRPr="00F253A1">
        <w:rPr>
          <w:szCs w:val="22"/>
        </w:rPr>
        <w:t xml:space="preserve">1.0 mm posterior to the bregma, -2.8 mm lateral to the midline, and -4.3 mm ventral from the skull surface. The needle was angled at 20° from the midline, away from the injection site, to minimize damage to overlying cortical and hippocampal structures. Three weeks before L-NIO injection, 1 </w:t>
      </w:r>
      <w:proofErr w:type="spellStart"/>
      <w:r w:rsidRPr="00F253A1">
        <w:rPr>
          <w:szCs w:val="22"/>
        </w:rPr>
        <w:t>μL</w:t>
      </w:r>
      <w:proofErr w:type="spellEnd"/>
      <w:r w:rsidRPr="00F253A1">
        <w:rPr>
          <w:szCs w:val="22"/>
        </w:rPr>
        <w:t xml:space="preserve"> of AAV9-mMBP-mCherry or AAV9-mMBP-IKK2-FLAG was injected into the right internal capsule. Three weeks after viral injection, focal WMS was induced by the administration of L-NIO dihydrochloride (</w:t>
      </w:r>
      <w:proofErr w:type="spellStart"/>
      <w:proofErr w:type="gramStart"/>
      <w:r w:rsidRPr="00F253A1">
        <w:rPr>
          <w:szCs w:val="22"/>
        </w:rPr>
        <w:t>Tocris</w:t>
      </w:r>
      <w:proofErr w:type="spellEnd"/>
      <w:r w:rsidRPr="00F253A1">
        <w:rPr>
          <w:szCs w:val="22"/>
        </w:rPr>
        <w:t>, #</w:t>
      </w:r>
      <w:proofErr w:type="gramEnd"/>
      <w:r w:rsidRPr="00F253A1">
        <w:rPr>
          <w:szCs w:val="22"/>
        </w:rPr>
        <w:t xml:space="preserve">0546, 10 mg/mL, 500 </w:t>
      </w:r>
      <w:proofErr w:type="spellStart"/>
      <w:r w:rsidRPr="00F253A1">
        <w:rPr>
          <w:szCs w:val="22"/>
        </w:rPr>
        <w:t>nL</w:t>
      </w:r>
      <w:proofErr w:type="spellEnd"/>
      <w:r w:rsidRPr="00F253A1">
        <w:rPr>
          <w:szCs w:val="22"/>
        </w:rPr>
        <w:t xml:space="preserve">) into the same location. For both injections, the flow rate was 100 </w:t>
      </w:r>
      <w:proofErr w:type="spellStart"/>
      <w:r w:rsidRPr="00F253A1">
        <w:rPr>
          <w:szCs w:val="22"/>
        </w:rPr>
        <w:t>nL</w:t>
      </w:r>
      <w:proofErr w:type="spellEnd"/>
      <w:r w:rsidRPr="00F253A1">
        <w:rPr>
          <w:szCs w:val="22"/>
        </w:rPr>
        <w:t xml:space="preserve">/min, and the needle was left in place for 10 minutes post-injection before being slowly retracted, to prevent overflow or regurgitation. Based on previous studies and preliminary data, animals were sacrificed seven days after WMS induction for analysis. Animals were excluded if they showed no grossly visible L-NIO-induced WMS lesion or died prior to the end of the experiment. A total of 24 animals were used for the final analysis, with no animals </w:t>
      </w:r>
      <w:proofErr w:type="gramStart"/>
      <w:r w:rsidRPr="00F253A1">
        <w:rPr>
          <w:szCs w:val="22"/>
        </w:rPr>
        <w:t>excluded</w:t>
      </w:r>
      <w:proofErr w:type="gramEnd"/>
      <w:r w:rsidRPr="00F253A1">
        <w:rPr>
          <w:szCs w:val="22"/>
        </w:rPr>
        <w:t>.</w:t>
      </w:r>
    </w:p>
    <w:p w14:paraId="2222B8BF" w14:textId="77777777" w:rsidR="00F53570" w:rsidRPr="00F253A1" w:rsidRDefault="00F53570" w:rsidP="00F53570">
      <w:pPr>
        <w:ind w:firstLine="400"/>
        <w:rPr>
          <w:szCs w:val="22"/>
        </w:rPr>
      </w:pPr>
    </w:p>
    <w:p w14:paraId="291647B6" w14:textId="77777777" w:rsidR="00F53570" w:rsidRPr="00F253A1" w:rsidRDefault="00F53570" w:rsidP="00F53570">
      <w:pPr>
        <w:rPr>
          <w:b/>
          <w:bCs/>
          <w:i/>
          <w:szCs w:val="22"/>
        </w:rPr>
      </w:pPr>
      <w:r w:rsidRPr="00F253A1">
        <w:rPr>
          <w:b/>
          <w:bCs/>
          <w:i/>
          <w:szCs w:val="22"/>
        </w:rPr>
        <w:t>Tape removal test</w:t>
      </w:r>
    </w:p>
    <w:p w14:paraId="56C9E02A" w14:textId="77777777" w:rsidR="00F53570" w:rsidRPr="00F253A1" w:rsidRDefault="00F53570" w:rsidP="00F53570">
      <w:pPr>
        <w:rPr>
          <w:szCs w:val="22"/>
        </w:rPr>
      </w:pPr>
      <w:r w:rsidRPr="00F253A1">
        <w:rPr>
          <w:szCs w:val="22"/>
        </w:rPr>
        <w:tab/>
        <w:t xml:space="preserve">To quantify motor-sensory deficits following right internal capsular infarction, we performed a tape removal test, according to a previously described protocol with minor changes. Briefly, </w:t>
      </w:r>
      <w:proofErr w:type="gramStart"/>
      <w:r w:rsidRPr="00F253A1">
        <w:rPr>
          <w:szCs w:val="22"/>
        </w:rPr>
        <w:t>easily-removable</w:t>
      </w:r>
      <w:proofErr w:type="gramEnd"/>
      <w:r w:rsidRPr="00F253A1">
        <w:rPr>
          <w:szCs w:val="22"/>
        </w:rPr>
        <w:t xml:space="preserve"> rectangular color tape strips, 3 mm × 4 mm, were attached to the hairless part of the forepaws. After tape placement, mice were observed in the testing box by two experimenters, and the session was video recorded. The maximum observation time was ninety seconds. Tape removal time was quantified as the duration required for the mouse to remove the </w:t>
      </w:r>
      <w:r w:rsidRPr="00F253A1">
        <w:rPr>
          <w:szCs w:val="22"/>
        </w:rPr>
        <w:lastRenderedPageBreak/>
        <w:t xml:space="preserve">tape from the affected (left) forepaw after being placed in the testing box. We measured tape removal time on three </w:t>
      </w:r>
      <w:proofErr w:type="gramStart"/>
      <w:r w:rsidRPr="00F253A1">
        <w:rPr>
          <w:szCs w:val="22"/>
        </w:rPr>
        <w:t>occasions;</w:t>
      </w:r>
      <w:proofErr w:type="gramEnd"/>
      <w:r w:rsidRPr="00F253A1">
        <w:rPr>
          <w:szCs w:val="22"/>
        </w:rPr>
        <w:t xml:space="preserve"> one day before, three days after, and seven days after L-NIO injection. After the last measurement, the animals were </w:t>
      </w:r>
      <w:proofErr w:type="gramStart"/>
      <w:r w:rsidRPr="00F253A1">
        <w:rPr>
          <w:szCs w:val="22"/>
        </w:rPr>
        <w:t>sacrifice</w:t>
      </w:r>
      <w:proofErr w:type="gramEnd"/>
      <w:r w:rsidRPr="00F253A1">
        <w:rPr>
          <w:szCs w:val="22"/>
        </w:rPr>
        <w:t xml:space="preserve"> and perfused for tissue processing. </w:t>
      </w:r>
    </w:p>
    <w:p w14:paraId="19A99D4D" w14:textId="77777777" w:rsidR="00F53570" w:rsidRPr="00F253A1" w:rsidRDefault="00F53570" w:rsidP="00F53570">
      <w:pPr>
        <w:rPr>
          <w:szCs w:val="22"/>
        </w:rPr>
      </w:pPr>
    </w:p>
    <w:p w14:paraId="1B0457FC" w14:textId="77777777" w:rsidR="00F53570" w:rsidRPr="00F253A1" w:rsidRDefault="00F53570" w:rsidP="00F53570">
      <w:pPr>
        <w:pBdr>
          <w:top w:val="nil"/>
          <w:left w:val="nil"/>
          <w:bottom w:val="nil"/>
          <w:right w:val="nil"/>
          <w:between w:val="nil"/>
        </w:pBdr>
        <w:rPr>
          <w:b/>
          <w:bCs/>
          <w:i/>
          <w:color w:val="000000"/>
          <w:szCs w:val="22"/>
        </w:rPr>
      </w:pPr>
      <w:r w:rsidRPr="00F253A1">
        <w:rPr>
          <w:b/>
          <w:bCs/>
          <w:i/>
          <w:color w:val="000000"/>
          <w:szCs w:val="22"/>
        </w:rPr>
        <w:t>Tissue processing and immunohistochemistry</w:t>
      </w:r>
    </w:p>
    <w:p w14:paraId="10B01D31" w14:textId="77777777" w:rsidR="00F53570" w:rsidRDefault="00F53570" w:rsidP="00F53570">
      <w:pPr>
        <w:pBdr>
          <w:top w:val="nil"/>
          <w:left w:val="nil"/>
          <w:bottom w:val="nil"/>
          <w:right w:val="nil"/>
          <w:between w:val="nil"/>
        </w:pBdr>
        <w:ind w:firstLine="400"/>
        <w:rPr>
          <w:color w:val="000000"/>
          <w:szCs w:val="22"/>
        </w:rPr>
      </w:pPr>
      <w:r w:rsidRPr="00F253A1">
        <w:rPr>
          <w:color w:val="000000"/>
          <w:szCs w:val="22"/>
        </w:rPr>
        <w:t xml:space="preserve">After </w:t>
      </w:r>
      <w:proofErr w:type="spellStart"/>
      <w:r w:rsidRPr="00F253A1">
        <w:rPr>
          <w:color w:val="000000"/>
          <w:szCs w:val="22"/>
        </w:rPr>
        <w:t>transcardiac</w:t>
      </w:r>
      <w:proofErr w:type="spellEnd"/>
      <w:r w:rsidRPr="00F253A1">
        <w:rPr>
          <w:color w:val="000000"/>
          <w:szCs w:val="22"/>
        </w:rPr>
        <w:t xml:space="preserve"> perfusion with 4% paraformaldehyde in 0.1 M phosphate buffer (pH 7.4), brains were removed, post-fixed for 2 hours, and then immersed into a graded series of sucrose solutions for cryopreservation. Coronal sections (30μm thick) of the brain were obtained with a cryostat (Leica). To quantify the area of demyelination, coronal brain sections were stained with </w:t>
      </w:r>
      <w:proofErr w:type="spellStart"/>
      <w:r w:rsidRPr="00F253A1">
        <w:rPr>
          <w:color w:val="000000"/>
          <w:szCs w:val="22"/>
        </w:rPr>
        <w:t>eriochrome</w:t>
      </w:r>
      <w:proofErr w:type="spellEnd"/>
      <w:r w:rsidRPr="00F253A1">
        <w:rPr>
          <w:color w:val="000000"/>
          <w:szCs w:val="22"/>
        </w:rPr>
        <w:t xml:space="preserve"> cyanine, a dye that stains myelinated white matter. The </w:t>
      </w:r>
      <w:proofErr w:type="spellStart"/>
      <w:r w:rsidRPr="00F253A1">
        <w:rPr>
          <w:color w:val="000000"/>
          <w:szCs w:val="22"/>
        </w:rPr>
        <w:t>eriochrome</w:t>
      </w:r>
      <w:proofErr w:type="spellEnd"/>
      <w:r w:rsidRPr="00F253A1">
        <w:rPr>
          <w:color w:val="000000"/>
          <w:szCs w:val="22"/>
        </w:rPr>
        <w:t xml:space="preserve"> cyanine solution was composed as such; 24:1 (</w:t>
      </w:r>
      <w:proofErr w:type="spellStart"/>
      <w:proofErr w:type="gramStart"/>
      <w:r w:rsidRPr="00F253A1">
        <w:rPr>
          <w:color w:val="000000"/>
          <w:szCs w:val="22"/>
        </w:rPr>
        <w:t>volume:volume</w:t>
      </w:r>
      <w:proofErr w:type="spellEnd"/>
      <w:proofErr w:type="gramEnd"/>
      <w:r w:rsidRPr="00F253A1">
        <w:rPr>
          <w:color w:val="000000"/>
          <w:szCs w:val="22"/>
        </w:rPr>
        <w:t xml:space="preserve">) of 0.2% </w:t>
      </w:r>
      <w:proofErr w:type="spellStart"/>
      <w:r w:rsidRPr="00F253A1">
        <w:rPr>
          <w:color w:val="000000"/>
          <w:szCs w:val="22"/>
        </w:rPr>
        <w:t>eriochrome</w:t>
      </w:r>
      <w:proofErr w:type="spellEnd"/>
      <w:r w:rsidRPr="00F253A1">
        <w:rPr>
          <w:color w:val="000000"/>
          <w:szCs w:val="22"/>
        </w:rPr>
        <w:t xml:space="preserve"> cyanine RC (Sigma Aldrich):10% FeCl</w:t>
      </w:r>
      <w:r w:rsidRPr="00E0105B">
        <w:rPr>
          <w:color w:val="000000"/>
          <w:szCs w:val="22"/>
          <w:vertAlign w:val="subscript"/>
        </w:rPr>
        <w:t>3</w:t>
      </w:r>
      <w:r w:rsidRPr="00F253A1">
        <w:rPr>
          <w:color w:val="000000"/>
          <w:szCs w:val="22"/>
        </w:rPr>
        <w:t>·6H</w:t>
      </w:r>
      <w:r w:rsidRPr="00E0105B">
        <w:rPr>
          <w:color w:val="000000"/>
          <w:szCs w:val="22"/>
          <w:vertAlign w:val="subscript"/>
        </w:rPr>
        <w:t>2</w:t>
      </w:r>
      <w:r w:rsidRPr="00F253A1">
        <w:rPr>
          <w:color w:val="000000"/>
          <w:szCs w:val="22"/>
        </w:rPr>
        <w:t>O (Sigma Aldrich) in 3% HCl. For immunofluorescent staining, brain sections were incubated overnight at 4°C with the following primary antibodies: anti-cleaved-caspase 3 (Cell Signaling Technology, #9664S, 1:200), anti-cIAP2 (Abcam, #ab23423, 1:200), anti-GFAP (Dako, #Z033429-2, 1:500), anti-Iba1 (Wako, #019-19741, 1:500), anti-MBP (Abcam, #ab7349, 1:200), anti-NeuN (Merck Millipore, #MAB377, 1:200), anti-Olig2 (Merck Millipore, #AB15328 &amp; #MABN50, 1:200), anti-phospho-p65 (Invitrogen, #MA5-15160, 1:200). Sections were washed with PBS and then incubated with appropriate Alexa Fluor 488-, 594-, 647, and 680-tagged secondary antibodies (Invitrogen). Slides were mounted with an aqueous mounting medium (</w:t>
      </w:r>
      <w:proofErr w:type="spellStart"/>
      <w:proofErr w:type="gramStart"/>
      <w:r w:rsidRPr="00F253A1">
        <w:rPr>
          <w:color w:val="000000"/>
          <w:szCs w:val="22"/>
        </w:rPr>
        <w:t>Biomeda</w:t>
      </w:r>
      <w:proofErr w:type="spellEnd"/>
      <w:r w:rsidRPr="00F253A1">
        <w:rPr>
          <w:color w:val="000000"/>
          <w:szCs w:val="22"/>
        </w:rPr>
        <w:t>, #</w:t>
      </w:r>
      <w:proofErr w:type="gramEnd"/>
      <w:r w:rsidRPr="00F253A1">
        <w:rPr>
          <w:color w:val="000000"/>
          <w:szCs w:val="22"/>
        </w:rPr>
        <w:t>M01) and visualized with a confocal microscope (Carl Zeiss, LSM800).</w:t>
      </w:r>
    </w:p>
    <w:p w14:paraId="7F6E0C41" w14:textId="465611AF" w:rsidR="00355362" w:rsidRPr="00F53570" w:rsidRDefault="00355362" w:rsidP="00F53570">
      <w:pPr>
        <w:pStyle w:val="SMText"/>
        <w:ind w:firstLine="0"/>
        <w:rPr>
          <w:rFonts w:eastAsia="맑은 고딕" w:hint="eastAsia"/>
          <w:lang w:eastAsia="ko-KR"/>
        </w:rPr>
      </w:pPr>
    </w:p>
    <w:p w14:paraId="39B9F51D" w14:textId="2DFD2EF4" w:rsidR="00E4509A" w:rsidRDefault="00F53570" w:rsidP="00E4509A">
      <w:pPr>
        <w:rPr>
          <w:rFonts w:eastAsia="맑은 고딕"/>
          <w:lang w:eastAsia="ko-KR"/>
        </w:rPr>
      </w:pPr>
      <w:r>
        <w:br w:type="page"/>
      </w:r>
    </w:p>
    <w:p w14:paraId="6D5BF738" w14:textId="77777777" w:rsidR="00F35777" w:rsidRPr="00355362" w:rsidRDefault="00F35777" w:rsidP="004243B7">
      <w:pPr>
        <w:pStyle w:val="SMHeading"/>
        <w:jc w:val="both"/>
      </w:pPr>
      <w:r w:rsidRPr="00355362">
        <w:lastRenderedPageBreak/>
        <w:t>Fig</w:t>
      </w:r>
      <w:r>
        <w:rPr>
          <w:rFonts w:hint="eastAsia"/>
          <w:lang w:eastAsia="zh-CN"/>
        </w:rPr>
        <w:t>ure</w:t>
      </w:r>
      <w:r w:rsidRPr="00355362">
        <w:t>. S1.</w:t>
      </w:r>
    </w:p>
    <w:p w14:paraId="195EE4C4" w14:textId="4CC0025D" w:rsidR="00F35777" w:rsidRDefault="00F35777" w:rsidP="0021209D">
      <w:pPr>
        <w:pStyle w:val="SMcaption"/>
        <w:jc w:val="center"/>
        <w:rPr>
          <w:rFonts w:eastAsia="맑은 고딕"/>
          <w:b/>
          <w:bCs/>
          <w:lang w:eastAsia="ko-KR"/>
        </w:rPr>
      </w:pPr>
      <w:r w:rsidRPr="00EC6090">
        <w:rPr>
          <w:noProof/>
          <w:color w:val="000000"/>
          <w:szCs w:val="22"/>
        </w:rPr>
        <w:drawing>
          <wp:inline distT="0" distB="0" distL="0" distR="0" wp14:anchorId="7D279800" wp14:editId="061601C5">
            <wp:extent cx="4853217" cy="6098876"/>
            <wp:effectExtent l="0" t="0" r="5080" b="0"/>
            <wp:docPr id="1780276821" name="그림 1" descr="텍스트, 도표, 스크린샷, 평면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76821" name="그림 1" descr="텍스트, 도표, 스크린샷, 평면도이(가) 표시된 사진&#10;&#10;AI 생성 콘텐츠는 정확하지 않을 수 있습니다."/>
                    <pic:cNvPicPr/>
                  </pic:nvPicPr>
                  <pic:blipFill>
                    <a:blip r:embed="rId8"/>
                    <a:stretch>
                      <a:fillRect/>
                    </a:stretch>
                  </pic:blipFill>
                  <pic:spPr>
                    <a:xfrm>
                      <a:off x="0" y="0"/>
                      <a:ext cx="4860072" cy="6107490"/>
                    </a:xfrm>
                    <a:prstGeom prst="rect">
                      <a:avLst/>
                    </a:prstGeom>
                  </pic:spPr>
                </pic:pic>
              </a:graphicData>
            </a:graphic>
          </wp:inline>
        </w:drawing>
      </w:r>
    </w:p>
    <w:p w14:paraId="51F53B79" w14:textId="3D24D366" w:rsidR="00F35777" w:rsidRPr="004243B7" w:rsidRDefault="00F35777" w:rsidP="004243B7">
      <w:pPr>
        <w:pStyle w:val="SMcaption"/>
        <w:jc w:val="both"/>
        <w:rPr>
          <w:rFonts w:eastAsia="맑은 고딕" w:hint="eastAsia"/>
          <w:lang w:eastAsia="ko-KR"/>
        </w:rPr>
      </w:pPr>
      <w:r w:rsidRPr="00F35777">
        <w:rPr>
          <w:b/>
          <w:bCs/>
        </w:rPr>
        <w:t>Fig.</w:t>
      </w:r>
      <w:r w:rsidRPr="00F35777">
        <w:rPr>
          <w:rFonts w:hint="eastAsia"/>
          <w:b/>
          <w:bCs/>
        </w:rPr>
        <w:t>S</w:t>
      </w:r>
      <w:r w:rsidRPr="00F35777">
        <w:rPr>
          <w:b/>
          <w:bCs/>
        </w:rPr>
        <w:t xml:space="preserve">1. </w:t>
      </w:r>
      <w:r w:rsidRPr="00F35777">
        <w:rPr>
          <w:rFonts w:hint="eastAsia"/>
          <w:b/>
          <w:bCs/>
        </w:rPr>
        <w:t>siRNA knock-down of target genes in primary OLs and its effect on OL death</w:t>
      </w:r>
      <w:r w:rsidRPr="00F35777">
        <w:rPr>
          <w:b/>
          <w:bCs/>
        </w:rPr>
        <w:t>. a</w:t>
      </w:r>
      <w:r w:rsidRPr="00F35777">
        <w:rPr>
          <w:rFonts w:hint="eastAsia"/>
          <w:b/>
          <w:bCs/>
        </w:rPr>
        <w:t>-d</w:t>
      </w:r>
      <w:r w:rsidRPr="00F35777">
        <w:rPr>
          <w:rFonts w:hint="eastAsia"/>
        </w:rPr>
        <w:t xml:space="preserve"> Immunoblots and corresponding quantification of target genes before and after siRNA knock-down </w:t>
      </w:r>
      <w:r w:rsidRPr="00F35777">
        <w:t>(n=</w:t>
      </w:r>
      <w:r w:rsidRPr="00F35777">
        <w:rPr>
          <w:rFonts w:hint="eastAsia"/>
        </w:rPr>
        <w:t>3</w:t>
      </w:r>
      <w:r w:rsidRPr="00F35777">
        <w:t xml:space="preserve"> biologically independent samples/experiments. Welch’s t-test, two-sided. Data presented as mean values ± SEM)</w:t>
      </w:r>
      <w:r w:rsidRPr="00F35777">
        <w:rPr>
          <w:rFonts w:hint="eastAsia"/>
        </w:rPr>
        <w:t xml:space="preserve">. </w:t>
      </w:r>
      <w:r w:rsidRPr="00F35777">
        <w:rPr>
          <w:rFonts w:hint="eastAsia"/>
          <w:b/>
          <w:bCs/>
        </w:rPr>
        <w:t>e-g</w:t>
      </w:r>
      <w:r w:rsidRPr="00F35777">
        <w:rPr>
          <w:rFonts w:hint="eastAsia"/>
        </w:rPr>
        <w:t xml:space="preserve"> Fluorescence associated cell sorting (FACS) for cell death markers propidium iodide and Annexin V, with corresponding quantification graphs. Cell death (%) = (Number of cells in Q1, Q2, Q4)</w:t>
      </w:r>
      <w:proofErr w:type="gramStart"/>
      <w:r w:rsidRPr="00F35777">
        <w:rPr>
          <w:rFonts w:hint="eastAsia"/>
        </w:rPr>
        <w:t>/(</w:t>
      </w:r>
      <w:proofErr w:type="gramEnd"/>
      <w:r w:rsidRPr="00F35777">
        <w:rPr>
          <w:rFonts w:hint="eastAsia"/>
        </w:rPr>
        <w:t xml:space="preserve">Number of cells in all quadrants) </w:t>
      </w:r>
      <w:r w:rsidRPr="00F35777">
        <w:t>×</w:t>
      </w:r>
      <w:r w:rsidRPr="00F35777">
        <w:rPr>
          <w:rFonts w:hint="eastAsia"/>
        </w:rPr>
        <w:t xml:space="preserve"> 100 </w:t>
      </w:r>
      <w:r w:rsidRPr="00F35777">
        <w:t>(n=</w:t>
      </w:r>
      <w:r w:rsidRPr="00F35777">
        <w:rPr>
          <w:rFonts w:hint="eastAsia"/>
        </w:rPr>
        <w:t>3</w:t>
      </w:r>
      <w:r w:rsidRPr="00F35777">
        <w:t xml:space="preserve"> biologically independent samples/experiments. One-way ANOVA and Tukey’s post hoc test, two-sided. Data presented as mean values ± SEM)</w:t>
      </w:r>
      <w:r w:rsidRPr="00F35777">
        <w:rPr>
          <w:rFonts w:hint="eastAsia"/>
        </w:rPr>
        <w:t xml:space="preserve">. </w:t>
      </w:r>
      <w:r w:rsidRPr="00F35777">
        <w:t xml:space="preserve">CREB = cAMP Response Element-Binding protein; ERK = Extracellular </w:t>
      </w:r>
      <w:proofErr w:type="gramStart"/>
      <w:r w:rsidRPr="00F35777">
        <w:t>signal</w:t>
      </w:r>
      <w:proofErr w:type="gramEnd"/>
      <w:r w:rsidRPr="00F35777">
        <w:t>-Regulated Kinase; OGD = Oxygen-Glucose Deprivation; Pam3 = Pam3CSK4</w:t>
      </w:r>
      <w:r>
        <w:br w:type="page"/>
      </w:r>
    </w:p>
    <w:p w14:paraId="21567191" w14:textId="753758E1" w:rsidR="004243B7" w:rsidRPr="00355362" w:rsidRDefault="004243B7" w:rsidP="004243B7">
      <w:pPr>
        <w:pStyle w:val="SMHeading"/>
        <w:jc w:val="both"/>
      </w:pPr>
      <w:r w:rsidRPr="00355362">
        <w:lastRenderedPageBreak/>
        <w:t>Fig</w:t>
      </w:r>
      <w:r>
        <w:rPr>
          <w:rFonts w:hint="eastAsia"/>
          <w:lang w:eastAsia="zh-CN"/>
        </w:rPr>
        <w:t>ure</w:t>
      </w:r>
      <w:r w:rsidRPr="00355362">
        <w:t>. S</w:t>
      </w:r>
      <w:r>
        <w:rPr>
          <w:rFonts w:eastAsia="맑은 고딕" w:hint="eastAsia"/>
          <w:lang w:eastAsia="ko-KR"/>
        </w:rPr>
        <w:t>2</w:t>
      </w:r>
      <w:r w:rsidRPr="00355362">
        <w:t>.</w:t>
      </w:r>
    </w:p>
    <w:p w14:paraId="0C4F8233" w14:textId="570FE5B6" w:rsidR="004243B7" w:rsidRDefault="004243B7" w:rsidP="004243B7">
      <w:pPr>
        <w:pStyle w:val="SMcaption"/>
        <w:jc w:val="center"/>
        <w:rPr>
          <w:rFonts w:eastAsia="맑은 고딕"/>
          <w:b/>
          <w:bCs/>
          <w:lang w:eastAsia="ko-KR"/>
        </w:rPr>
      </w:pPr>
      <w:r>
        <w:rPr>
          <w:noProof/>
        </w:rPr>
        <w:drawing>
          <wp:inline distT="0" distB="0" distL="0" distR="0" wp14:anchorId="17EC4F9C" wp14:editId="5FB6DB01">
            <wp:extent cx="5400000" cy="5439600"/>
            <wp:effectExtent l="0" t="0" r="0" b="8890"/>
            <wp:docPr id="1693568025" name="그림 1" descr="스크린샷, 보라색, 다채로움, 바이올렛색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68025" name="그림 1" descr="스크린샷, 보라색, 다채로움, 바이올렛색이(가) 표시된 사진&#10;&#10;AI 생성 콘텐츠는 정확하지 않을 수 있습니다."/>
                    <pic:cNvPicPr/>
                  </pic:nvPicPr>
                  <pic:blipFill>
                    <a:blip r:embed="rId9"/>
                    <a:stretch>
                      <a:fillRect/>
                    </a:stretch>
                  </pic:blipFill>
                  <pic:spPr>
                    <a:xfrm>
                      <a:off x="0" y="0"/>
                      <a:ext cx="5400000" cy="5439600"/>
                    </a:xfrm>
                    <a:prstGeom prst="rect">
                      <a:avLst/>
                    </a:prstGeom>
                  </pic:spPr>
                </pic:pic>
              </a:graphicData>
            </a:graphic>
          </wp:inline>
        </w:drawing>
      </w:r>
    </w:p>
    <w:p w14:paraId="61428CAE" w14:textId="1A44669A" w:rsidR="004243B7" w:rsidRPr="004243B7" w:rsidRDefault="004243B7" w:rsidP="004243B7">
      <w:pPr>
        <w:pStyle w:val="SMcaption"/>
        <w:jc w:val="both"/>
        <w:rPr>
          <w:rFonts w:eastAsia="맑은 고딕" w:hint="eastAsia"/>
          <w:lang w:eastAsia="ko-KR"/>
        </w:rPr>
      </w:pPr>
      <w:r w:rsidRPr="004243B7">
        <w:rPr>
          <w:b/>
          <w:bCs/>
        </w:rPr>
        <w:t>Fig.</w:t>
      </w:r>
      <w:r w:rsidRPr="004243B7">
        <w:rPr>
          <w:rFonts w:hint="eastAsia"/>
          <w:b/>
          <w:bCs/>
        </w:rPr>
        <w:t>S2</w:t>
      </w:r>
      <w:r w:rsidRPr="004243B7">
        <w:rPr>
          <w:b/>
          <w:bCs/>
        </w:rPr>
        <w:t xml:space="preserve">. </w:t>
      </w:r>
      <w:r w:rsidRPr="004243B7">
        <w:rPr>
          <w:rFonts w:hint="eastAsia"/>
          <w:b/>
          <w:bCs/>
        </w:rPr>
        <w:t>Oligodendrocyte-specific viral transduction in the mouse internal capsule</w:t>
      </w:r>
      <w:r w:rsidRPr="004243B7">
        <w:rPr>
          <w:b/>
          <w:bCs/>
        </w:rPr>
        <w:t>. a</w:t>
      </w:r>
      <w:r w:rsidRPr="004243B7">
        <w:rPr>
          <w:rFonts w:hint="eastAsia"/>
          <w:b/>
          <w:bCs/>
        </w:rPr>
        <w:t>-c</w:t>
      </w:r>
      <w:r w:rsidRPr="004243B7">
        <w:rPr>
          <w:rFonts w:hint="eastAsia"/>
        </w:rPr>
        <w:t xml:space="preserve"> Representative images of the mouse internal capsule following viral transduction of </w:t>
      </w:r>
      <w:proofErr w:type="spellStart"/>
      <w:r w:rsidRPr="004243B7">
        <w:rPr>
          <w:rFonts w:hint="eastAsia"/>
        </w:rPr>
        <w:t>mCherry</w:t>
      </w:r>
      <w:proofErr w:type="spellEnd"/>
      <w:r w:rsidRPr="004243B7">
        <w:rPr>
          <w:rFonts w:hint="eastAsia"/>
        </w:rPr>
        <w:t xml:space="preserve"> through AAV9-mMBP-mCherry and corresponding quantification graph. Immunostaining for Olig2, GFAP, Iba1 and NeuN (</w:t>
      </w:r>
      <w:r w:rsidRPr="004243B7">
        <w:t>n=</w:t>
      </w:r>
      <w:r w:rsidRPr="004243B7">
        <w:rPr>
          <w:rFonts w:hint="eastAsia"/>
        </w:rPr>
        <w:t>3</w:t>
      </w:r>
      <w:r w:rsidRPr="004243B7">
        <w:t xml:space="preserve"> biologically independent samples/experiments</w:t>
      </w:r>
      <w:r w:rsidRPr="004243B7">
        <w:rPr>
          <w:rFonts w:hint="eastAsia"/>
        </w:rPr>
        <w:t xml:space="preserve">). DAPI = </w:t>
      </w:r>
      <w:r w:rsidRPr="004243B7">
        <w:t>4′,6-diamidino-2-phenylindole</w:t>
      </w:r>
      <w:r w:rsidRPr="004243B7">
        <w:rPr>
          <w:rFonts w:hint="eastAsia"/>
        </w:rPr>
        <w:t>; GFAP = Glial Fibrillary Acidic Protein; MBP = Myelin Basic Protein.</w:t>
      </w:r>
      <w:r>
        <w:br w:type="page"/>
      </w:r>
    </w:p>
    <w:p w14:paraId="533CC9D1" w14:textId="0284794C" w:rsidR="004243B7" w:rsidRPr="00355362" w:rsidRDefault="004243B7" w:rsidP="004243B7">
      <w:pPr>
        <w:pStyle w:val="SMHeading"/>
        <w:jc w:val="both"/>
      </w:pPr>
      <w:r w:rsidRPr="00355362">
        <w:lastRenderedPageBreak/>
        <w:t>Fig</w:t>
      </w:r>
      <w:r>
        <w:rPr>
          <w:rFonts w:hint="eastAsia"/>
          <w:lang w:eastAsia="zh-CN"/>
        </w:rPr>
        <w:t>ure</w:t>
      </w:r>
      <w:r w:rsidRPr="00355362">
        <w:t>. S</w:t>
      </w:r>
      <w:r>
        <w:rPr>
          <w:rFonts w:eastAsia="맑은 고딕" w:hint="eastAsia"/>
          <w:lang w:eastAsia="ko-KR"/>
        </w:rPr>
        <w:t>3</w:t>
      </w:r>
      <w:r w:rsidRPr="00355362">
        <w:t>.</w:t>
      </w:r>
    </w:p>
    <w:p w14:paraId="5E172A78" w14:textId="6FEF8EC3" w:rsidR="004243B7" w:rsidRDefault="004243B7" w:rsidP="004243B7">
      <w:pPr>
        <w:pStyle w:val="SMcaption"/>
        <w:jc w:val="center"/>
        <w:rPr>
          <w:rFonts w:eastAsia="맑은 고딕"/>
          <w:b/>
          <w:bCs/>
          <w:lang w:eastAsia="ko-KR"/>
        </w:rPr>
      </w:pPr>
      <w:r>
        <w:rPr>
          <w:noProof/>
        </w:rPr>
        <w:drawing>
          <wp:inline distT="0" distB="0" distL="0" distR="0" wp14:anchorId="5444D184" wp14:editId="6F268666">
            <wp:extent cx="5400000" cy="5616000"/>
            <wp:effectExtent l="0" t="0" r="0" b="3810"/>
            <wp:docPr id="372231593" name="그림 1" descr="스크린샷, 텍스트, 다채로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31593" name="그림 1" descr="스크린샷, 텍스트, 다채로움이(가) 표시된 사진&#10;&#10;AI 생성 콘텐츠는 정확하지 않을 수 있습니다."/>
                    <pic:cNvPicPr/>
                  </pic:nvPicPr>
                  <pic:blipFill>
                    <a:blip r:embed="rId10"/>
                    <a:stretch>
                      <a:fillRect/>
                    </a:stretch>
                  </pic:blipFill>
                  <pic:spPr>
                    <a:xfrm>
                      <a:off x="0" y="0"/>
                      <a:ext cx="5400000" cy="5616000"/>
                    </a:xfrm>
                    <a:prstGeom prst="rect">
                      <a:avLst/>
                    </a:prstGeom>
                  </pic:spPr>
                </pic:pic>
              </a:graphicData>
            </a:graphic>
          </wp:inline>
        </w:drawing>
      </w:r>
    </w:p>
    <w:p w14:paraId="39C52BBD" w14:textId="48AA6496" w:rsidR="004243B7" w:rsidRPr="004243B7" w:rsidRDefault="004243B7" w:rsidP="004243B7">
      <w:pPr>
        <w:pStyle w:val="SMcaption"/>
        <w:jc w:val="both"/>
        <w:rPr>
          <w:rFonts w:eastAsia="맑은 고딕" w:hint="eastAsia"/>
          <w:lang w:eastAsia="ko-KR"/>
        </w:rPr>
      </w:pPr>
      <w:r w:rsidRPr="004243B7">
        <w:rPr>
          <w:b/>
          <w:bCs/>
        </w:rPr>
        <w:t>Fig.</w:t>
      </w:r>
      <w:r w:rsidRPr="004243B7">
        <w:rPr>
          <w:rFonts w:hint="eastAsia"/>
          <w:b/>
          <w:bCs/>
        </w:rPr>
        <w:t>S3</w:t>
      </w:r>
      <w:r w:rsidRPr="004243B7">
        <w:rPr>
          <w:b/>
          <w:bCs/>
        </w:rPr>
        <w:t xml:space="preserve">. </w:t>
      </w:r>
      <w:r w:rsidRPr="004243B7">
        <w:rPr>
          <w:rFonts w:hint="eastAsia"/>
          <w:b/>
          <w:bCs/>
        </w:rPr>
        <w:t xml:space="preserve">Effect of IKK activation on </w:t>
      </w:r>
      <w:proofErr w:type="spellStart"/>
      <w:r w:rsidRPr="004243B7">
        <w:rPr>
          <w:rFonts w:hint="eastAsia"/>
          <w:b/>
          <w:bCs/>
        </w:rPr>
        <w:t>astroglial</w:t>
      </w:r>
      <w:proofErr w:type="spellEnd"/>
      <w:r w:rsidRPr="004243B7">
        <w:rPr>
          <w:rFonts w:hint="eastAsia"/>
          <w:b/>
          <w:bCs/>
        </w:rPr>
        <w:t>/microglial activation</w:t>
      </w:r>
      <w:r w:rsidRPr="004243B7">
        <w:rPr>
          <w:b/>
          <w:bCs/>
        </w:rPr>
        <w:t>. a</w:t>
      </w:r>
      <w:r w:rsidRPr="004243B7">
        <w:rPr>
          <w:rFonts w:hint="eastAsia"/>
          <w:b/>
          <w:bCs/>
        </w:rPr>
        <w:t>-c</w:t>
      </w:r>
      <w:r w:rsidRPr="004243B7">
        <w:rPr>
          <w:rFonts w:hint="eastAsia"/>
        </w:rPr>
        <w:t xml:space="preserve"> Representative images of L-NIO induced ischemic lesion borders in the mouse internal capsule following viral transduction, and corresponding quantification graphs. Immunostaining for GFAP and MBP </w:t>
      </w:r>
      <w:r w:rsidRPr="004243B7">
        <w:t>(n=</w:t>
      </w:r>
      <w:r w:rsidRPr="004243B7">
        <w:rPr>
          <w:rFonts w:hint="eastAsia"/>
        </w:rPr>
        <w:t>6</w:t>
      </w:r>
      <w:r w:rsidRPr="004243B7">
        <w:t xml:space="preserve"> biologically independent samples/experiments. Welch’s t-test, two-sided. Data presented as mean values ± SEM)</w:t>
      </w:r>
      <w:r w:rsidRPr="004243B7">
        <w:rPr>
          <w:rFonts w:hint="eastAsia"/>
        </w:rPr>
        <w:t xml:space="preserve">. </w:t>
      </w:r>
      <w:r w:rsidRPr="004243B7">
        <w:rPr>
          <w:rFonts w:hint="eastAsia"/>
          <w:b/>
          <w:bCs/>
        </w:rPr>
        <w:t>d-e</w:t>
      </w:r>
      <w:r w:rsidRPr="004243B7">
        <w:rPr>
          <w:rFonts w:hint="eastAsia"/>
        </w:rPr>
        <w:t xml:space="preserve"> Representative images of L-NIO induced ischemic lesion borders in the mouse internal capsule following viral transduction, and corresponding quantification graphs. Immunostaining for Iba1 and MBP </w:t>
      </w:r>
      <w:r w:rsidRPr="004243B7">
        <w:t>(n=</w:t>
      </w:r>
      <w:r w:rsidRPr="004243B7">
        <w:rPr>
          <w:rFonts w:hint="eastAsia"/>
        </w:rPr>
        <w:t>6</w:t>
      </w:r>
      <w:r w:rsidRPr="004243B7">
        <w:t xml:space="preserve"> biologically independent samples/experiments. Welch’s t-test, two-sided. Data presented as mean values ± SEM)</w:t>
      </w:r>
      <w:r w:rsidRPr="004243B7">
        <w:rPr>
          <w:rFonts w:hint="eastAsia"/>
        </w:rPr>
        <w:t xml:space="preserve">. DAPI = </w:t>
      </w:r>
      <w:r w:rsidRPr="004243B7">
        <w:t>4′,6-diamidino-2-phenylindole</w:t>
      </w:r>
      <w:r w:rsidRPr="004243B7">
        <w:rPr>
          <w:rFonts w:hint="eastAsia"/>
        </w:rPr>
        <w:t>; GFAP = Glial Fibrillary Acidic Protein; MBP = Myelin Basic Protein.</w:t>
      </w:r>
      <w:r>
        <w:br w:type="page"/>
      </w:r>
    </w:p>
    <w:p w14:paraId="6B807947" w14:textId="580783B7" w:rsidR="004243B7" w:rsidRPr="00355362" w:rsidRDefault="004243B7" w:rsidP="004243B7">
      <w:pPr>
        <w:pStyle w:val="SMHeading"/>
        <w:jc w:val="both"/>
      </w:pPr>
      <w:r w:rsidRPr="00355362">
        <w:lastRenderedPageBreak/>
        <w:t>Fig</w:t>
      </w:r>
      <w:r>
        <w:rPr>
          <w:rFonts w:hint="eastAsia"/>
          <w:lang w:eastAsia="zh-CN"/>
        </w:rPr>
        <w:t>ure</w:t>
      </w:r>
      <w:r w:rsidRPr="00355362">
        <w:t>. S</w:t>
      </w:r>
      <w:r>
        <w:rPr>
          <w:rFonts w:eastAsia="맑은 고딕" w:hint="eastAsia"/>
          <w:lang w:eastAsia="ko-KR"/>
        </w:rPr>
        <w:t>4</w:t>
      </w:r>
      <w:r w:rsidRPr="00355362">
        <w:t>.</w:t>
      </w:r>
    </w:p>
    <w:p w14:paraId="3AB997A6" w14:textId="667FB1DF" w:rsidR="004243B7" w:rsidRDefault="004243B7" w:rsidP="004243B7">
      <w:pPr>
        <w:pStyle w:val="SMcaption"/>
        <w:jc w:val="center"/>
        <w:rPr>
          <w:rFonts w:eastAsia="맑은 고딕"/>
          <w:b/>
          <w:bCs/>
          <w:lang w:eastAsia="ko-KR"/>
        </w:rPr>
      </w:pPr>
      <w:r w:rsidRPr="00005572">
        <w:rPr>
          <w:noProof/>
          <w:color w:val="000000"/>
          <w:szCs w:val="22"/>
        </w:rPr>
        <w:drawing>
          <wp:inline distT="0" distB="0" distL="0" distR="0" wp14:anchorId="4BD7960C" wp14:editId="039D0F54">
            <wp:extent cx="5397781" cy="6699600"/>
            <wp:effectExtent l="0" t="0" r="0" b="6350"/>
            <wp:docPr id="1139671372" name="그림 1" descr="텍스트, 스크린샷, 도표, 다채로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71372" name="그림 1" descr="텍스트, 스크린샷, 도표, 다채로움이(가) 표시된 사진&#10;&#10;AI 생성 콘텐츠는 정확하지 않을 수 있습니다."/>
                    <pic:cNvPicPr/>
                  </pic:nvPicPr>
                  <pic:blipFill>
                    <a:blip r:embed="rId11"/>
                    <a:stretch>
                      <a:fillRect/>
                    </a:stretch>
                  </pic:blipFill>
                  <pic:spPr>
                    <a:xfrm>
                      <a:off x="0" y="0"/>
                      <a:ext cx="5397781" cy="6699600"/>
                    </a:xfrm>
                    <a:prstGeom prst="rect">
                      <a:avLst/>
                    </a:prstGeom>
                  </pic:spPr>
                </pic:pic>
              </a:graphicData>
            </a:graphic>
          </wp:inline>
        </w:drawing>
      </w:r>
    </w:p>
    <w:p w14:paraId="7CFB82B5" w14:textId="29B7CE0B" w:rsidR="004243B7" w:rsidRPr="004243B7" w:rsidRDefault="004243B7" w:rsidP="004243B7">
      <w:pPr>
        <w:pStyle w:val="SMcaption"/>
        <w:jc w:val="both"/>
        <w:rPr>
          <w:rFonts w:eastAsia="맑은 고딕" w:hint="eastAsia"/>
          <w:lang w:eastAsia="ko-KR"/>
        </w:rPr>
      </w:pPr>
      <w:r w:rsidRPr="004243B7">
        <w:rPr>
          <w:b/>
          <w:bCs/>
        </w:rPr>
        <w:t>Fig.</w:t>
      </w:r>
      <w:r w:rsidRPr="004243B7">
        <w:rPr>
          <w:rFonts w:hint="eastAsia"/>
          <w:b/>
          <w:bCs/>
        </w:rPr>
        <w:t>S4</w:t>
      </w:r>
      <w:r w:rsidRPr="004243B7">
        <w:rPr>
          <w:b/>
          <w:bCs/>
        </w:rPr>
        <w:t xml:space="preserve">. </w:t>
      </w:r>
      <w:r w:rsidRPr="004243B7">
        <w:rPr>
          <w:b/>
          <w:bCs/>
          <w:i/>
          <w:iCs/>
        </w:rPr>
        <w:t>In vivo</w:t>
      </w:r>
      <w:r w:rsidRPr="004243B7">
        <w:rPr>
          <w:b/>
          <w:bCs/>
        </w:rPr>
        <w:t xml:space="preserve"> oligodendrocyte protection by the NF-</w:t>
      </w:r>
      <w:proofErr w:type="spellStart"/>
      <w:r w:rsidRPr="004243B7">
        <w:rPr>
          <w:b/>
          <w:bCs/>
        </w:rPr>
        <w:t>κB</w:t>
      </w:r>
      <w:proofErr w:type="spellEnd"/>
      <w:r w:rsidRPr="004243B7">
        <w:rPr>
          <w:b/>
          <w:bCs/>
        </w:rPr>
        <w:t xml:space="preserve"> -cIAP2 axis in the</w:t>
      </w:r>
      <w:r w:rsidRPr="004243B7">
        <w:rPr>
          <w:rFonts w:hint="eastAsia"/>
          <w:b/>
          <w:bCs/>
        </w:rPr>
        <w:t xml:space="preserve"> TLR2-deficient</w:t>
      </w:r>
      <w:r w:rsidRPr="004243B7">
        <w:rPr>
          <w:b/>
          <w:bCs/>
        </w:rPr>
        <w:t xml:space="preserve"> L-NIO demyelination model. </w:t>
      </w:r>
      <w:r w:rsidRPr="004243B7">
        <w:rPr>
          <w:rFonts w:hint="eastAsia"/>
          <w:b/>
          <w:bCs/>
        </w:rPr>
        <w:t>a</w:t>
      </w:r>
      <w:r w:rsidRPr="004243B7">
        <w:t xml:space="preserve"> </w:t>
      </w:r>
      <w:proofErr w:type="gramStart"/>
      <w:r w:rsidRPr="004243B7">
        <w:t>Representative images of L-NIO-induced demyelinating lesions</w:t>
      </w:r>
      <w:proofErr w:type="gramEnd"/>
      <w:r w:rsidRPr="004243B7">
        <w:t xml:space="preserve"> in the right internal capsule of the </w:t>
      </w:r>
      <w:r w:rsidRPr="004243B7">
        <w:rPr>
          <w:rFonts w:hint="eastAsia"/>
        </w:rPr>
        <w:t xml:space="preserve">TLR2(-/-) </w:t>
      </w:r>
      <w:r w:rsidRPr="004243B7">
        <w:t xml:space="preserve">murine brain, stained with </w:t>
      </w:r>
      <w:proofErr w:type="spellStart"/>
      <w:r w:rsidRPr="004243B7">
        <w:t>eriochrome</w:t>
      </w:r>
      <w:proofErr w:type="spellEnd"/>
      <w:r w:rsidRPr="004243B7">
        <w:t xml:space="preserve"> cyanine or anti-MBP antibodies. </w:t>
      </w:r>
      <w:r w:rsidRPr="004243B7">
        <w:rPr>
          <w:rFonts w:hint="eastAsia"/>
          <w:b/>
          <w:bCs/>
        </w:rPr>
        <w:t>b</w:t>
      </w:r>
      <w:r w:rsidRPr="004243B7">
        <w:t xml:space="preserve"> Quantification of lesion volume based on </w:t>
      </w:r>
      <w:proofErr w:type="spellStart"/>
      <w:r w:rsidRPr="004243B7">
        <w:t>eriochrome</w:t>
      </w:r>
      <w:proofErr w:type="spellEnd"/>
      <w:r w:rsidRPr="004243B7">
        <w:t xml:space="preserve"> cyanine staining in </w:t>
      </w:r>
      <w:proofErr w:type="gramStart"/>
      <w:r w:rsidRPr="004243B7">
        <w:rPr>
          <w:rFonts w:hint="eastAsia"/>
          <w:b/>
          <w:bCs/>
        </w:rPr>
        <w:t>a</w:t>
      </w:r>
      <w:r w:rsidRPr="004243B7">
        <w:t xml:space="preserve"> (</w:t>
      </w:r>
      <w:proofErr w:type="gramEnd"/>
      <w:r w:rsidRPr="004243B7">
        <w:t>n=6 biologically independent samples/experiments. Welch’s t-test, two-sided. Data presented as mean values ± SEM).</w:t>
      </w:r>
      <w:r w:rsidRPr="004243B7">
        <w:rPr>
          <w:rFonts w:hint="eastAsia"/>
        </w:rPr>
        <w:t xml:space="preserve"> Red dotted line = average lesion volume of wildtype-</w:t>
      </w:r>
      <w:proofErr w:type="spellStart"/>
      <w:r w:rsidRPr="004243B7">
        <w:rPr>
          <w:rFonts w:hint="eastAsia"/>
        </w:rPr>
        <w:t>mCherry</w:t>
      </w:r>
      <w:proofErr w:type="spellEnd"/>
      <w:r w:rsidRPr="004243B7">
        <w:rPr>
          <w:rFonts w:hint="eastAsia"/>
        </w:rPr>
        <w:t xml:space="preserve"> mice. </w:t>
      </w:r>
      <w:r w:rsidRPr="004243B7">
        <w:rPr>
          <w:rFonts w:hint="eastAsia"/>
          <w:b/>
          <w:bCs/>
        </w:rPr>
        <w:t>c</w:t>
      </w:r>
      <w:r w:rsidRPr="004243B7">
        <w:rPr>
          <w:rFonts w:hint="eastAsia"/>
        </w:rPr>
        <w:t xml:space="preserve"> Quantification of tape removal test results (removal time) by days after L-NIO-induced </w:t>
      </w:r>
      <w:r w:rsidRPr="004243B7">
        <w:rPr>
          <w:rFonts w:hint="eastAsia"/>
        </w:rPr>
        <w:lastRenderedPageBreak/>
        <w:t xml:space="preserve">demyelination </w:t>
      </w:r>
      <w:r w:rsidRPr="004243B7">
        <w:t xml:space="preserve">(n=6 biologically independent samples/experiments. </w:t>
      </w:r>
      <w:r w:rsidRPr="004243B7">
        <w:rPr>
          <w:rFonts w:hint="eastAsia"/>
        </w:rPr>
        <w:t xml:space="preserve">Two-way ANOVA with </w:t>
      </w:r>
      <w:proofErr w:type="spellStart"/>
      <w:r w:rsidRPr="004243B7">
        <w:rPr>
          <w:rFonts w:hint="eastAsia"/>
        </w:rPr>
        <w:t>Š</w:t>
      </w:r>
      <w:r w:rsidRPr="004243B7">
        <w:rPr>
          <w:rFonts w:hint="eastAsia"/>
        </w:rPr>
        <w:t>í</w:t>
      </w:r>
      <w:r w:rsidRPr="004243B7">
        <w:t>dák's</w:t>
      </w:r>
      <w:proofErr w:type="spellEnd"/>
      <w:r w:rsidRPr="004243B7">
        <w:t xml:space="preserve"> multiple comparisons test, two-sided</w:t>
      </w:r>
      <w:r w:rsidRPr="004243B7">
        <w:rPr>
          <w:rFonts w:hint="eastAsia"/>
        </w:rPr>
        <w:t xml:space="preserve">). </w:t>
      </w:r>
      <w:r w:rsidRPr="004243B7">
        <w:rPr>
          <w:rFonts w:hint="eastAsia"/>
          <w:b/>
          <w:bCs/>
        </w:rPr>
        <w:t>d</w:t>
      </w:r>
      <w:r w:rsidRPr="004243B7">
        <w:rPr>
          <w:rFonts w:hint="eastAsia"/>
        </w:rPr>
        <w:t xml:space="preserve"> Correlation between lesion volume and tape removal time </w:t>
      </w:r>
      <w:r w:rsidRPr="004243B7">
        <w:t>(n=6 biologically independent samples/experiments</w:t>
      </w:r>
      <w:r w:rsidRPr="004243B7">
        <w:rPr>
          <w:rFonts w:hint="eastAsia"/>
        </w:rPr>
        <w:t>, Pearson</w:t>
      </w:r>
      <w:r w:rsidRPr="004243B7">
        <w:t>’</w:t>
      </w:r>
      <w:r w:rsidRPr="004243B7">
        <w:rPr>
          <w:rFonts w:hint="eastAsia"/>
        </w:rPr>
        <w:t xml:space="preserve">s correlation). </w:t>
      </w:r>
      <w:r w:rsidRPr="004243B7">
        <w:rPr>
          <w:rFonts w:hint="eastAsia"/>
          <w:b/>
          <w:bCs/>
        </w:rPr>
        <w:t>e-k</w:t>
      </w:r>
      <w:r w:rsidRPr="004243B7">
        <w:rPr>
          <w:rFonts w:hint="eastAsia"/>
        </w:rPr>
        <w:t xml:space="preserve"> Representative images of immunostaining for cIAP2, Olig2, GFAP, MBP and Iba1 with corresponding quantification graphs (</w:t>
      </w:r>
      <w:r w:rsidRPr="004243B7">
        <w:t>n=6 biologically independent samples/experiments. Welch’s t-test, two-sided. Data presented as mean values ± SEM</w:t>
      </w:r>
      <w:r w:rsidRPr="004243B7">
        <w:rPr>
          <w:rFonts w:hint="eastAsia"/>
        </w:rPr>
        <w:t>). Red dotted line = average cIAP2+Olig2+/Olig2+ cell percentage of wildtype-</w:t>
      </w:r>
      <w:proofErr w:type="spellStart"/>
      <w:r w:rsidRPr="004243B7">
        <w:rPr>
          <w:rFonts w:hint="eastAsia"/>
        </w:rPr>
        <w:t>mCherry</w:t>
      </w:r>
      <w:proofErr w:type="spellEnd"/>
      <w:r w:rsidRPr="004243B7">
        <w:rPr>
          <w:rFonts w:hint="eastAsia"/>
        </w:rPr>
        <w:t xml:space="preserve"> mice.</w:t>
      </w:r>
      <w:r w:rsidRPr="004243B7">
        <w:t xml:space="preserve"> cIAP2 = Cellular Inhibitor of Apoptosis Protein 2; DAPI = 4′,6-diamidino-2-phenylindole; dpi = Days Post-injection;</w:t>
      </w:r>
      <w:r w:rsidRPr="004243B7">
        <w:rPr>
          <w:rFonts w:hint="eastAsia"/>
        </w:rPr>
        <w:t xml:space="preserve"> GFAP = Glial Fibrillary Acidic Protein;</w:t>
      </w:r>
      <w:r w:rsidRPr="004243B7">
        <w:t xml:space="preserve"> IKK = </w:t>
      </w:r>
      <w:proofErr w:type="spellStart"/>
      <w:r w:rsidRPr="004243B7">
        <w:t>IκB</w:t>
      </w:r>
      <w:proofErr w:type="spellEnd"/>
      <w:r w:rsidRPr="004243B7">
        <w:t xml:space="preserve"> Kinase; MBP = Myelin Basic Protein; </w:t>
      </w:r>
      <w:proofErr w:type="spellStart"/>
      <w:r w:rsidRPr="004243B7">
        <w:t>mCh</w:t>
      </w:r>
      <w:proofErr w:type="spellEnd"/>
      <w:r w:rsidRPr="004243B7">
        <w:t xml:space="preserve"> = </w:t>
      </w:r>
      <w:proofErr w:type="spellStart"/>
      <w:r w:rsidRPr="004243B7">
        <w:t>mCherry</w:t>
      </w:r>
      <w:proofErr w:type="spellEnd"/>
      <w:r w:rsidRPr="004243B7">
        <w:rPr>
          <w:rFonts w:hint="eastAsia"/>
        </w:rPr>
        <w:t xml:space="preserve">; </w:t>
      </w:r>
      <w:r w:rsidRPr="004243B7">
        <w:t>TLR = Toll-like Receptor</w:t>
      </w:r>
      <w:r>
        <w:br w:type="page"/>
      </w:r>
    </w:p>
    <w:p w14:paraId="1996F0B0" w14:textId="708B8F79" w:rsidR="004243B7" w:rsidRPr="00355362" w:rsidRDefault="004243B7" w:rsidP="004243B7">
      <w:pPr>
        <w:pStyle w:val="SMHeading"/>
        <w:jc w:val="both"/>
      </w:pPr>
      <w:r w:rsidRPr="00355362">
        <w:lastRenderedPageBreak/>
        <w:t>Fig</w:t>
      </w:r>
      <w:r>
        <w:rPr>
          <w:rFonts w:hint="eastAsia"/>
          <w:lang w:eastAsia="zh-CN"/>
        </w:rPr>
        <w:t>ure</w:t>
      </w:r>
      <w:r w:rsidRPr="00355362">
        <w:t>. S</w:t>
      </w:r>
      <w:r>
        <w:rPr>
          <w:rFonts w:eastAsia="맑은 고딕" w:hint="eastAsia"/>
          <w:lang w:eastAsia="ko-KR"/>
        </w:rPr>
        <w:t>5</w:t>
      </w:r>
      <w:r w:rsidRPr="00355362">
        <w:t>.</w:t>
      </w:r>
    </w:p>
    <w:p w14:paraId="4E9C5B42" w14:textId="44307F05" w:rsidR="004243B7" w:rsidRDefault="004243B7" w:rsidP="004243B7">
      <w:pPr>
        <w:pStyle w:val="SMcaption"/>
        <w:jc w:val="center"/>
        <w:rPr>
          <w:rFonts w:eastAsia="맑은 고딕"/>
          <w:b/>
          <w:bCs/>
          <w:lang w:eastAsia="ko-KR"/>
        </w:rPr>
      </w:pPr>
      <w:r>
        <w:rPr>
          <w:noProof/>
        </w:rPr>
        <w:drawing>
          <wp:inline distT="0" distB="0" distL="0" distR="0" wp14:anchorId="1385B444" wp14:editId="0B615931">
            <wp:extent cx="5400000" cy="5112000"/>
            <wp:effectExtent l="0" t="0" r="0" b="0"/>
            <wp:docPr id="658790042" name="그림 1" descr="텍스트, 도표, 스크린샷, 다채로움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0042" name="그림 1" descr="텍스트, 도표, 스크린샷, 다채로움이(가) 표시된 사진&#10;&#10;AI 생성 콘텐츠는 정확하지 않을 수 있습니다."/>
                    <pic:cNvPicPr/>
                  </pic:nvPicPr>
                  <pic:blipFill>
                    <a:blip r:embed="rId12"/>
                    <a:stretch>
                      <a:fillRect/>
                    </a:stretch>
                  </pic:blipFill>
                  <pic:spPr>
                    <a:xfrm>
                      <a:off x="0" y="0"/>
                      <a:ext cx="5400000" cy="5112000"/>
                    </a:xfrm>
                    <a:prstGeom prst="rect">
                      <a:avLst/>
                    </a:prstGeom>
                  </pic:spPr>
                </pic:pic>
              </a:graphicData>
            </a:graphic>
          </wp:inline>
        </w:drawing>
      </w:r>
    </w:p>
    <w:p w14:paraId="5F65DA05" w14:textId="33B11AAF" w:rsidR="004243B7" w:rsidRPr="004243B7" w:rsidRDefault="004243B7" w:rsidP="004243B7">
      <w:pPr>
        <w:pStyle w:val="SMcaption"/>
        <w:jc w:val="both"/>
        <w:rPr>
          <w:rFonts w:eastAsia="맑은 고딕" w:hint="eastAsia"/>
          <w:lang w:eastAsia="ko-KR"/>
        </w:rPr>
      </w:pPr>
      <w:r w:rsidRPr="004243B7">
        <w:rPr>
          <w:b/>
          <w:bCs/>
        </w:rPr>
        <w:t>Fig.</w:t>
      </w:r>
      <w:r w:rsidRPr="004243B7">
        <w:rPr>
          <w:rFonts w:hint="eastAsia"/>
          <w:b/>
          <w:bCs/>
        </w:rPr>
        <w:t>S5</w:t>
      </w:r>
      <w:r w:rsidRPr="004243B7">
        <w:rPr>
          <w:b/>
          <w:bCs/>
        </w:rPr>
        <w:t xml:space="preserve">. </w:t>
      </w:r>
      <w:r w:rsidRPr="004243B7">
        <w:rPr>
          <w:rFonts w:hint="eastAsia"/>
          <w:b/>
          <w:bCs/>
        </w:rPr>
        <w:t xml:space="preserve">Generation of </w:t>
      </w:r>
      <w:r w:rsidRPr="004243B7">
        <w:rPr>
          <w:b/>
          <w:bCs/>
        </w:rPr>
        <w:t>“</w:t>
      </w:r>
      <w:proofErr w:type="spellStart"/>
      <w:r w:rsidRPr="004243B7">
        <w:rPr>
          <w:rFonts w:hint="eastAsia"/>
          <w:b/>
          <w:bCs/>
        </w:rPr>
        <w:t>metacells</w:t>
      </w:r>
      <w:proofErr w:type="spellEnd"/>
      <w:r w:rsidRPr="004243B7">
        <w:rPr>
          <w:b/>
          <w:bCs/>
        </w:rPr>
        <w:t>”</w:t>
      </w:r>
      <w:r w:rsidRPr="004243B7">
        <w:rPr>
          <w:rFonts w:hint="eastAsia"/>
          <w:b/>
          <w:bCs/>
        </w:rPr>
        <w:t xml:space="preserve"> to evaluate gene-correlation in zero-inflated transcriptome data</w:t>
      </w:r>
      <w:r w:rsidRPr="004243B7">
        <w:rPr>
          <w:b/>
          <w:bCs/>
        </w:rPr>
        <w:t xml:space="preserve">. </w:t>
      </w:r>
      <w:r w:rsidRPr="004243B7">
        <w:rPr>
          <w:rFonts w:hint="eastAsia"/>
          <w:b/>
          <w:bCs/>
        </w:rPr>
        <w:t>a</w:t>
      </w:r>
      <w:r w:rsidRPr="004243B7">
        <w:t xml:space="preserve"> </w:t>
      </w:r>
      <w:r w:rsidRPr="004243B7">
        <w:rPr>
          <w:rFonts w:hint="eastAsia"/>
          <w:i/>
          <w:iCs/>
        </w:rPr>
        <w:t>BIRC3</w:t>
      </w:r>
      <w:r w:rsidRPr="004243B7">
        <w:rPr>
          <w:rFonts w:hint="eastAsia"/>
        </w:rPr>
        <w:t xml:space="preserve">+ cell proportions for mature OLs and OPC/COPs in two human brain transcriptome datasets. </w:t>
      </w:r>
      <w:r w:rsidRPr="004243B7">
        <w:rPr>
          <w:rFonts w:hint="eastAsia"/>
          <w:b/>
          <w:bCs/>
        </w:rPr>
        <w:t>b</w:t>
      </w:r>
      <w:r w:rsidRPr="004243B7">
        <w:rPr>
          <w:rFonts w:hint="eastAsia"/>
        </w:rPr>
        <w:t xml:space="preserve"> Schematic of the generation of </w:t>
      </w:r>
      <w:r w:rsidRPr="004243B7">
        <w:t>“</w:t>
      </w:r>
      <w:proofErr w:type="spellStart"/>
      <w:r w:rsidRPr="004243B7">
        <w:rPr>
          <w:rFonts w:hint="eastAsia"/>
        </w:rPr>
        <w:t>metacells</w:t>
      </w:r>
      <w:proofErr w:type="spellEnd"/>
      <w:r w:rsidRPr="004243B7">
        <w:t>”</w:t>
      </w:r>
      <w:r w:rsidRPr="004243B7">
        <w:rPr>
          <w:rFonts w:hint="eastAsia"/>
        </w:rPr>
        <w:t xml:space="preserve">, aggregations of cells with similar expression profiles (adjacent to each other on UMAP plots) to overcome zero inflation in single-cell level transcriptome data. </w:t>
      </w:r>
      <w:r w:rsidRPr="004243B7">
        <w:rPr>
          <w:rFonts w:hint="eastAsia"/>
          <w:b/>
          <w:bCs/>
        </w:rPr>
        <w:t>c</w:t>
      </w:r>
      <w:r w:rsidRPr="004243B7">
        <w:rPr>
          <w:rFonts w:hint="eastAsia"/>
        </w:rPr>
        <w:t xml:space="preserve"> UMAP plot of the human multiple sclerosis dataset (Macnair et al., 2025), generation of </w:t>
      </w:r>
      <w:proofErr w:type="spellStart"/>
      <w:r w:rsidRPr="004243B7">
        <w:rPr>
          <w:rFonts w:hint="eastAsia"/>
        </w:rPr>
        <w:t>metacells</w:t>
      </w:r>
      <w:proofErr w:type="spellEnd"/>
      <w:r w:rsidRPr="004243B7">
        <w:rPr>
          <w:rFonts w:hint="eastAsia"/>
        </w:rPr>
        <w:t>, and Pearson</w:t>
      </w:r>
      <w:r w:rsidRPr="004243B7">
        <w:t>’</w:t>
      </w:r>
      <w:r w:rsidRPr="004243B7">
        <w:rPr>
          <w:rFonts w:hint="eastAsia"/>
        </w:rPr>
        <w:t xml:space="preserve">s correlation between the three genes </w:t>
      </w:r>
      <w:r w:rsidRPr="004243B7">
        <w:rPr>
          <w:rFonts w:hint="eastAsia"/>
          <w:i/>
          <w:iCs/>
        </w:rPr>
        <w:t>TLR2</w:t>
      </w:r>
      <w:r w:rsidRPr="004243B7">
        <w:rPr>
          <w:rFonts w:hint="eastAsia"/>
        </w:rPr>
        <w:t xml:space="preserve">, </w:t>
      </w:r>
      <w:r w:rsidRPr="004243B7">
        <w:rPr>
          <w:rFonts w:hint="eastAsia"/>
          <w:i/>
          <w:iCs/>
        </w:rPr>
        <w:t>RELA</w:t>
      </w:r>
      <w:r w:rsidRPr="004243B7">
        <w:rPr>
          <w:rFonts w:hint="eastAsia"/>
        </w:rPr>
        <w:t xml:space="preserve">, and </w:t>
      </w:r>
      <w:r w:rsidRPr="004243B7">
        <w:rPr>
          <w:rFonts w:hint="eastAsia"/>
          <w:i/>
          <w:iCs/>
        </w:rPr>
        <w:t>BIRC3</w:t>
      </w:r>
      <w:r w:rsidRPr="004243B7">
        <w:rPr>
          <w:rFonts w:hint="eastAsia"/>
        </w:rPr>
        <w:t xml:space="preserve"> for three cell types; mature OLs, OPCs/COPs, and microglia after generation of </w:t>
      </w:r>
      <w:proofErr w:type="spellStart"/>
      <w:r w:rsidRPr="004243B7">
        <w:rPr>
          <w:rFonts w:hint="eastAsia"/>
        </w:rPr>
        <w:t>metacells</w:t>
      </w:r>
      <w:proofErr w:type="spellEnd"/>
      <w:r w:rsidRPr="004243B7">
        <w:t>.</w:t>
      </w:r>
      <w:r w:rsidRPr="004243B7">
        <w:rPr>
          <w:rFonts w:hint="eastAsia"/>
        </w:rPr>
        <w:t xml:space="preserve"> BCAS1 = </w:t>
      </w:r>
      <w:r w:rsidRPr="004243B7">
        <w:t>Breast Carcinoma Amplified Sequence 1</w:t>
      </w:r>
      <w:r w:rsidRPr="004243B7">
        <w:rPr>
          <w:rFonts w:hint="eastAsia"/>
        </w:rPr>
        <w:t xml:space="preserve">; BIRC3 = </w:t>
      </w:r>
      <w:r w:rsidRPr="004243B7">
        <w:t>Baculoviral IAP Repeat Containing 3</w:t>
      </w:r>
      <w:r w:rsidRPr="004243B7">
        <w:rPr>
          <w:rFonts w:hint="eastAsia"/>
        </w:rPr>
        <w:t>; CSF1R = Colony stimulating factor 1 receptor; MBP = Myelin basic protein;</w:t>
      </w:r>
      <w:r w:rsidRPr="004243B7">
        <w:t xml:space="preserve"> </w:t>
      </w:r>
      <w:r w:rsidRPr="004243B7">
        <w:rPr>
          <w:rFonts w:hint="eastAsia"/>
        </w:rPr>
        <w:t>OPC/COP = Oligodendrocyte progenitor cell/</w:t>
      </w:r>
      <w:r w:rsidRPr="004243B7">
        <w:t>committed</w:t>
      </w:r>
      <w:r w:rsidRPr="004243B7">
        <w:rPr>
          <w:rFonts w:hint="eastAsia"/>
        </w:rPr>
        <w:t xml:space="preserve"> oligodendrocyte progenitor; RELA = </w:t>
      </w:r>
      <w:r w:rsidRPr="004243B7">
        <w:t>RELA proto-oncogene, NF-kB subunit</w:t>
      </w:r>
      <w:r w:rsidRPr="004243B7">
        <w:rPr>
          <w:rFonts w:hint="eastAsia"/>
        </w:rPr>
        <w:t>; TLR = Toll-like receptor</w:t>
      </w:r>
      <w:r>
        <w:br w:type="page"/>
      </w:r>
    </w:p>
    <w:p w14:paraId="1C4ED036" w14:textId="66334D86" w:rsidR="00015F74" w:rsidRDefault="00015F74" w:rsidP="00B9440A">
      <w:pPr>
        <w:pStyle w:val="SMHeading"/>
      </w:pPr>
      <w:r>
        <w:lastRenderedPageBreak/>
        <w:t>Table S1.</w:t>
      </w:r>
    </w:p>
    <w:tbl>
      <w:tblPr>
        <w:tblW w:w="9376" w:type="dxa"/>
        <w:tblLook w:val="04A0" w:firstRow="1" w:lastRow="0" w:firstColumn="1" w:lastColumn="0" w:noHBand="0" w:noVBand="1"/>
      </w:tblPr>
      <w:tblGrid>
        <w:gridCol w:w="1475"/>
        <w:gridCol w:w="2346"/>
        <w:gridCol w:w="2475"/>
        <w:gridCol w:w="1540"/>
        <w:gridCol w:w="1540"/>
      </w:tblGrid>
      <w:tr w:rsidR="004243B7" w:rsidRPr="00BC482F" w14:paraId="44428552" w14:textId="77777777" w:rsidTr="004243B7">
        <w:trPr>
          <w:trHeight w:val="341"/>
        </w:trPr>
        <w:tc>
          <w:tcPr>
            <w:tcW w:w="1475" w:type="dxa"/>
            <w:tcBorders>
              <w:top w:val="nil"/>
              <w:left w:val="nil"/>
              <w:bottom w:val="single" w:sz="4" w:space="0" w:color="auto"/>
              <w:right w:val="single" w:sz="4" w:space="0" w:color="auto"/>
            </w:tcBorders>
            <w:noWrap/>
            <w:vAlign w:val="center"/>
            <w:hideMark/>
          </w:tcPr>
          <w:p w14:paraId="3545AE72" w14:textId="77777777" w:rsidR="004243B7" w:rsidRPr="004243B7" w:rsidRDefault="004243B7" w:rsidP="00D1211B">
            <w:pPr>
              <w:ind w:right="330"/>
              <w:jc w:val="center"/>
              <w:rPr>
                <w:b/>
                <w:bCs/>
                <w:color w:val="000000"/>
                <w:sz w:val="22"/>
              </w:rPr>
            </w:pPr>
            <w:r w:rsidRPr="004243B7">
              <w:rPr>
                <w:rFonts w:hint="eastAsia"/>
                <w:b/>
                <w:bCs/>
                <w:color w:val="000000"/>
                <w:sz w:val="22"/>
              </w:rPr>
              <w:t>Gene</w:t>
            </w:r>
          </w:p>
        </w:tc>
        <w:tc>
          <w:tcPr>
            <w:tcW w:w="2346" w:type="dxa"/>
            <w:tcBorders>
              <w:top w:val="nil"/>
              <w:left w:val="single" w:sz="4" w:space="0" w:color="auto"/>
              <w:bottom w:val="single" w:sz="4" w:space="0" w:color="auto"/>
              <w:right w:val="single" w:sz="4" w:space="0" w:color="auto"/>
            </w:tcBorders>
            <w:noWrap/>
            <w:vAlign w:val="center"/>
            <w:hideMark/>
          </w:tcPr>
          <w:p w14:paraId="4D4209FB" w14:textId="77777777" w:rsidR="004243B7" w:rsidRPr="004243B7" w:rsidRDefault="004243B7" w:rsidP="00D1211B">
            <w:pPr>
              <w:jc w:val="center"/>
              <w:rPr>
                <w:rFonts w:eastAsia="Times New Roman"/>
                <w:b/>
                <w:bCs/>
                <w:color w:val="000000"/>
                <w:sz w:val="22"/>
              </w:rPr>
            </w:pPr>
            <w:r w:rsidRPr="004243B7">
              <w:rPr>
                <w:rFonts w:eastAsia="Times New Roman"/>
                <w:b/>
                <w:bCs/>
                <w:color w:val="000000"/>
                <w:sz w:val="22"/>
              </w:rPr>
              <w:t>Log</w:t>
            </w:r>
            <w:r w:rsidRPr="004243B7">
              <w:rPr>
                <w:rFonts w:eastAsia="Times New Roman"/>
                <w:b/>
                <w:bCs/>
                <w:color w:val="000000"/>
                <w:sz w:val="22"/>
                <w:vertAlign w:val="subscript"/>
              </w:rPr>
              <w:t>2</w:t>
            </w:r>
            <w:r w:rsidRPr="004243B7">
              <w:rPr>
                <w:rFonts w:eastAsia="Times New Roman"/>
                <w:b/>
                <w:bCs/>
                <w:color w:val="000000"/>
                <w:sz w:val="22"/>
              </w:rPr>
              <w:t>(Fold Change)</w:t>
            </w:r>
          </w:p>
        </w:tc>
        <w:tc>
          <w:tcPr>
            <w:tcW w:w="2475" w:type="dxa"/>
            <w:tcBorders>
              <w:top w:val="nil"/>
              <w:left w:val="single" w:sz="4" w:space="0" w:color="auto"/>
              <w:bottom w:val="single" w:sz="4" w:space="0" w:color="auto"/>
              <w:right w:val="single" w:sz="4" w:space="0" w:color="auto"/>
            </w:tcBorders>
            <w:noWrap/>
            <w:vAlign w:val="center"/>
            <w:hideMark/>
          </w:tcPr>
          <w:p w14:paraId="7985AF5B" w14:textId="77777777" w:rsidR="004243B7" w:rsidRPr="004243B7" w:rsidRDefault="004243B7" w:rsidP="00D1211B">
            <w:pPr>
              <w:jc w:val="center"/>
              <w:rPr>
                <w:rFonts w:eastAsia="Times New Roman"/>
                <w:b/>
                <w:bCs/>
                <w:color w:val="000000"/>
                <w:sz w:val="22"/>
              </w:rPr>
            </w:pPr>
            <w:r w:rsidRPr="004243B7">
              <w:rPr>
                <w:rFonts w:eastAsia="Times New Roman"/>
                <w:b/>
                <w:bCs/>
                <w:color w:val="000000"/>
                <w:sz w:val="22"/>
              </w:rPr>
              <w:t xml:space="preserve">Average </w:t>
            </w:r>
            <w:r w:rsidRPr="004243B7">
              <w:rPr>
                <w:rFonts w:hint="eastAsia"/>
                <w:b/>
                <w:bCs/>
                <w:color w:val="000000"/>
                <w:sz w:val="22"/>
              </w:rPr>
              <w:t>e</w:t>
            </w:r>
            <w:r w:rsidRPr="004243B7">
              <w:rPr>
                <w:rFonts w:eastAsia="Times New Roman"/>
                <w:b/>
                <w:bCs/>
                <w:color w:val="000000"/>
                <w:sz w:val="22"/>
              </w:rPr>
              <w:t>xpression</w:t>
            </w:r>
          </w:p>
        </w:tc>
        <w:tc>
          <w:tcPr>
            <w:tcW w:w="1540" w:type="dxa"/>
            <w:tcBorders>
              <w:top w:val="nil"/>
              <w:left w:val="single" w:sz="4" w:space="0" w:color="auto"/>
              <w:bottom w:val="single" w:sz="4" w:space="0" w:color="auto"/>
              <w:right w:val="single" w:sz="4" w:space="0" w:color="auto"/>
            </w:tcBorders>
            <w:noWrap/>
            <w:vAlign w:val="center"/>
            <w:hideMark/>
          </w:tcPr>
          <w:p w14:paraId="18A539B6" w14:textId="77777777" w:rsidR="004243B7" w:rsidRPr="004243B7" w:rsidRDefault="004243B7" w:rsidP="00D1211B">
            <w:pPr>
              <w:jc w:val="center"/>
              <w:rPr>
                <w:rFonts w:eastAsia="Times New Roman"/>
                <w:b/>
                <w:bCs/>
                <w:i/>
                <w:iCs/>
                <w:color w:val="000000"/>
                <w:sz w:val="22"/>
              </w:rPr>
            </w:pPr>
            <w:r w:rsidRPr="004243B7">
              <w:rPr>
                <w:rFonts w:eastAsia="Times New Roman"/>
                <w:b/>
                <w:bCs/>
                <w:i/>
                <w:iCs/>
                <w:color w:val="000000"/>
                <w:sz w:val="22"/>
              </w:rPr>
              <w:t>p</w:t>
            </w:r>
          </w:p>
        </w:tc>
        <w:tc>
          <w:tcPr>
            <w:tcW w:w="1540" w:type="dxa"/>
            <w:tcBorders>
              <w:top w:val="nil"/>
              <w:left w:val="single" w:sz="4" w:space="0" w:color="auto"/>
              <w:bottom w:val="single" w:sz="4" w:space="0" w:color="auto"/>
              <w:right w:val="nil"/>
            </w:tcBorders>
            <w:noWrap/>
            <w:vAlign w:val="center"/>
            <w:hideMark/>
          </w:tcPr>
          <w:p w14:paraId="15A3B424" w14:textId="77777777" w:rsidR="004243B7" w:rsidRPr="004243B7" w:rsidRDefault="004243B7" w:rsidP="00D1211B">
            <w:pPr>
              <w:jc w:val="center"/>
              <w:rPr>
                <w:b/>
                <w:bCs/>
                <w:color w:val="000000"/>
                <w:sz w:val="22"/>
              </w:rPr>
            </w:pPr>
            <w:r w:rsidRPr="004243B7">
              <w:rPr>
                <w:b/>
                <w:bCs/>
                <w:color w:val="000000"/>
                <w:sz w:val="22"/>
              </w:rPr>
              <w:t>A</w:t>
            </w:r>
            <w:r w:rsidRPr="004243B7">
              <w:rPr>
                <w:rFonts w:hint="eastAsia"/>
                <w:b/>
                <w:bCs/>
                <w:color w:val="000000"/>
                <w:sz w:val="22"/>
              </w:rPr>
              <w:t xml:space="preserve">djusted </w:t>
            </w:r>
            <w:r w:rsidRPr="004243B7">
              <w:rPr>
                <w:rFonts w:hint="eastAsia"/>
                <w:b/>
                <w:bCs/>
                <w:i/>
                <w:iCs/>
                <w:color w:val="000000"/>
                <w:sz w:val="22"/>
              </w:rPr>
              <w:t>p</w:t>
            </w:r>
          </w:p>
        </w:tc>
      </w:tr>
      <w:tr w:rsidR="004243B7" w:rsidRPr="00BC482F" w14:paraId="79C6642E" w14:textId="77777777" w:rsidTr="004243B7">
        <w:trPr>
          <w:trHeight w:val="325"/>
        </w:trPr>
        <w:tc>
          <w:tcPr>
            <w:tcW w:w="1475" w:type="dxa"/>
            <w:tcBorders>
              <w:top w:val="single" w:sz="4" w:space="0" w:color="auto"/>
              <w:left w:val="nil"/>
              <w:bottom w:val="nil"/>
              <w:right w:val="single" w:sz="4" w:space="0" w:color="auto"/>
            </w:tcBorders>
            <w:shd w:val="clear" w:color="auto" w:fill="D9D9D9" w:themeFill="background1" w:themeFillShade="D9"/>
            <w:noWrap/>
            <w:vAlign w:val="center"/>
            <w:hideMark/>
          </w:tcPr>
          <w:p w14:paraId="47017620" w14:textId="77777777" w:rsidR="004243B7" w:rsidRPr="004243B7" w:rsidRDefault="004243B7" w:rsidP="00D1211B">
            <w:pPr>
              <w:jc w:val="center"/>
              <w:rPr>
                <w:rFonts w:eastAsia="Times New Roman"/>
                <w:i/>
                <w:iCs/>
                <w:color w:val="000000"/>
                <w:sz w:val="22"/>
              </w:rPr>
            </w:pPr>
            <w:r w:rsidRPr="004243B7">
              <w:rPr>
                <w:rFonts w:eastAsia="Times New Roman"/>
                <w:i/>
                <w:iCs/>
                <w:color w:val="000000"/>
                <w:sz w:val="22"/>
              </w:rPr>
              <w:t>Cdkn1a</w:t>
            </w:r>
          </w:p>
        </w:tc>
        <w:tc>
          <w:tcPr>
            <w:tcW w:w="2346"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1E1D9393"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0.578032276</w:t>
            </w:r>
          </w:p>
        </w:tc>
        <w:tc>
          <w:tcPr>
            <w:tcW w:w="2475"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6FB34218" w14:textId="77777777" w:rsidR="004243B7" w:rsidRPr="004243B7" w:rsidRDefault="004243B7" w:rsidP="00D1211B">
            <w:pPr>
              <w:jc w:val="center"/>
              <w:rPr>
                <w:rFonts w:eastAsia="Times New Roman"/>
                <w:color w:val="000000"/>
                <w:sz w:val="22"/>
              </w:rPr>
            </w:pPr>
            <w:r w:rsidRPr="004243B7">
              <w:rPr>
                <w:rFonts w:eastAsia="Times New Roman"/>
                <w:color w:val="000000"/>
                <w:sz w:val="22"/>
              </w:rPr>
              <w:t>6.749243868</w:t>
            </w:r>
          </w:p>
        </w:tc>
        <w:tc>
          <w:tcPr>
            <w:tcW w:w="1540" w:type="dxa"/>
            <w:tcBorders>
              <w:top w:val="single" w:sz="4" w:space="0" w:color="auto"/>
              <w:left w:val="single" w:sz="4" w:space="0" w:color="auto"/>
              <w:bottom w:val="nil"/>
              <w:right w:val="single" w:sz="4" w:space="0" w:color="auto"/>
            </w:tcBorders>
            <w:shd w:val="clear" w:color="auto" w:fill="D9D9D9" w:themeFill="background1" w:themeFillShade="D9"/>
            <w:noWrap/>
            <w:vAlign w:val="center"/>
            <w:hideMark/>
          </w:tcPr>
          <w:p w14:paraId="4AFB8ECD" w14:textId="77777777" w:rsidR="004243B7" w:rsidRPr="004243B7" w:rsidRDefault="004243B7" w:rsidP="00D1211B">
            <w:pPr>
              <w:jc w:val="center"/>
              <w:rPr>
                <w:rFonts w:eastAsia="Times New Roman"/>
                <w:color w:val="000000"/>
                <w:sz w:val="22"/>
              </w:rPr>
            </w:pPr>
            <w:r w:rsidRPr="004243B7">
              <w:rPr>
                <w:rFonts w:eastAsia="Times New Roman"/>
                <w:color w:val="000000"/>
                <w:sz w:val="22"/>
              </w:rPr>
              <w:t>6.00E-09</w:t>
            </w:r>
          </w:p>
        </w:tc>
        <w:tc>
          <w:tcPr>
            <w:tcW w:w="1540" w:type="dxa"/>
            <w:tcBorders>
              <w:top w:val="single" w:sz="4" w:space="0" w:color="auto"/>
              <w:left w:val="single" w:sz="4" w:space="0" w:color="auto"/>
              <w:bottom w:val="nil"/>
              <w:right w:val="nil"/>
            </w:tcBorders>
            <w:shd w:val="clear" w:color="auto" w:fill="D9D9D9" w:themeFill="background1" w:themeFillShade="D9"/>
            <w:noWrap/>
            <w:vAlign w:val="center"/>
            <w:hideMark/>
          </w:tcPr>
          <w:p w14:paraId="2FA22085" w14:textId="77777777" w:rsidR="004243B7" w:rsidRPr="004243B7" w:rsidRDefault="004243B7" w:rsidP="00D1211B">
            <w:pPr>
              <w:jc w:val="center"/>
              <w:rPr>
                <w:rFonts w:eastAsia="Times New Roman"/>
                <w:color w:val="000000"/>
                <w:sz w:val="22"/>
              </w:rPr>
            </w:pPr>
            <w:r w:rsidRPr="004243B7">
              <w:rPr>
                <w:rFonts w:eastAsia="Times New Roman"/>
                <w:color w:val="000000"/>
                <w:sz w:val="22"/>
              </w:rPr>
              <w:t>2.96E-06</w:t>
            </w:r>
          </w:p>
        </w:tc>
      </w:tr>
      <w:tr w:rsidR="004243B7" w:rsidRPr="00BC482F" w14:paraId="4CF0C356" w14:textId="77777777" w:rsidTr="004243B7">
        <w:trPr>
          <w:trHeight w:val="325"/>
        </w:trPr>
        <w:tc>
          <w:tcPr>
            <w:tcW w:w="1475" w:type="dxa"/>
            <w:tcBorders>
              <w:top w:val="nil"/>
              <w:left w:val="nil"/>
              <w:bottom w:val="nil"/>
              <w:right w:val="single" w:sz="4" w:space="0" w:color="auto"/>
            </w:tcBorders>
            <w:noWrap/>
            <w:vAlign w:val="center"/>
            <w:hideMark/>
          </w:tcPr>
          <w:p w14:paraId="4AFE3F0F" w14:textId="77777777" w:rsidR="004243B7" w:rsidRPr="004243B7" w:rsidRDefault="004243B7" w:rsidP="00D1211B">
            <w:pPr>
              <w:jc w:val="center"/>
              <w:rPr>
                <w:rFonts w:eastAsia="Times New Roman"/>
                <w:i/>
                <w:iCs/>
                <w:color w:val="000000"/>
                <w:sz w:val="22"/>
              </w:rPr>
            </w:pPr>
            <w:r w:rsidRPr="004243B7">
              <w:rPr>
                <w:rFonts w:eastAsia="Times New Roman"/>
                <w:i/>
                <w:iCs/>
                <w:color w:val="000000"/>
                <w:sz w:val="22"/>
              </w:rPr>
              <w:t>Cdkn2b</w:t>
            </w:r>
          </w:p>
        </w:tc>
        <w:tc>
          <w:tcPr>
            <w:tcW w:w="2346" w:type="dxa"/>
            <w:tcBorders>
              <w:top w:val="nil"/>
              <w:left w:val="single" w:sz="4" w:space="0" w:color="auto"/>
              <w:bottom w:val="nil"/>
              <w:right w:val="single" w:sz="4" w:space="0" w:color="auto"/>
            </w:tcBorders>
            <w:noWrap/>
            <w:vAlign w:val="center"/>
            <w:hideMark/>
          </w:tcPr>
          <w:p w14:paraId="16C5F027"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0.458087486</w:t>
            </w:r>
          </w:p>
        </w:tc>
        <w:tc>
          <w:tcPr>
            <w:tcW w:w="2475" w:type="dxa"/>
            <w:tcBorders>
              <w:top w:val="nil"/>
              <w:left w:val="single" w:sz="4" w:space="0" w:color="auto"/>
              <w:bottom w:val="nil"/>
              <w:right w:val="single" w:sz="4" w:space="0" w:color="auto"/>
            </w:tcBorders>
            <w:noWrap/>
            <w:vAlign w:val="center"/>
            <w:hideMark/>
          </w:tcPr>
          <w:p w14:paraId="429AC981" w14:textId="77777777" w:rsidR="004243B7" w:rsidRPr="004243B7" w:rsidRDefault="004243B7" w:rsidP="00D1211B">
            <w:pPr>
              <w:jc w:val="center"/>
              <w:rPr>
                <w:rFonts w:eastAsia="Times New Roman"/>
                <w:color w:val="000000"/>
                <w:sz w:val="22"/>
              </w:rPr>
            </w:pPr>
            <w:r w:rsidRPr="004243B7">
              <w:rPr>
                <w:rFonts w:eastAsia="Times New Roman"/>
                <w:color w:val="000000"/>
                <w:sz w:val="22"/>
              </w:rPr>
              <w:t>4.232676851</w:t>
            </w:r>
          </w:p>
        </w:tc>
        <w:tc>
          <w:tcPr>
            <w:tcW w:w="1540" w:type="dxa"/>
            <w:tcBorders>
              <w:top w:val="nil"/>
              <w:left w:val="single" w:sz="4" w:space="0" w:color="auto"/>
              <w:bottom w:val="nil"/>
              <w:right w:val="single" w:sz="4" w:space="0" w:color="auto"/>
            </w:tcBorders>
            <w:noWrap/>
            <w:vAlign w:val="center"/>
            <w:hideMark/>
          </w:tcPr>
          <w:p w14:paraId="473142B0" w14:textId="77777777" w:rsidR="004243B7" w:rsidRPr="004243B7" w:rsidRDefault="004243B7" w:rsidP="00D1211B">
            <w:pPr>
              <w:jc w:val="center"/>
              <w:rPr>
                <w:rFonts w:eastAsia="Times New Roman"/>
                <w:color w:val="000000"/>
                <w:sz w:val="22"/>
              </w:rPr>
            </w:pPr>
            <w:r w:rsidRPr="004243B7">
              <w:rPr>
                <w:rFonts w:eastAsia="Times New Roman"/>
                <w:color w:val="000000"/>
                <w:sz w:val="22"/>
              </w:rPr>
              <w:t>1.48E-05</w:t>
            </w:r>
          </w:p>
        </w:tc>
        <w:tc>
          <w:tcPr>
            <w:tcW w:w="1540" w:type="dxa"/>
            <w:tcBorders>
              <w:top w:val="nil"/>
              <w:left w:val="single" w:sz="4" w:space="0" w:color="auto"/>
              <w:bottom w:val="nil"/>
              <w:right w:val="nil"/>
            </w:tcBorders>
            <w:noWrap/>
            <w:vAlign w:val="center"/>
            <w:hideMark/>
          </w:tcPr>
          <w:p w14:paraId="47D83832"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0.001412399</w:t>
            </w:r>
          </w:p>
        </w:tc>
      </w:tr>
      <w:tr w:rsidR="004243B7" w:rsidRPr="00BC482F" w14:paraId="05C3B032" w14:textId="77777777" w:rsidTr="004243B7">
        <w:trPr>
          <w:trHeight w:val="325"/>
        </w:trPr>
        <w:tc>
          <w:tcPr>
            <w:tcW w:w="1475" w:type="dxa"/>
            <w:tcBorders>
              <w:top w:val="nil"/>
              <w:left w:val="nil"/>
              <w:bottom w:val="nil"/>
              <w:right w:val="single" w:sz="4" w:space="0" w:color="auto"/>
            </w:tcBorders>
            <w:shd w:val="clear" w:color="auto" w:fill="D9D9D9" w:themeFill="background1" w:themeFillShade="D9"/>
            <w:noWrap/>
            <w:vAlign w:val="center"/>
            <w:hideMark/>
          </w:tcPr>
          <w:p w14:paraId="4B8286AB" w14:textId="77777777" w:rsidR="004243B7" w:rsidRPr="004243B7" w:rsidRDefault="004243B7" w:rsidP="00D1211B">
            <w:pPr>
              <w:jc w:val="center"/>
              <w:rPr>
                <w:rFonts w:eastAsia="Times New Roman"/>
                <w:i/>
                <w:iCs/>
                <w:color w:val="000000"/>
                <w:sz w:val="22"/>
              </w:rPr>
            </w:pPr>
            <w:r w:rsidRPr="004243B7">
              <w:rPr>
                <w:rFonts w:eastAsia="Times New Roman"/>
                <w:i/>
                <w:iCs/>
                <w:color w:val="000000"/>
                <w:sz w:val="22"/>
              </w:rPr>
              <w:t>Cdkn1b</w:t>
            </w:r>
          </w:p>
        </w:tc>
        <w:tc>
          <w:tcPr>
            <w:tcW w:w="2346" w:type="dxa"/>
            <w:tcBorders>
              <w:top w:val="nil"/>
              <w:left w:val="single" w:sz="4" w:space="0" w:color="auto"/>
              <w:bottom w:val="nil"/>
              <w:right w:val="single" w:sz="4" w:space="0" w:color="auto"/>
            </w:tcBorders>
            <w:shd w:val="clear" w:color="auto" w:fill="D9D9D9" w:themeFill="background1" w:themeFillShade="D9"/>
            <w:noWrap/>
            <w:vAlign w:val="center"/>
            <w:hideMark/>
          </w:tcPr>
          <w:p w14:paraId="69753273"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0.29276531</w:t>
            </w:r>
          </w:p>
        </w:tc>
        <w:tc>
          <w:tcPr>
            <w:tcW w:w="2475" w:type="dxa"/>
            <w:tcBorders>
              <w:top w:val="nil"/>
              <w:left w:val="single" w:sz="4" w:space="0" w:color="auto"/>
              <w:bottom w:val="nil"/>
              <w:right w:val="single" w:sz="4" w:space="0" w:color="auto"/>
            </w:tcBorders>
            <w:shd w:val="clear" w:color="auto" w:fill="D9D9D9" w:themeFill="background1" w:themeFillShade="D9"/>
            <w:noWrap/>
            <w:vAlign w:val="center"/>
            <w:hideMark/>
          </w:tcPr>
          <w:p w14:paraId="501D47EF" w14:textId="77777777" w:rsidR="004243B7" w:rsidRPr="004243B7" w:rsidRDefault="004243B7" w:rsidP="00D1211B">
            <w:pPr>
              <w:jc w:val="center"/>
              <w:rPr>
                <w:rFonts w:eastAsia="Times New Roman"/>
                <w:color w:val="000000"/>
                <w:sz w:val="22"/>
              </w:rPr>
            </w:pPr>
            <w:r w:rsidRPr="004243B7">
              <w:rPr>
                <w:rFonts w:eastAsia="Times New Roman"/>
                <w:color w:val="000000"/>
                <w:sz w:val="22"/>
              </w:rPr>
              <w:t>7.345973025</w:t>
            </w:r>
          </w:p>
        </w:tc>
        <w:tc>
          <w:tcPr>
            <w:tcW w:w="1540" w:type="dxa"/>
            <w:tcBorders>
              <w:top w:val="nil"/>
              <w:left w:val="single" w:sz="4" w:space="0" w:color="auto"/>
              <w:bottom w:val="nil"/>
              <w:right w:val="single" w:sz="4" w:space="0" w:color="auto"/>
            </w:tcBorders>
            <w:shd w:val="clear" w:color="auto" w:fill="D9D9D9" w:themeFill="background1" w:themeFillShade="D9"/>
            <w:noWrap/>
            <w:vAlign w:val="center"/>
            <w:hideMark/>
          </w:tcPr>
          <w:p w14:paraId="0E5D73B8"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0.001212295</w:t>
            </w:r>
          </w:p>
        </w:tc>
        <w:tc>
          <w:tcPr>
            <w:tcW w:w="1540" w:type="dxa"/>
            <w:tcBorders>
              <w:top w:val="nil"/>
              <w:left w:val="single" w:sz="4" w:space="0" w:color="auto"/>
              <w:bottom w:val="nil"/>
              <w:right w:val="nil"/>
            </w:tcBorders>
            <w:shd w:val="clear" w:color="auto" w:fill="D9D9D9" w:themeFill="background1" w:themeFillShade="D9"/>
            <w:noWrap/>
            <w:vAlign w:val="center"/>
            <w:hideMark/>
          </w:tcPr>
          <w:p w14:paraId="322D0FCB" w14:textId="77777777" w:rsidR="004243B7" w:rsidRPr="004243B7" w:rsidRDefault="004243B7" w:rsidP="00D1211B">
            <w:pPr>
              <w:jc w:val="center"/>
              <w:rPr>
                <w:rFonts w:eastAsia="Times New Roman"/>
                <w:color w:val="000000"/>
                <w:sz w:val="22"/>
              </w:rPr>
            </w:pPr>
            <w:r w:rsidRPr="004243B7">
              <w:rPr>
                <w:rFonts w:eastAsia="Times New Roman"/>
                <w:color w:val="000000"/>
                <w:sz w:val="22"/>
              </w:rPr>
              <w:t>0.027803897</w:t>
            </w:r>
          </w:p>
        </w:tc>
      </w:tr>
    </w:tbl>
    <w:p w14:paraId="72709D5B" w14:textId="77777777" w:rsidR="004243B7" w:rsidRDefault="004243B7" w:rsidP="004243B7">
      <w:pPr>
        <w:pStyle w:val="SMcaption"/>
        <w:jc w:val="both"/>
        <w:rPr>
          <w:rFonts w:eastAsia="맑은 고딕"/>
          <w:b/>
          <w:bCs/>
          <w:lang w:eastAsia="ko-KR"/>
        </w:rPr>
      </w:pPr>
    </w:p>
    <w:p w14:paraId="51604532" w14:textId="46B0182C" w:rsidR="004243B7" w:rsidRDefault="004243B7" w:rsidP="004243B7">
      <w:pPr>
        <w:pStyle w:val="SMcaption"/>
        <w:jc w:val="both"/>
      </w:pPr>
      <w:r w:rsidRPr="004243B7">
        <w:rPr>
          <w:rFonts w:hint="eastAsia"/>
          <w:b/>
          <w:bCs/>
        </w:rPr>
        <w:t>Table.S1</w:t>
      </w:r>
      <w:r w:rsidRPr="004243B7">
        <w:rPr>
          <w:rFonts w:hint="eastAsia"/>
        </w:rPr>
        <w:t xml:space="preserve"> Expression of cyclin-dependent kinase inhibitor genes in Pam3-treated OLs compared to controls.</w:t>
      </w:r>
    </w:p>
    <w:p w14:paraId="10BF7DE9" w14:textId="38F763A9" w:rsidR="00B9440A" w:rsidRPr="004243B7" w:rsidRDefault="00B9440A" w:rsidP="004243B7">
      <w:pPr>
        <w:rPr>
          <w:rFonts w:eastAsia="맑은 고딕" w:hint="eastAsia"/>
          <w:lang w:eastAsia="ko-KR"/>
        </w:rPr>
      </w:pPr>
    </w:p>
    <w:sectPr w:rsidR="00B9440A" w:rsidRPr="004243B7" w:rsidSect="00E853D5">
      <w:headerReference w:type="default" r:id="rId13"/>
      <w:footerReference w:type="defaul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1373A" w14:textId="77777777" w:rsidR="000C6B67" w:rsidRDefault="000C6B67">
      <w:r>
        <w:separator/>
      </w:r>
    </w:p>
  </w:endnote>
  <w:endnote w:type="continuationSeparator" w:id="0">
    <w:p w14:paraId="27B733C9" w14:textId="77777777" w:rsidR="000C6B67" w:rsidRDefault="000C6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Default="00114193">
    <w:pPr>
      <w:pStyle w:val="af6"/>
      <w:jc w:val="right"/>
    </w:pPr>
    <w:r>
      <w:fldChar w:fldCharType="begin"/>
    </w:r>
    <w:r>
      <w:instrText xml:space="preserve"> PAGE   \* MERGEFORMAT </w:instrText>
    </w:r>
    <w:r>
      <w:fldChar w:fldCharType="separate"/>
    </w:r>
    <w:r w:rsidR="00C92B22">
      <w:rPr>
        <w:noProof/>
      </w:rPr>
      <w:t>3</w:t>
    </w:r>
    <w:r>
      <w:fldChar w:fldCharType="end"/>
    </w:r>
  </w:p>
  <w:p w14:paraId="211F3547" w14:textId="77777777" w:rsidR="00F125EE" w:rsidRDefault="00F125E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23413" w14:textId="77777777" w:rsidR="000C6B67" w:rsidRDefault="000C6B67">
      <w:r>
        <w:separator/>
      </w:r>
    </w:p>
  </w:footnote>
  <w:footnote w:type="continuationSeparator" w:id="0">
    <w:p w14:paraId="47018C93" w14:textId="77777777" w:rsidR="000C6B67" w:rsidRDefault="000C6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num w:numId="1" w16cid:durableId="23288015">
    <w:abstractNumId w:val="9"/>
  </w:num>
  <w:num w:numId="2" w16cid:durableId="400451541">
    <w:abstractNumId w:val="7"/>
  </w:num>
  <w:num w:numId="3" w16cid:durableId="1687751776">
    <w:abstractNumId w:val="6"/>
  </w:num>
  <w:num w:numId="4" w16cid:durableId="1286809080">
    <w:abstractNumId w:val="5"/>
  </w:num>
  <w:num w:numId="5" w16cid:durableId="693846652">
    <w:abstractNumId w:val="4"/>
  </w:num>
  <w:num w:numId="6" w16cid:durableId="1511791407">
    <w:abstractNumId w:val="8"/>
  </w:num>
  <w:num w:numId="7" w16cid:durableId="165292749">
    <w:abstractNumId w:val="3"/>
  </w:num>
  <w:num w:numId="8" w16cid:durableId="1480461319">
    <w:abstractNumId w:val="2"/>
  </w:num>
  <w:num w:numId="9" w16cid:durableId="615870129">
    <w:abstractNumId w:val="1"/>
  </w:num>
  <w:num w:numId="10" w16cid:durableId="930130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3951"/>
    <w:rsid w:val="00065EBD"/>
    <w:rsid w:val="00083B44"/>
    <w:rsid w:val="000850DC"/>
    <w:rsid w:val="000C2771"/>
    <w:rsid w:val="000C6B67"/>
    <w:rsid w:val="000D46F4"/>
    <w:rsid w:val="000F0DCE"/>
    <w:rsid w:val="000F6BE3"/>
    <w:rsid w:val="00112C5B"/>
    <w:rsid w:val="00114193"/>
    <w:rsid w:val="00115A38"/>
    <w:rsid w:val="0011687B"/>
    <w:rsid w:val="00124F82"/>
    <w:rsid w:val="0016337A"/>
    <w:rsid w:val="00164269"/>
    <w:rsid w:val="001A1BDE"/>
    <w:rsid w:val="001F0876"/>
    <w:rsid w:val="001F167C"/>
    <w:rsid w:val="001F5E91"/>
    <w:rsid w:val="002077B9"/>
    <w:rsid w:val="0021209D"/>
    <w:rsid w:val="00262D72"/>
    <w:rsid w:val="00294FBB"/>
    <w:rsid w:val="002B3205"/>
    <w:rsid w:val="002C030F"/>
    <w:rsid w:val="00331D75"/>
    <w:rsid w:val="00355362"/>
    <w:rsid w:val="00363E44"/>
    <w:rsid w:val="00395E86"/>
    <w:rsid w:val="003A2FD8"/>
    <w:rsid w:val="003B40E6"/>
    <w:rsid w:val="003E74FB"/>
    <w:rsid w:val="003F6E14"/>
    <w:rsid w:val="00405336"/>
    <w:rsid w:val="004243B7"/>
    <w:rsid w:val="004571D5"/>
    <w:rsid w:val="00461D81"/>
    <w:rsid w:val="0046356B"/>
    <w:rsid w:val="00477182"/>
    <w:rsid w:val="004779CB"/>
    <w:rsid w:val="004E42D8"/>
    <w:rsid w:val="004E7BA2"/>
    <w:rsid w:val="004F7EDF"/>
    <w:rsid w:val="005001AC"/>
    <w:rsid w:val="00527D71"/>
    <w:rsid w:val="005520A8"/>
    <w:rsid w:val="005607DD"/>
    <w:rsid w:val="005A558C"/>
    <w:rsid w:val="005E28F8"/>
    <w:rsid w:val="005E6513"/>
    <w:rsid w:val="00651114"/>
    <w:rsid w:val="0065672A"/>
    <w:rsid w:val="00664560"/>
    <w:rsid w:val="00670299"/>
    <w:rsid w:val="00691985"/>
    <w:rsid w:val="006A1B64"/>
    <w:rsid w:val="007108F5"/>
    <w:rsid w:val="00713E5B"/>
    <w:rsid w:val="007402FC"/>
    <w:rsid w:val="007411A1"/>
    <w:rsid w:val="00793072"/>
    <w:rsid w:val="00807D35"/>
    <w:rsid w:val="008218C4"/>
    <w:rsid w:val="00821F38"/>
    <w:rsid w:val="00867A98"/>
    <w:rsid w:val="00870867"/>
    <w:rsid w:val="00885C9B"/>
    <w:rsid w:val="008D5D2A"/>
    <w:rsid w:val="00914B63"/>
    <w:rsid w:val="009354F3"/>
    <w:rsid w:val="009447DC"/>
    <w:rsid w:val="00961BA5"/>
    <w:rsid w:val="009743A9"/>
    <w:rsid w:val="009A5287"/>
    <w:rsid w:val="009B2AC5"/>
    <w:rsid w:val="009B7984"/>
    <w:rsid w:val="009F4BED"/>
    <w:rsid w:val="009F7D93"/>
    <w:rsid w:val="00A3403B"/>
    <w:rsid w:val="00A51A12"/>
    <w:rsid w:val="00A627D4"/>
    <w:rsid w:val="00A74DA2"/>
    <w:rsid w:val="00AB399E"/>
    <w:rsid w:val="00AC59D0"/>
    <w:rsid w:val="00AD16B1"/>
    <w:rsid w:val="00AD499C"/>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50C6D"/>
    <w:rsid w:val="00C600D9"/>
    <w:rsid w:val="00C92B22"/>
    <w:rsid w:val="00CA3D4B"/>
    <w:rsid w:val="00CC1384"/>
    <w:rsid w:val="00CC743F"/>
    <w:rsid w:val="00CD3720"/>
    <w:rsid w:val="00CF1848"/>
    <w:rsid w:val="00CF5C2F"/>
    <w:rsid w:val="00D04BCF"/>
    <w:rsid w:val="00D143D9"/>
    <w:rsid w:val="00D5511B"/>
    <w:rsid w:val="00D766F1"/>
    <w:rsid w:val="00E257C8"/>
    <w:rsid w:val="00E41512"/>
    <w:rsid w:val="00E4509A"/>
    <w:rsid w:val="00E4519A"/>
    <w:rsid w:val="00E853D5"/>
    <w:rsid w:val="00E9773B"/>
    <w:rsid w:val="00EA6F42"/>
    <w:rsid w:val="00EC13A3"/>
    <w:rsid w:val="00EC7C85"/>
    <w:rsid w:val="00F125EE"/>
    <w:rsid w:val="00F12E98"/>
    <w:rsid w:val="00F22029"/>
    <w:rsid w:val="00F35777"/>
    <w:rsid w:val="00F515FB"/>
    <w:rsid w:val="00F53570"/>
    <w:rsid w:val="00F630EA"/>
    <w:rsid w:val="00F7007E"/>
    <w:rsid w:val="00F73193"/>
    <w:rsid w:val="00F74F95"/>
    <w:rsid w:val="00F8070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4243B7"/>
    <w:rPr>
      <w:sz w:val="24"/>
    </w:rPr>
  </w:style>
  <w:style w:type="paragraph" w:styleId="1">
    <w:name w:val="heading 1"/>
    <w:basedOn w:val="a1"/>
    <w:next w:val="a1"/>
    <w:link w:val="1Char"/>
    <w:semiHidden/>
    <w:qFormat/>
    <w:rsid w:val="00B43B31"/>
    <w:pPr>
      <w:keepNext/>
      <w:spacing w:before="240" w:after="60"/>
      <w:outlineLvl w:val="0"/>
    </w:pPr>
    <w:rPr>
      <w:b/>
      <w:bCs/>
      <w:kern w:val="32"/>
      <w:szCs w:val="24"/>
    </w:rPr>
  </w:style>
  <w:style w:type="paragraph" w:styleId="21">
    <w:name w:val="heading 2"/>
    <w:basedOn w:val="a1"/>
    <w:next w:val="a1"/>
    <w:link w:val="2Char"/>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Char"/>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Char"/>
    <w:semiHidden/>
    <w:qFormat/>
    <w:rsid w:val="007411A1"/>
    <w:pPr>
      <w:spacing w:before="240" w:after="60"/>
      <w:outlineLvl w:val="5"/>
    </w:pPr>
    <w:rPr>
      <w:rFonts w:ascii="Calibri" w:hAnsi="Calibri"/>
      <w:b/>
      <w:bCs/>
      <w:sz w:val="22"/>
      <w:szCs w:val="22"/>
    </w:rPr>
  </w:style>
  <w:style w:type="paragraph" w:styleId="7">
    <w:name w:val="heading 7"/>
    <w:basedOn w:val="a1"/>
    <w:next w:val="a1"/>
    <w:link w:val="7Char"/>
    <w:semiHidden/>
    <w:qFormat/>
    <w:rsid w:val="007411A1"/>
    <w:pPr>
      <w:spacing w:before="240" w:after="60"/>
      <w:outlineLvl w:val="6"/>
    </w:pPr>
    <w:rPr>
      <w:rFonts w:ascii="Calibri" w:hAnsi="Calibri"/>
      <w:szCs w:val="24"/>
    </w:rPr>
  </w:style>
  <w:style w:type="paragraph" w:styleId="8">
    <w:name w:val="heading 8"/>
    <w:basedOn w:val="a1"/>
    <w:next w:val="a1"/>
    <w:link w:val="8Char"/>
    <w:semiHidden/>
    <w:qFormat/>
    <w:rsid w:val="007411A1"/>
    <w:pPr>
      <w:spacing w:before="240" w:after="60"/>
      <w:outlineLvl w:val="7"/>
    </w:pPr>
    <w:rPr>
      <w:rFonts w:ascii="Calibri" w:hAnsi="Calibri"/>
      <w:i/>
      <w:iCs/>
      <w:szCs w:val="24"/>
    </w:rPr>
  </w:style>
  <w:style w:type="paragraph" w:styleId="9">
    <w:name w:val="heading 9"/>
    <w:basedOn w:val="a1"/>
    <w:next w:val="a1"/>
    <w:link w:val="9Char"/>
    <w:semiHidden/>
    <w:qFormat/>
    <w:rsid w:val="007411A1"/>
    <w:pPr>
      <w:spacing w:before="240" w:after="60"/>
      <w:outlineLvl w:val="8"/>
    </w:pPr>
    <w:rPr>
      <w:rFonts w:ascii="Cambria" w:hAnsi="Cambria"/>
      <w:sz w:val="22"/>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Char">
    <w:name w:val="제목 1 Char"/>
    <w:link w:val="1"/>
    <w:semiHidden/>
    <w:rsid w:val="00FF04E3"/>
    <w:rPr>
      <w:b/>
      <w:bCs/>
      <w:kern w:val="32"/>
      <w:sz w:val="24"/>
      <w:szCs w:val="24"/>
    </w:rPr>
  </w:style>
  <w:style w:type="character" w:customStyle="1" w:styleId="2Char">
    <w:name w:val="제목 2 Char"/>
    <w:link w:val="21"/>
    <w:semiHidden/>
    <w:rsid w:val="00FF04E3"/>
    <w:rPr>
      <w:rFonts w:ascii="Cambria" w:hAnsi="Cambria"/>
      <w:b/>
      <w:bCs/>
      <w:i/>
      <w:iCs/>
      <w:sz w:val="28"/>
      <w:szCs w:val="28"/>
    </w:rPr>
  </w:style>
  <w:style w:type="character" w:customStyle="1" w:styleId="5Char">
    <w:name w:val="제목 5 Char"/>
    <w:link w:val="51"/>
    <w:semiHidden/>
    <w:rsid w:val="00FF04E3"/>
    <w:rPr>
      <w:rFonts w:ascii="Calibri" w:hAnsi="Calibri"/>
      <w:b/>
      <w:bCs/>
      <w:i/>
      <w:iCs/>
      <w:sz w:val="26"/>
      <w:szCs w:val="26"/>
    </w:rPr>
  </w:style>
  <w:style w:type="character" w:customStyle="1" w:styleId="6Char">
    <w:name w:val="제목 6 Char"/>
    <w:link w:val="6"/>
    <w:semiHidden/>
    <w:rsid w:val="00FF04E3"/>
    <w:rPr>
      <w:rFonts w:ascii="Calibri" w:hAnsi="Calibri"/>
      <w:b/>
      <w:bCs/>
      <w:sz w:val="22"/>
      <w:szCs w:val="22"/>
    </w:rPr>
  </w:style>
  <w:style w:type="character" w:customStyle="1" w:styleId="7Char">
    <w:name w:val="제목 7 Char"/>
    <w:link w:val="7"/>
    <w:semiHidden/>
    <w:rsid w:val="00FF04E3"/>
    <w:rPr>
      <w:rFonts w:ascii="Calibri" w:hAnsi="Calibri"/>
      <w:sz w:val="24"/>
      <w:szCs w:val="24"/>
    </w:rPr>
  </w:style>
  <w:style w:type="character" w:customStyle="1" w:styleId="8Char">
    <w:name w:val="제목 8 Char"/>
    <w:link w:val="8"/>
    <w:semiHidden/>
    <w:rsid w:val="00FF04E3"/>
    <w:rPr>
      <w:rFonts w:ascii="Calibri" w:hAnsi="Calibri"/>
      <w:i/>
      <w:iCs/>
      <w:sz w:val="24"/>
      <w:szCs w:val="24"/>
    </w:rPr>
  </w:style>
  <w:style w:type="character" w:customStyle="1" w:styleId="9Char">
    <w:name w:val="제목 9 Char"/>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Char"/>
    <w:semiHidden/>
    <w:rsid w:val="00405336"/>
    <w:rPr>
      <w:rFonts w:ascii="Tahoma" w:hAnsi="Tahoma" w:cs="Tahoma"/>
      <w:sz w:val="16"/>
      <w:szCs w:val="16"/>
    </w:rPr>
  </w:style>
  <w:style w:type="character" w:customStyle="1" w:styleId="Char">
    <w:name w:val="풍선 도움말 텍스트 Char"/>
    <w:link w:val="a6"/>
    <w:semiHidden/>
    <w:rsid w:val="00FF04E3"/>
    <w:rPr>
      <w:rFonts w:ascii="Tahoma" w:hAnsi="Tahoma" w:cs="Tahoma"/>
      <w:sz w:val="16"/>
      <w:szCs w:val="16"/>
    </w:rPr>
  </w:style>
  <w:style w:type="paragraph" w:styleId="a7">
    <w:name w:val="Bibliography"/>
    <w:basedOn w:val="a1"/>
    <w:next w:val="a1"/>
    <w:uiPriority w:val="37"/>
    <w:semiHidden/>
    <w:rsid w:val="00405336"/>
  </w:style>
  <w:style w:type="paragraph" w:styleId="a8">
    <w:name w:val="Block Text"/>
    <w:basedOn w:val="a1"/>
    <w:semiHidden/>
    <w:rsid w:val="00405336"/>
    <w:pPr>
      <w:spacing w:after="120"/>
      <w:ind w:left="1440" w:right="1440"/>
    </w:pPr>
  </w:style>
  <w:style w:type="paragraph" w:styleId="a9">
    <w:name w:val="Body Text"/>
    <w:basedOn w:val="a1"/>
    <w:link w:val="Char0"/>
    <w:semiHidden/>
    <w:rsid w:val="00405336"/>
    <w:pPr>
      <w:spacing w:after="120"/>
    </w:pPr>
  </w:style>
  <w:style w:type="character" w:customStyle="1" w:styleId="Char0">
    <w:name w:val="본문 Char"/>
    <w:link w:val="a9"/>
    <w:semiHidden/>
    <w:rsid w:val="00FF04E3"/>
    <w:rPr>
      <w:sz w:val="24"/>
    </w:rPr>
  </w:style>
  <w:style w:type="paragraph" w:styleId="22">
    <w:name w:val="Body Text 2"/>
    <w:basedOn w:val="a1"/>
    <w:link w:val="2Char0"/>
    <w:semiHidden/>
    <w:rsid w:val="00405336"/>
    <w:pPr>
      <w:spacing w:after="120" w:line="480" w:lineRule="auto"/>
    </w:pPr>
  </w:style>
  <w:style w:type="character" w:customStyle="1" w:styleId="2Char0">
    <w:name w:val="본문 2 Char"/>
    <w:link w:val="22"/>
    <w:semiHidden/>
    <w:rsid w:val="00FF04E3"/>
    <w:rPr>
      <w:sz w:val="24"/>
    </w:rPr>
  </w:style>
  <w:style w:type="paragraph" w:styleId="32">
    <w:name w:val="Body Text 3"/>
    <w:basedOn w:val="a1"/>
    <w:link w:val="3Char"/>
    <w:semiHidden/>
    <w:rsid w:val="00405336"/>
    <w:pPr>
      <w:spacing w:after="120"/>
    </w:pPr>
    <w:rPr>
      <w:sz w:val="16"/>
      <w:szCs w:val="16"/>
    </w:rPr>
  </w:style>
  <w:style w:type="character" w:customStyle="1" w:styleId="3Char">
    <w:name w:val="본문 3 Char"/>
    <w:link w:val="32"/>
    <w:semiHidden/>
    <w:rsid w:val="00FF04E3"/>
    <w:rPr>
      <w:sz w:val="16"/>
      <w:szCs w:val="16"/>
    </w:rPr>
  </w:style>
  <w:style w:type="paragraph" w:styleId="aa">
    <w:name w:val="Body Text First Indent"/>
    <w:basedOn w:val="a9"/>
    <w:link w:val="Char1"/>
    <w:semiHidden/>
    <w:rsid w:val="00405336"/>
    <w:pPr>
      <w:ind w:firstLine="210"/>
    </w:pPr>
  </w:style>
  <w:style w:type="character" w:customStyle="1" w:styleId="Char1">
    <w:name w:val="본문 첫 줄 들여쓰기 Char"/>
    <w:link w:val="aa"/>
    <w:semiHidden/>
    <w:rsid w:val="00FF04E3"/>
    <w:rPr>
      <w:sz w:val="24"/>
    </w:rPr>
  </w:style>
  <w:style w:type="paragraph" w:styleId="ab">
    <w:name w:val="Body Text Indent"/>
    <w:basedOn w:val="a1"/>
    <w:link w:val="Char2"/>
    <w:semiHidden/>
    <w:rsid w:val="00405336"/>
    <w:pPr>
      <w:spacing w:after="120"/>
      <w:ind w:left="360"/>
    </w:pPr>
  </w:style>
  <w:style w:type="character" w:customStyle="1" w:styleId="Char2">
    <w:name w:val="본문 들여쓰기 Char"/>
    <w:link w:val="ab"/>
    <w:semiHidden/>
    <w:rsid w:val="00FF04E3"/>
    <w:rPr>
      <w:sz w:val="24"/>
    </w:rPr>
  </w:style>
  <w:style w:type="paragraph" w:styleId="23">
    <w:name w:val="Body Text First Indent 2"/>
    <w:basedOn w:val="ab"/>
    <w:link w:val="2Char1"/>
    <w:semiHidden/>
    <w:rsid w:val="00405336"/>
    <w:pPr>
      <w:ind w:firstLine="210"/>
    </w:pPr>
  </w:style>
  <w:style w:type="character" w:customStyle="1" w:styleId="2Char1">
    <w:name w:val="본문 첫 줄 들여쓰기 2 Char"/>
    <w:link w:val="23"/>
    <w:semiHidden/>
    <w:rsid w:val="00FF04E3"/>
    <w:rPr>
      <w:sz w:val="24"/>
    </w:rPr>
  </w:style>
  <w:style w:type="paragraph" w:styleId="24">
    <w:name w:val="Body Text Indent 2"/>
    <w:basedOn w:val="a1"/>
    <w:link w:val="2Char2"/>
    <w:semiHidden/>
    <w:rsid w:val="00405336"/>
    <w:pPr>
      <w:spacing w:after="120" w:line="480" w:lineRule="auto"/>
      <w:ind w:left="360"/>
    </w:pPr>
  </w:style>
  <w:style w:type="character" w:customStyle="1" w:styleId="2Char2">
    <w:name w:val="본문 들여쓰기 2 Char"/>
    <w:link w:val="24"/>
    <w:semiHidden/>
    <w:rsid w:val="00FF04E3"/>
    <w:rPr>
      <w:sz w:val="24"/>
    </w:rPr>
  </w:style>
  <w:style w:type="paragraph" w:styleId="33">
    <w:name w:val="Body Text Indent 3"/>
    <w:basedOn w:val="a1"/>
    <w:link w:val="3Char0"/>
    <w:semiHidden/>
    <w:rsid w:val="00405336"/>
    <w:pPr>
      <w:spacing w:after="120"/>
      <w:ind w:left="360"/>
    </w:pPr>
    <w:rPr>
      <w:sz w:val="16"/>
      <w:szCs w:val="16"/>
    </w:rPr>
  </w:style>
  <w:style w:type="character" w:customStyle="1" w:styleId="3Char0">
    <w:name w:val="본문 들여쓰기 3 Char"/>
    <w:link w:val="33"/>
    <w:semiHidden/>
    <w:rsid w:val="00FF04E3"/>
    <w:rPr>
      <w:sz w:val="16"/>
      <w:szCs w:val="16"/>
    </w:rPr>
  </w:style>
  <w:style w:type="paragraph" w:styleId="ac">
    <w:name w:val="caption"/>
    <w:basedOn w:val="a1"/>
    <w:next w:val="a1"/>
    <w:semiHidden/>
    <w:qFormat/>
    <w:rsid w:val="00405336"/>
    <w:rPr>
      <w:b/>
      <w:bCs/>
      <w:sz w:val="20"/>
    </w:rPr>
  </w:style>
  <w:style w:type="paragraph" w:styleId="ad">
    <w:name w:val="Closing"/>
    <w:basedOn w:val="a1"/>
    <w:link w:val="Char3"/>
    <w:semiHidden/>
    <w:rsid w:val="00405336"/>
    <w:pPr>
      <w:ind w:left="4320"/>
    </w:pPr>
  </w:style>
  <w:style w:type="character" w:customStyle="1" w:styleId="Char3">
    <w:name w:val="맺음말 Char"/>
    <w:link w:val="ad"/>
    <w:semiHidden/>
    <w:rsid w:val="00FF04E3"/>
    <w:rPr>
      <w:sz w:val="24"/>
    </w:rPr>
  </w:style>
  <w:style w:type="paragraph" w:styleId="ae">
    <w:name w:val="annotation text"/>
    <w:basedOn w:val="a1"/>
    <w:link w:val="Char4"/>
    <w:semiHidden/>
    <w:rsid w:val="00405336"/>
    <w:rPr>
      <w:sz w:val="20"/>
    </w:rPr>
  </w:style>
  <w:style w:type="character" w:customStyle="1" w:styleId="Char4">
    <w:name w:val="메모 텍스트 Char"/>
    <w:basedOn w:val="a2"/>
    <w:link w:val="ae"/>
    <w:semiHidden/>
    <w:rsid w:val="00FF04E3"/>
  </w:style>
  <w:style w:type="paragraph" w:styleId="af">
    <w:name w:val="annotation subject"/>
    <w:basedOn w:val="ae"/>
    <w:next w:val="ae"/>
    <w:link w:val="Char5"/>
    <w:semiHidden/>
    <w:rsid w:val="00405336"/>
    <w:rPr>
      <w:b/>
      <w:bCs/>
    </w:rPr>
  </w:style>
  <w:style w:type="character" w:customStyle="1" w:styleId="Char5">
    <w:name w:val="메모 주제 Char"/>
    <w:link w:val="af"/>
    <w:semiHidden/>
    <w:rsid w:val="00FF04E3"/>
    <w:rPr>
      <w:b/>
      <w:bCs/>
    </w:rPr>
  </w:style>
  <w:style w:type="paragraph" w:styleId="af0">
    <w:name w:val="Date"/>
    <w:basedOn w:val="a1"/>
    <w:next w:val="a1"/>
    <w:link w:val="Char6"/>
    <w:semiHidden/>
    <w:rsid w:val="00405336"/>
  </w:style>
  <w:style w:type="character" w:customStyle="1" w:styleId="Char6">
    <w:name w:val="날짜 Char"/>
    <w:link w:val="af0"/>
    <w:semiHidden/>
    <w:rsid w:val="00FF04E3"/>
    <w:rPr>
      <w:sz w:val="24"/>
    </w:rPr>
  </w:style>
  <w:style w:type="paragraph" w:styleId="af1">
    <w:name w:val="Document Map"/>
    <w:basedOn w:val="a1"/>
    <w:link w:val="Char7"/>
    <w:semiHidden/>
    <w:rsid w:val="00405336"/>
    <w:rPr>
      <w:rFonts w:ascii="Tahoma" w:hAnsi="Tahoma" w:cs="Tahoma"/>
      <w:sz w:val="16"/>
      <w:szCs w:val="16"/>
    </w:rPr>
  </w:style>
  <w:style w:type="character" w:customStyle="1" w:styleId="Char7">
    <w:name w:val="문서 구조 Char"/>
    <w:link w:val="af1"/>
    <w:semiHidden/>
    <w:rsid w:val="00FF04E3"/>
    <w:rPr>
      <w:rFonts w:ascii="Tahoma" w:hAnsi="Tahoma" w:cs="Tahoma"/>
      <w:sz w:val="16"/>
      <w:szCs w:val="16"/>
    </w:rPr>
  </w:style>
  <w:style w:type="paragraph" w:styleId="af2">
    <w:name w:val="E-mail Signature"/>
    <w:basedOn w:val="a1"/>
    <w:link w:val="Char8"/>
    <w:semiHidden/>
    <w:rsid w:val="00405336"/>
  </w:style>
  <w:style w:type="character" w:customStyle="1" w:styleId="Char8">
    <w:name w:val="전자 메일 서명 Char"/>
    <w:link w:val="af2"/>
    <w:semiHidden/>
    <w:rsid w:val="00FF04E3"/>
    <w:rPr>
      <w:sz w:val="24"/>
    </w:rPr>
  </w:style>
  <w:style w:type="paragraph" w:styleId="af3">
    <w:name w:val="endnote text"/>
    <w:basedOn w:val="a1"/>
    <w:link w:val="Char9"/>
    <w:semiHidden/>
    <w:rsid w:val="00405336"/>
    <w:rPr>
      <w:sz w:val="20"/>
    </w:rPr>
  </w:style>
  <w:style w:type="character" w:customStyle="1" w:styleId="Char9">
    <w:name w:val="미주 텍스트 Char"/>
    <w:basedOn w:val="a2"/>
    <w:link w:val="af3"/>
    <w:semiHidden/>
    <w:rsid w:val="00FF04E3"/>
  </w:style>
  <w:style w:type="paragraph" w:styleId="af4">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5">
    <w:name w:val="envelope return"/>
    <w:basedOn w:val="a1"/>
    <w:semiHidden/>
    <w:rsid w:val="00405336"/>
    <w:rPr>
      <w:rFonts w:ascii="Cambria" w:hAnsi="Cambria"/>
      <w:sz w:val="20"/>
    </w:rPr>
  </w:style>
  <w:style w:type="paragraph" w:styleId="af6">
    <w:name w:val="footer"/>
    <w:basedOn w:val="a1"/>
    <w:link w:val="Chara"/>
    <w:semiHidden/>
    <w:rsid w:val="00405336"/>
    <w:pPr>
      <w:tabs>
        <w:tab w:val="center" w:pos="4680"/>
        <w:tab w:val="right" w:pos="9360"/>
      </w:tabs>
    </w:pPr>
  </w:style>
  <w:style w:type="character" w:customStyle="1" w:styleId="Chara">
    <w:name w:val="바닥글 Char"/>
    <w:link w:val="af6"/>
    <w:semiHidden/>
    <w:rsid w:val="00FF04E3"/>
    <w:rPr>
      <w:sz w:val="24"/>
    </w:rPr>
  </w:style>
  <w:style w:type="paragraph" w:styleId="af7">
    <w:name w:val="footnote text"/>
    <w:basedOn w:val="a1"/>
    <w:link w:val="Charb"/>
    <w:semiHidden/>
    <w:rsid w:val="00405336"/>
    <w:rPr>
      <w:sz w:val="20"/>
    </w:rPr>
  </w:style>
  <w:style w:type="character" w:customStyle="1" w:styleId="Charb">
    <w:name w:val="각주 텍스트 Char"/>
    <w:basedOn w:val="a2"/>
    <w:link w:val="af7"/>
    <w:semiHidden/>
    <w:rsid w:val="00FF04E3"/>
  </w:style>
  <w:style w:type="paragraph" w:styleId="af8">
    <w:name w:val="header"/>
    <w:basedOn w:val="a1"/>
    <w:link w:val="Charc"/>
    <w:semiHidden/>
    <w:rsid w:val="00405336"/>
    <w:pPr>
      <w:tabs>
        <w:tab w:val="center" w:pos="4680"/>
        <w:tab w:val="right" w:pos="9360"/>
      </w:tabs>
    </w:pPr>
  </w:style>
  <w:style w:type="character" w:customStyle="1" w:styleId="Charc">
    <w:name w:val="머리글 Char"/>
    <w:link w:val="af8"/>
    <w:semiHidden/>
    <w:rsid w:val="00FF04E3"/>
    <w:rPr>
      <w:sz w:val="24"/>
    </w:rPr>
  </w:style>
  <w:style w:type="paragraph" w:styleId="HTML">
    <w:name w:val="HTML Address"/>
    <w:basedOn w:val="a1"/>
    <w:link w:val="HTMLChar"/>
    <w:semiHidden/>
    <w:rsid w:val="00405336"/>
    <w:rPr>
      <w:i/>
      <w:iCs/>
    </w:rPr>
  </w:style>
  <w:style w:type="character" w:customStyle="1" w:styleId="HTMLChar">
    <w:name w:val="HTML 주소 Char"/>
    <w:link w:val="HTML"/>
    <w:semiHidden/>
    <w:rsid w:val="00FF04E3"/>
    <w:rPr>
      <w:i/>
      <w:iCs/>
      <w:sz w:val="24"/>
    </w:rPr>
  </w:style>
  <w:style w:type="paragraph" w:styleId="HTML0">
    <w:name w:val="HTML Preformatted"/>
    <w:basedOn w:val="a1"/>
    <w:link w:val="HTMLChar0"/>
    <w:semiHidden/>
    <w:rsid w:val="00405336"/>
    <w:rPr>
      <w:rFonts w:ascii="Courier New" w:hAnsi="Courier New" w:cs="Courier New"/>
      <w:sz w:val="20"/>
    </w:rPr>
  </w:style>
  <w:style w:type="character" w:customStyle="1" w:styleId="HTMLChar0">
    <w:name w:val="미리 서식이 지정된 HTML Char"/>
    <w:link w:val="HTML0"/>
    <w:semiHidden/>
    <w:rsid w:val="00FF04E3"/>
    <w:rPr>
      <w:rFonts w:ascii="Courier New" w:hAnsi="Courier New" w:cs="Courier New"/>
    </w:rPr>
  </w:style>
  <w:style w:type="paragraph" w:styleId="10">
    <w:name w:val="index 1"/>
    <w:basedOn w:val="a1"/>
    <w:next w:val="a1"/>
    <w:autoRedefine/>
    <w:semiHidden/>
    <w:rsid w:val="00405336"/>
    <w:pPr>
      <w:ind w:left="240" w:hanging="240"/>
    </w:pPr>
  </w:style>
  <w:style w:type="paragraph" w:styleId="25">
    <w:name w:val="index 2"/>
    <w:basedOn w:val="a1"/>
    <w:next w:val="a1"/>
    <w:autoRedefine/>
    <w:semiHidden/>
    <w:rsid w:val="00405336"/>
    <w:pPr>
      <w:ind w:left="480" w:hanging="240"/>
    </w:pPr>
  </w:style>
  <w:style w:type="paragraph" w:styleId="34">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2">
    <w:name w:val="index 5"/>
    <w:basedOn w:val="a1"/>
    <w:next w:val="a1"/>
    <w:autoRedefine/>
    <w:semiHidden/>
    <w:rsid w:val="00405336"/>
    <w:pPr>
      <w:ind w:left="1200" w:hanging="240"/>
    </w:pPr>
  </w:style>
  <w:style w:type="paragraph" w:styleId="60">
    <w:name w:val="index 6"/>
    <w:basedOn w:val="a1"/>
    <w:next w:val="a1"/>
    <w:autoRedefine/>
    <w:semiHidden/>
    <w:rsid w:val="00405336"/>
    <w:pPr>
      <w:ind w:left="1440" w:hanging="240"/>
    </w:pPr>
  </w:style>
  <w:style w:type="paragraph" w:styleId="70">
    <w:name w:val="index 7"/>
    <w:basedOn w:val="a1"/>
    <w:next w:val="a1"/>
    <w:autoRedefine/>
    <w:semiHidden/>
    <w:rsid w:val="00405336"/>
    <w:pPr>
      <w:ind w:left="1680" w:hanging="240"/>
    </w:pPr>
  </w:style>
  <w:style w:type="paragraph" w:styleId="80">
    <w:name w:val="index 8"/>
    <w:basedOn w:val="a1"/>
    <w:next w:val="a1"/>
    <w:autoRedefine/>
    <w:semiHidden/>
    <w:rsid w:val="00405336"/>
    <w:pPr>
      <w:ind w:left="1920" w:hanging="240"/>
    </w:pPr>
  </w:style>
  <w:style w:type="paragraph" w:styleId="90">
    <w:name w:val="index 9"/>
    <w:basedOn w:val="a1"/>
    <w:next w:val="a1"/>
    <w:autoRedefine/>
    <w:semiHidden/>
    <w:rsid w:val="00405336"/>
    <w:pPr>
      <w:ind w:left="2160" w:hanging="240"/>
    </w:pPr>
  </w:style>
  <w:style w:type="paragraph" w:styleId="af9">
    <w:name w:val="index heading"/>
    <w:basedOn w:val="a1"/>
    <w:next w:val="10"/>
    <w:semiHidden/>
    <w:rsid w:val="00405336"/>
    <w:rPr>
      <w:rFonts w:ascii="Cambria" w:hAnsi="Cambria"/>
      <w:b/>
      <w:bCs/>
    </w:rPr>
  </w:style>
  <w:style w:type="paragraph" w:styleId="afa">
    <w:name w:val="Intense Quote"/>
    <w:basedOn w:val="a1"/>
    <w:next w:val="a1"/>
    <w:link w:val="Chard"/>
    <w:uiPriority w:val="30"/>
    <w:semiHidden/>
    <w:qFormat/>
    <w:rsid w:val="00405336"/>
    <w:pPr>
      <w:pBdr>
        <w:bottom w:val="single" w:sz="4" w:space="4" w:color="4F81BD"/>
      </w:pBdr>
      <w:spacing w:before="200" w:after="280"/>
      <w:ind w:left="936" w:right="936"/>
    </w:pPr>
    <w:rPr>
      <w:b/>
      <w:bCs/>
      <w:i/>
      <w:iCs/>
      <w:color w:val="4F81BD"/>
    </w:rPr>
  </w:style>
  <w:style w:type="character" w:customStyle="1" w:styleId="Chard">
    <w:name w:val="강한 인용 Char"/>
    <w:link w:val="afa"/>
    <w:uiPriority w:val="30"/>
    <w:semiHidden/>
    <w:rsid w:val="00FF04E3"/>
    <w:rPr>
      <w:b/>
      <w:bCs/>
      <w:i/>
      <w:iCs/>
      <w:color w:val="4F81BD"/>
      <w:sz w:val="24"/>
    </w:rPr>
  </w:style>
  <w:style w:type="paragraph" w:styleId="afb">
    <w:name w:val="List"/>
    <w:basedOn w:val="a1"/>
    <w:semiHidden/>
    <w:rsid w:val="00405336"/>
    <w:pPr>
      <w:ind w:left="360" w:hanging="360"/>
      <w:contextualSpacing/>
    </w:pPr>
  </w:style>
  <w:style w:type="paragraph" w:styleId="26">
    <w:name w:val="List 2"/>
    <w:basedOn w:val="a1"/>
    <w:semiHidden/>
    <w:rsid w:val="00405336"/>
    <w:pPr>
      <w:ind w:left="720" w:hanging="360"/>
      <w:contextualSpacing/>
    </w:pPr>
  </w:style>
  <w:style w:type="paragraph" w:styleId="35">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3">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c">
    <w:name w:val="List Continue"/>
    <w:basedOn w:val="a1"/>
    <w:semiHidden/>
    <w:rsid w:val="00405336"/>
    <w:pPr>
      <w:spacing w:after="120"/>
      <w:ind w:left="360"/>
      <w:contextualSpacing/>
    </w:pPr>
  </w:style>
  <w:style w:type="paragraph" w:styleId="27">
    <w:name w:val="List Continue 2"/>
    <w:basedOn w:val="a1"/>
    <w:semiHidden/>
    <w:rsid w:val="00405336"/>
    <w:pPr>
      <w:spacing w:after="120"/>
      <w:ind w:left="720"/>
      <w:contextualSpacing/>
    </w:pPr>
  </w:style>
  <w:style w:type="paragraph" w:styleId="36">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4">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d">
    <w:name w:val="List Paragraph"/>
    <w:basedOn w:val="a1"/>
    <w:uiPriority w:val="34"/>
    <w:semiHidden/>
    <w:qFormat/>
    <w:rsid w:val="00405336"/>
    <w:pPr>
      <w:ind w:left="720"/>
    </w:pPr>
  </w:style>
  <w:style w:type="paragraph" w:styleId="afe">
    <w:name w:val="macro"/>
    <w:link w:val="Char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Chare">
    <w:name w:val="매크로 텍스트 Char"/>
    <w:link w:val="afe"/>
    <w:semiHidden/>
    <w:rsid w:val="00FF04E3"/>
    <w:rPr>
      <w:rFonts w:ascii="Courier New" w:hAnsi="Courier New" w:cs="Courier New"/>
      <w:lang w:val="en-US" w:eastAsia="en-US" w:bidi="ar-SA"/>
    </w:rPr>
  </w:style>
  <w:style w:type="paragraph" w:styleId="aff">
    <w:name w:val="Message Header"/>
    <w:basedOn w:val="a1"/>
    <w:link w:val="Charf"/>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Charf">
    <w:name w:val="메시지 머리글 Char"/>
    <w:link w:val="aff"/>
    <w:semiHidden/>
    <w:rsid w:val="00FF04E3"/>
    <w:rPr>
      <w:rFonts w:ascii="Cambria" w:hAnsi="Cambria"/>
      <w:sz w:val="24"/>
      <w:szCs w:val="24"/>
      <w:shd w:val="pct20" w:color="auto" w:fill="auto"/>
    </w:rPr>
  </w:style>
  <w:style w:type="paragraph" w:styleId="aff0">
    <w:name w:val="No Spacing"/>
    <w:uiPriority w:val="1"/>
    <w:semiHidden/>
    <w:qFormat/>
    <w:rsid w:val="00405336"/>
    <w:rPr>
      <w:sz w:val="24"/>
    </w:rPr>
  </w:style>
  <w:style w:type="paragraph" w:styleId="aff1">
    <w:name w:val="Normal (Web)"/>
    <w:basedOn w:val="a1"/>
    <w:semiHidden/>
    <w:rsid w:val="00405336"/>
    <w:rPr>
      <w:szCs w:val="24"/>
    </w:rPr>
  </w:style>
  <w:style w:type="paragraph" w:styleId="aff2">
    <w:name w:val="Normal Indent"/>
    <w:basedOn w:val="a1"/>
    <w:semiHidden/>
    <w:rsid w:val="00405336"/>
    <w:pPr>
      <w:ind w:left="720"/>
    </w:pPr>
  </w:style>
  <w:style w:type="paragraph" w:styleId="aff3">
    <w:name w:val="Note Heading"/>
    <w:basedOn w:val="a1"/>
    <w:next w:val="a1"/>
    <w:link w:val="Charf0"/>
    <w:semiHidden/>
    <w:rsid w:val="00405336"/>
  </w:style>
  <w:style w:type="character" w:customStyle="1" w:styleId="Charf0">
    <w:name w:val="각주/미주 머리글 Char"/>
    <w:link w:val="aff3"/>
    <w:semiHidden/>
    <w:rsid w:val="00FF04E3"/>
    <w:rPr>
      <w:sz w:val="24"/>
    </w:rPr>
  </w:style>
  <w:style w:type="paragraph" w:styleId="aff4">
    <w:name w:val="Plain Text"/>
    <w:basedOn w:val="a1"/>
    <w:link w:val="Charf1"/>
    <w:semiHidden/>
    <w:rsid w:val="00405336"/>
    <w:rPr>
      <w:rFonts w:ascii="Courier New" w:hAnsi="Courier New" w:cs="Courier New"/>
      <w:sz w:val="20"/>
    </w:rPr>
  </w:style>
  <w:style w:type="character" w:customStyle="1" w:styleId="Charf1">
    <w:name w:val="글자만 Char"/>
    <w:link w:val="aff4"/>
    <w:semiHidden/>
    <w:rsid w:val="00FF04E3"/>
    <w:rPr>
      <w:rFonts w:ascii="Courier New" w:hAnsi="Courier New" w:cs="Courier New"/>
    </w:rPr>
  </w:style>
  <w:style w:type="paragraph" w:styleId="aff5">
    <w:name w:val="Quote"/>
    <w:basedOn w:val="a1"/>
    <w:next w:val="a1"/>
    <w:link w:val="Charf2"/>
    <w:uiPriority w:val="29"/>
    <w:semiHidden/>
    <w:qFormat/>
    <w:rsid w:val="00405336"/>
    <w:rPr>
      <w:i/>
      <w:iCs/>
      <w:color w:val="000000"/>
    </w:rPr>
  </w:style>
  <w:style w:type="character" w:customStyle="1" w:styleId="Charf2">
    <w:name w:val="인용 Char"/>
    <w:link w:val="aff5"/>
    <w:uiPriority w:val="29"/>
    <w:semiHidden/>
    <w:rsid w:val="00FF04E3"/>
    <w:rPr>
      <w:i/>
      <w:iCs/>
      <w:color w:val="000000"/>
      <w:sz w:val="24"/>
    </w:rPr>
  </w:style>
  <w:style w:type="paragraph" w:styleId="aff6">
    <w:name w:val="Salutation"/>
    <w:basedOn w:val="a1"/>
    <w:next w:val="a1"/>
    <w:link w:val="Charf3"/>
    <w:semiHidden/>
    <w:rsid w:val="00405336"/>
  </w:style>
  <w:style w:type="character" w:customStyle="1" w:styleId="Charf3">
    <w:name w:val="인사말 Char"/>
    <w:link w:val="aff6"/>
    <w:semiHidden/>
    <w:rsid w:val="00FF04E3"/>
    <w:rPr>
      <w:sz w:val="24"/>
    </w:rPr>
  </w:style>
  <w:style w:type="paragraph" w:styleId="aff7">
    <w:name w:val="Signature"/>
    <w:basedOn w:val="a1"/>
    <w:link w:val="Charf4"/>
    <w:semiHidden/>
    <w:rsid w:val="00405336"/>
    <w:pPr>
      <w:ind w:left="4320"/>
    </w:pPr>
  </w:style>
  <w:style w:type="character" w:customStyle="1" w:styleId="Charf4">
    <w:name w:val="서명 Char"/>
    <w:link w:val="aff7"/>
    <w:semiHidden/>
    <w:rsid w:val="00FF04E3"/>
    <w:rPr>
      <w:sz w:val="24"/>
    </w:rPr>
  </w:style>
  <w:style w:type="paragraph" w:styleId="aff8">
    <w:name w:val="Subtitle"/>
    <w:basedOn w:val="a1"/>
    <w:next w:val="a1"/>
    <w:link w:val="Charf5"/>
    <w:semiHidden/>
    <w:qFormat/>
    <w:rsid w:val="00405336"/>
    <w:pPr>
      <w:spacing w:after="60"/>
      <w:jc w:val="center"/>
      <w:outlineLvl w:val="1"/>
    </w:pPr>
    <w:rPr>
      <w:rFonts w:ascii="Cambria" w:hAnsi="Cambria"/>
      <w:szCs w:val="24"/>
    </w:rPr>
  </w:style>
  <w:style w:type="character" w:customStyle="1" w:styleId="Charf5">
    <w:name w:val="부제 Char"/>
    <w:link w:val="aff8"/>
    <w:semiHidden/>
    <w:rsid w:val="00FF04E3"/>
    <w:rPr>
      <w:rFonts w:ascii="Cambria" w:hAnsi="Cambria"/>
      <w:sz w:val="24"/>
      <w:szCs w:val="24"/>
    </w:rPr>
  </w:style>
  <w:style w:type="paragraph" w:styleId="aff9">
    <w:name w:val="table of authorities"/>
    <w:basedOn w:val="a1"/>
    <w:next w:val="a1"/>
    <w:semiHidden/>
    <w:rsid w:val="00405336"/>
    <w:pPr>
      <w:ind w:left="240" w:hanging="240"/>
    </w:pPr>
  </w:style>
  <w:style w:type="paragraph" w:styleId="affa">
    <w:name w:val="table of figures"/>
    <w:basedOn w:val="a1"/>
    <w:next w:val="a1"/>
    <w:semiHidden/>
    <w:rsid w:val="00405336"/>
  </w:style>
  <w:style w:type="paragraph" w:styleId="affb">
    <w:name w:val="Title"/>
    <w:basedOn w:val="a1"/>
    <w:next w:val="a1"/>
    <w:link w:val="Charf6"/>
    <w:semiHidden/>
    <w:qFormat/>
    <w:rsid w:val="00405336"/>
    <w:pPr>
      <w:spacing w:before="240" w:after="60"/>
      <w:jc w:val="center"/>
      <w:outlineLvl w:val="0"/>
    </w:pPr>
    <w:rPr>
      <w:rFonts w:ascii="Cambria" w:hAnsi="Cambria"/>
      <w:b/>
      <w:bCs/>
      <w:kern w:val="28"/>
      <w:sz w:val="32"/>
      <w:szCs w:val="32"/>
    </w:rPr>
  </w:style>
  <w:style w:type="character" w:customStyle="1" w:styleId="Charf6">
    <w:name w:val="제목 Char"/>
    <w:link w:val="affb"/>
    <w:semiHidden/>
    <w:rsid w:val="00FF04E3"/>
    <w:rPr>
      <w:rFonts w:ascii="Cambria" w:hAnsi="Cambria"/>
      <w:b/>
      <w:bCs/>
      <w:kern w:val="28"/>
      <w:sz w:val="32"/>
      <w:szCs w:val="32"/>
    </w:rPr>
  </w:style>
  <w:style w:type="paragraph" w:styleId="affc">
    <w:name w:val="toa heading"/>
    <w:basedOn w:val="a1"/>
    <w:next w:val="a1"/>
    <w:semiHidden/>
    <w:rsid w:val="00405336"/>
    <w:pPr>
      <w:spacing w:before="120"/>
    </w:pPr>
    <w:rPr>
      <w:rFonts w:ascii="Cambria" w:hAnsi="Cambria"/>
      <w:b/>
      <w:bCs/>
      <w:szCs w:val="24"/>
    </w:rPr>
  </w:style>
  <w:style w:type="paragraph" w:styleId="11">
    <w:name w:val="toc 1"/>
    <w:basedOn w:val="a1"/>
    <w:next w:val="a1"/>
    <w:autoRedefine/>
    <w:semiHidden/>
    <w:rsid w:val="00405336"/>
  </w:style>
  <w:style w:type="paragraph" w:styleId="28">
    <w:name w:val="toc 2"/>
    <w:basedOn w:val="a1"/>
    <w:next w:val="a1"/>
    <w:autoRedefine/>
    <w:semiHidden/>
    <w:rsid w:val="00405336"/>
    <w:pPr>
      <w:ind w:left="240"/>
    </w:pPr>
  </w:style>
  <w:style w:type="paragraph" w:styleId="37">
    <w:name w:val="toc 3"/>
    <w:basedOn w:val="a1"/>
    <w:next w:val="a1"/>
    <w:autoRedefine/>
    <w:semiHidden/>
    <w:rsid w:val="00405336"/>
    <w:pPr>
      <w:ind w:left="480"/>
    </w:pPr>
  </w:style>
  <w:style w:type="paragraph" w:styleId="45">
    <w:name w:val="toc 4"/>
    <w:basedOn w:val="a1"/>
    <w:next w:val="a1"/>
    <w:autoRedefine/>
    <w:semiHidden/>
    <w:rsid w:val="00405336"/>
    <w:pPr>
      <w:ind w:left="720"/>
    </w:pPr>
  </w:style>
  <w:style w:type="paragraph" w:styleId="55">
    <w:name w:val="toc 5"/>
    <w:basedOn w:val="a1"/>
    <w:next w:val="a1"/>
    <w:autoRedefine/>
    <w:semiHidden/>
    <w:rsid w:val="00405336"/>
    <w:pPr>
      <w:ind w:left="960"/>
    </w:pPr>
  </w:style>
  <w:style w:type="paragraph" w:styleId="61">
    <w:name w:val="toc 6"/>
    <w:basedOn w:val="a1"/>
    <w:next w:val="a1"/>
    <w:autoRedefine/>
    <w:semiHidden/>
    <w:rsid w:val="00405336"/>
    <w:pPr>
      <w:ind w:left="1200"/>
    </w:pPr>
  </w:style>
  <w:style w:type="paragraph" w:styleId="71">
    <w:name w:val="toc 7"/>
    <w:basedOn w:val="a1"/>
    <w:next w:val="a1"/>
    <w:autoRedefine/>
    <w:semiHidden/>
    <w:rsid w:val="00405336"/>
    <w:pPr>
      <w:ind w:left="1440"/>
    </w:pPr>
  </w:style>
  <w:style w:type="paragraph" w:styleId="81">
    <w:name w:val="toc 8"/>
    <w:basedOn w:val="a1"/>
    <w:next w:val="a1"/>
    <w:autoRedefine/>
    <w:semiHidden/>
    <w:rsid w:val="00405336"/>
    <w:pPr>
      <w:ind w:left="1680"/>
    </w:pPr>
  </w:style>
  <w:style w:type="paragraph" w:styleId="91">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d">
    <w:name w:val="Hyperlink"/>
    <w:semiHidden/>
    <w:rsid w:val="007402FC"/>
    <w:rPr>
      <w:color w:val="0000FF"/>
      <w:u w:val="single"/>
    </w:rPr>
  </w:style>
  <w:style w:type="character" w:styleId="affe">
    <w:name w:val="FollowedHyperlink"/>
    <w:semiHidden/>
    <w:unhideWhenUsed/>
    <w:rsid w:val="00793072"/>
    <w:rPr>
      <w:color w:val="800080"/>
      <w:u w:val="single"/>
    </w:rPr>
  </w:style>
  <w:style w:type="character" w:styleId="afff">
    <w:name w:val="annotation reference"/>
    <w:semiHidden/>
    <w:unhideWhenUsed/>
    <w:rsid w:val="00793072"/>
    <w:rPr>
      <w:sz w:val="16"/>
      <w:szCs w:val="16"/>
    </w:rPr>
  </w:style>
  <w:style w:type="character" w:styleId="afff0">
    <w:name w:val="Unresolved Mention"/>
    <w:basedOn w:val="a2"/>
    <w:uiPriority w:val="99"/>
    <w:semiHidden/>
    <w:unhideWhenUsed/>
    <w:rsid w:val="00821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4D4C1-0EDF-4C0C-AB3A-71514429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11</Pages>
  <Words>2515</Words>
  <Characters>12076</Characters>
  <Application>Microsoft Office Word</Application>
  <DocSecurity>0</DocSecurity>
  <Lines>603</Lines>
  <Paragraphs>416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14175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김 한기</cp:lastModifiedBy>
  <cp:revision>6</cp:revision>
  <cp:lastPrinted>2018-01-11T19:53:00Z</cp:lastPrinted>
  <dcterms:created xsi:type="dcterms:W3CDTF">2026-02-24T11:33:00Z</dcterms:created>
  <dcterms:modified xsi:type="dcterms:W3CDTF">2026-02-24T12:32:00Z</dcterms:modified>
</cp:coreProperties>
</file>