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FBB" w:rsidRPr="005C2C57" w:rsidRDefault="00665FBB" w:rsidP="00665FBB">
      <w:pPr>
        <w:spacing w:line="480" w:lineRule="auto"/>
        <w:rPr>
          <w:rFonts w:ascii="Times New Roman" w:hAnsi="Times New Roman" w:cs="Times New Roman"/>
          <w:sz w:val="36"/>
          <w:szCs w:val="36"/>
        </w:rPr>
      </w:pPr>
      <w:r w:rsidRPr="005C2C57">
        <w:rPr>
          <w:rFonts w:ascii="Times New Roman" w:hAnsi="Times New Roman" w:cs="Times New Roman"/>
          <w:caps/>
          <w:sz w:val="36"/>
          <w:szCs w:val="36"/>
        </w:rPr>
        <w:t>Supplementary Data</w:t>
      </w:r>
      <w:r w:rsidRPr="005C2C57">
        <w:rPr>
          <w:rFonts w:ascii="Times New Roman" w:hAnsi="Times New Roman" w:cs="Times New Roman"/>
          <w:sz w:val="36"/>
          <w:szCs w:val="36"/>
        </w:rPr>
        <w:t xml:space="preserve"> </w:t>
      </w:r>
    </w:p>
    <w:p w:rsidR="00665FBB" w:rsidRPr="005C2C57" w:rsidRDefault="00665FBB" w:rsidP="00665FBB">
      <w:pPr>
        <w:spacing w:line="480" w:lineRule="auto"/>
        <w:rPr>
          <w:rFonts w:ascii="Times New Roman" w:hAnsi="Times New Roman" w:cs="Times New Roman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</w:rPr>
      </w:pPr>
      <w:r w:rsidRPr="005C2C57">
        <w:rPr>
          <w:rFonts w:ascii="Times New Roman" w:eastAsia="Cambria" w:hAnsi="Times New Roman" w:cs="Times New Roman"/>
        </w:rPr>
        <w:t>Figure S1</w:t>
      </w:r>
      <w:r>
        <w:rPr>
          <w:rFonts w:ascii="Times New Roman" w:eastAsia="Cambria" w:hAnsi="Times New Roman" w:cs="Times New Roman"/>
        </w:rPr>
        <w:t>.</w:t>
      </w:r>
      <w:r w:rsidRPr="005C2C57">
        <w:rPr>
          <w:rFonts w:ascii="Times New Roman" w:eastAsia="Cambria" w:hAnsi="Times New Roman" w:cs="Times New Roman"/>
        </w:rPr>
        <w:t xml:space="preserve"> </w:t>
      </w: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</w:rPr>
      </w:pPr>
      <w:r w:rsidRPr="005C2C57">
        <w:rPr>
          <w:rFonts w:ascii="Times New Roman" w:eastAsia="Cambria" w:hAnsi="Times New Roman" w:cs="Times New Roman"/>
        </w:rPr>
        <w:t>Table S1,</w:t>
      </w:r>
      <w:r>
        <w:rPr>
          <w:rFonts w:ascii="Times New Roman" w:eastAsia="Cambria" w:hAnsi="Times New Roman" w:cs="Times New Roman"/>
        </w:rPr>
        <w:t xml:space="preserve"> S2, S3, S4 and S5.</w:t>
      </w:r>
      <w:r w:rsidRPr="005C2C57">
        <w:rPr>
          <w:rFonts w:ascii="Times New Roman" w:eastAsia="Cambria" w:hAnsi="Times New Roman" w:cs="Times New Roman"/>
        </w:rPr>
        <w:t xml:space="preserve"> </w:t>
      </w:r>
    </w:p>
    <w:p w:rsidR="00665FBB" w:rsidRPr="0016784C" w:rsidRDefault="00665FBB" w:rsidP="00665FBB">
      <w:pPr>
        <w:spacing w:line="480" w:lineRule="auto"/>
        <w:rPr>
          <w:rFonts w:ascii="Times New Roman" w:eastAsia="Cambria" w:hAnsi="Times New Roman" w:cs="Times New Roman"/>
        </w:rPr>
      </w:pPr>
      <w:r w:rsidRPr="005C2C57">
        <w:rPr>
          <w:rFonts w:ascii="Times New Roman" w:eastAsia="Cambria" w:hAnsi="Times New Roman" w:cs="Times New Roman"/>
        </w:rPr>
        <w:t>Supplementary Materials and Methods.</w:t>
      </w: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rFonts w:ascii="Times New Roman" w:eastAsia="Cambria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6659A991" wp14:editId="18CB188A">
            <wp:extent cx="4559817" cy="3108966"/>
            <wp:effectExtent l="0" t="0" r="0" b="0"/>
            <wp:docPr id="45" name="Immagin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080921 Figure S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817" cy="3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FBB" w:rsidRDefault="00665FBB" w:rsidP="00665F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C3"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25A">
        <w:rPr>
          <w:rFonts w:ascii="Times New Roman" w:hAnsi="Times New Roman" w:cs="Times New Roman"/>
          <w:sz w:val="24"/>
          <w:szCs w:val="24"/>
        </w:rPr>
        <w:t>Distribution of circulating myeloid cells in GBM patients treated preoperatively with dexamethasone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85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Orange boxes indicate patients treated with dexamethasone (GBM DEX), yellow boxes refer to untreated patients (GBM). </w:t>
      </w:r>
      <w:r w:rsidRPr="0028525A">
        <w:rPr>
          <w:rFonts w:ascii="Times New Roman" w:hAnsi="Times New Roman" w:cs="Times New Roman"/>
          <w:sz w:val="24"/>
          <w:szCs w:val="24"/>
        </w:rPr>
        <w:t>Box Plots show the median, 25th and 75th percentile of the percentage of monocytes (</w:t>
      </w: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Pr="0028525A">
        <w:rPr>
          <w:rFonts w:ascii="Times New Roman" w:hAnsi="Times New Roman" w:cs="Times New Roman"/>
          <w:sz w:val="24"/>
          <w:szCs w:val="24"/>
        </w:rPr>
        <w:t xml:space="preserve">HDs,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DEX), granulocytes (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28525A">
        <w:rPr>
          <w:rFonts w:ascii="Times New Roman" w:hAnsi="Times New Roman" w:cs="Times New Roman"/>
          <w:sz w:val="24"/>
          <w:szCs w:val="24"/>
        </w:rPr>
        <w:t xml:space="preserve"> HDs,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DEX), MDSC1, (</w:t>
      </w: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Pr="0028525A">
        <w:rPr>
          <w:rFonts w:ascii="Times New Roman" w:hAnsi="Times New Roman" w:cs="Times New Roman"/>
          <w:sz w:val="24"/>
          <w:szCs w:val="24"/>
        </w:rPr>
        <w:t xml:space="preserve">HDs,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DEX), MDSC2 (</w:t>
      </w: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Pr="0028525A">
        <w:rPr>
          <w:rFonts w:ascii="Times New Roman" w:hAnsi="Times New Roman" w:cs="Times New Roman"/>
          <w:sz w:val="24"/>
          <w:szCs w:val="24"/>
        </w:rPr>
        <w:t xml:space="preserve">HDs,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DEX), MDSC3 in CD15</w:t>
      </w:r>
      <w:r w:rsidRPr="0028525A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28525A">
        <w:rPr>
          <w:rFonts w:ascii="Times New Roman" w:hAnsi="Times New Roman" w:cs="Times New Roman"/>
          <w:sz w:val="24"/>
          <w:szCs w:val="24"/>
        </w:rPr>
        <w:t xml:space="preserve"> cells (</w:t>
      </w: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Pr="0028525A">
        <w:rPr>
          <w:rFonts w:ascii="Times New Roman" w:hAnsi="Times New Roman" w:cs="Times New Roman"/>
          <w:sz w:val="24"/>
          <w:szCs w:val="24"/>
        </w:rPr>
        <w:t xml:space="preserve">HDs,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DEX), MDSC4 (</w:t>
      </w:r>
      <w:r>
        <w:rPr>
          <w:rFonts w:ascii="Times New Roman" w:hAnsi="Times New Roman" w:cs="Times New Roman"/>
          <w:sz w:val="24"/>
          <w:szCs w:val="24"/>
        </w:rPr>
        <w:t xml:space="preserve">27 </w:t>
      </w:r>
      <w:r w:rsidRPr="0028525A">
        <w:rPr>
          <w:rFonts w:ascii="Times New Roman" w:hAnsi="Times New Roman" w:cs="Times New Roman"/>
          <w:sz w:val="24"/>
          <w:szCs w:val="24"/>
        </w:rPr>
        <w:t xml:space="preserve">HDs,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and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28525A">
        <w:rPr>
          <w:rFonts w:ascii="Times New Roman" w:hAnsi="Times New Roman" w:cs="Times New Roman"/>
          <w:sz w:val="24"/>
          <w:szCs w:val="24"/>
        </w:rPr>
        <w:t xml:space="preserve"> GBM DEX). Whiskers extend to 1.5 inter-quartile range and outliers are shown by dots. Signiﬁcance levels evaluated by t-test:  &lt;0.001: ***; &lt;0.01: **; &lt;0.05: *.</w:t>
      </w:r>
    </w:p>
    <w:p w:rsidR="00665FBB" w:rsidRDefault="00665FBB" w:rsidP="00665FBB">
      <w:pPr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b/>
          <w:sz w:val="24"/>
          <w:szCs w:val="24"/>
        </w:rPr>
        <w:br w:type="page"/>
      </w:r>
    </w:p>
    <w:p w:rsidR="00665FBB" w:rsidRDefault="00665FBB" w:rsidP="00665FBB">
      <w:pPr>
        <w:rPr>
          <w:sz w:val="24"/>
        </w:rPr>
      </w:pPr>
      <w:r w:rsidRPr="008E0C40">
        <w:rPr>
          <w:b/>
          <w:sz w:val="24"/>
        </w:rPr>
        <w:lastRenderedPageBreak/>
        <w:t xml:space="preserve">Table S1. </w:t>
      </w:r>
      <w:r w:rsidRPr="008E0C40">
        <w:rPr>
          <w:sz w:val="24"/>
        </w:rPr>
        <w:t xml:space="preserve">Immunological variables analyzed in the study </w:t>
      </w:r>
    </w:p>
    <w:p w:rsidR="00665FBB" w:rsidRPr="008E0C40" w:rsidRDefault="00665FBB" w:rsidP="00665FBB">
      <w:pPr>
        <w:rPr>
          <w:sz w:val="24"/>
        </w:rPr>
      </w:pPr>
    </w:p>
    <w:tbl>
      <w:tblPr>
        <w:tblStyle w:val="TableGridLight"/>
        <w:tblW w:w="9639" w:type="dxa"/>
        <w:tblLook w:val="04A0" w:firstRow="1" w:lastRow="0" w:firstColumn="1" w:lastColumn="0" w:noHBand="0" w:noVBand="1"/>
      </w:tblPr>
      <w:tblGrid>
        <w:gridCol w:w="1951"/>
        <w:gridCol w:w="855"/>
        <w:gridCol w:w="5682"/>
        <w:gridCol w:w="1151"/>
      </w:tblGrid>
      <w:tr w:rsidR="00665FBB" w:rsidTr="00C462C2">
        <w:trPr>
          <w:trHeight w:val="504"/>
        </w:trPr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5FBB" w:rsidRPr="009A6C2D" w:rsidRDefault="00665FBB" w:rsidP="00C462C2">
            <w:pPr>
              <w:rPr>
                <w:b/>
              </w:rPr>
            </w:pPr>
            <w:r>
              <w:rPr>
                <w:b/>
              </w:rPr>
              <w:t>Variable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5FBB" w:rsidRPr="00983A0E" w:rsidRDefault="00665FBB" w:rsidP="00C462C2">
            <w:pPr>
              <w:jc w:val="center"/>
              <w:rPr>
                <w:b/>
              </w:rPr>
            </w:pPr>
            <w:r>
              <w:rPr>
                <w:b/>
              </w:rPr>
              <w:t>Cohort</w:t>
            </w:r>
          </w:p>
        </w:tc>
        <w:tc>
          <w:tcPr>
            <w:tcW w:w="55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5FBB" w:rsidRPr="00983A0E" w:rsidRDefault="00665FBB" w:rsidP="00C462C2">
            <w:pPr>
              <w:ind w:right="-598"/>
              <w:rPr>
                <w:b/>
              </w:rPr>
            </w:pPr>
            <w:r w:rsidRPr="00983A0E">
              <w:rPr>
                <w:b/>
              </w:rPr>
              <w:t>Determination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5FBB" w:rsidRPr="009A6C2D" w:rsidRDefault="00665FBB" w:rsidP="00C462C2">
            <w:pPr>
              <w:jc w:val="center"/>
              <w:rPr>
                <w:b/>
              </w:rPr>
            </w:pPr>
            <w:r w:rsidRPr="009A6C2D">
              <w:rPr>
                <w:b/>
              </w:rPr>
              <w:t>Source</w:t>
            </w:r>
          </w:p>
        </w:tc>
      </w:tr>
      <w:tr w:rsidR="00665FBB" w:rsidTr="00C462C2">
        <w:trPr>
          <w:trHeight w:val="504"/>
        </w:trPr>
        <w:tc>
          <w:tcPr>
            <w:tcW w:w="1921" w:type="dxa"/>
            <w:tcBorders>
              <w:top w:val="single" w:sz="4" w:space="0" w:color="auto"/>
            </w:tcBorders>
            <w:vAlign w:val="center"/>
          </w:tcPr>
          <w:p w:rsidR="00665FBB" w:rsidRPr="009A6C2D" w:rsidRDefault="00665FBB" w:rsidP="00C462C2">
            <w:r>
              <w:t>CD14</w:t>
            </w:r>
            <w:r w:rsidRPr="00407D5F">
              <w:rPr>
                <w:vertAlign w:val="superscript"/>
              </w:rPr>
              <w:t>+</w:t>
            </w:r>
            <w:r>
              <w:t xml:space="preserve"> cells</w:t>
            </w:r>
          </w:p>
        </w:tc>
        <w:tc>
          <w:tcPr>
            <w:tcW w:w="842" w:type="dxa"/>
            <w:tcBorders>
              <w:top w:val="single" w:sz="4" w:space="0" w:color="auto"/>
            </w:tcBorders>
            <w:vAlign w:val="center"/>
          </w:tcPr>
          <w:p w:rsidR="00665FBB" w:rsidRPr="009A6C2D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tcBorders>
              <w:top w:val="single" w:sz="4" w:space="0" w:color="auto"/>
            </w:tcBorders>
            <w:vAlign w:val="center"/>
          </w:tcPr>
          <w:p w:rsidR="00665FBB" w:rsidRPr="009A6C2D" w:rsidRDefault="00665FBB" w:rsidP="00C462C2">
            <w:pPr>
              <w:ind w:right="-598"/>
            </w:pPr>
            <w:r>
              <w:t>FCM, m</w:t>
            </w:r>
            <w:r w:rsidRPr="009A6C2D">
              <w:t xml:space="preserve">orphological gate </w:t>
            </w:r>
            <w:r>
              <w:t xml:space="preserve">(FSC/SSC) </w:t>
            </w:r>
            <w:r w:rsidRPr="009A6C2D">
              <w:t>on PBMC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396858" w:rsidRDefault="00665FBB" w:rsidP="00C462C2">
            <w:r>
              <w:t>CD15</w:t>
            </w:r>
            <w:r w:rsidRPr="009A6C2D">
              <w:rPr>
                <w:vertAlign w:val="superscript"/>
              </w:rPr>
              <w:t>+</w:t>
            </w:r>
            <w:r>
              <w:t xml:space="preserve"> cells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pPr>
              <w:ind w:right="-598"/>
            </w:pPr>
            <w:r>
              <w:t>FCM, m</w:t>
            </w:r>
            <w:r w:rsidRPr="009A6C2D">
              <w:t xml:space="preserve">orphological gate </w:t>
            </w:r>
            <w:r>
              <w:t>(FSC/SSC</w:t>
            </w:r>
            <w:r w:rsidRPr="00832636">
              <w:t>) on PBL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396858" w:rsidRDefault="00665FBB" w:rsidP="00C462C2">
            <w:r>
              <w:t>MDSC1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vAlign w:val="center"/>
          </w:tcPr>
          <w:p w:rsidR="00665FBB" w:rsidRDefault="00665FBB" w:rsidP="00C462C2">
            <w:pPr>
              <w:ind w:right="-598"/>
            </w:pPr>
            <w:r>
              <w:t xml:space="preserve">FCM, </w:t>
            </w:r>
            <w:r w:rsidRPr="009A6C2D">
              <w:t>CD14</w:t>
            </w:r>
            <w:r w:rsidRPr="009A6C2D">
              <w:rPr>
                <w:vertAlign w:val="superscript"/>
              </w:rPr>
              <w:t>+</w:t>
            </w:r>
            <w:r w:rsidRPr="009A6C2D">
              <w:t>/CD124</w:t>
            </w:r>
            <w:r w:rsidRPr="009A6C2D">
              <w:rPr>
                <w:vertAlign w:val="superscript"/>
              </w:rPr>
              <w:t>+</w:t>
            </w:r>
            <w:r w:rsidRPr="009A6C2D">
              <w:t xml:space="preserve"> cells </w:t>
            </w:r>
            <w:r>
              <w:t xml:space="preserve">with morphological gate (FSC/SSC) </w:t>
            </w:r>
          </w:p>
          <w:p w:rsidR="00665FBB" w:rsidRPr="009A6C2D" w:rsidRDefault="00665FBB" w:rsidP="00C462C2">
            <w:pPr>
              <w:ind w:right="-598"/>
            </w:pPr>
            <w:r w:rsidRPr="009A6C2D">
              <w:t>on PBMC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396858" w:rsidRDefault="00665FBB" w:rsidP="00C462C2">
            <w:r>
              <w:t>MDSC2</w:t>
            </w:r>
          </w:p>
        </w:tc>
        <w:tc>
          <w:tcPr>
            <w:tcW w:w="842" w:type="dxa"/>
            <w:vAlign w:val="center"/>
          </w:tcPr>
          <w:p w:rsidR="00665FBB" w:rsidRPr="00832636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vAlign w:val="center"/>
          </w:tcPr>
          <w:p w:rsidR="00665FBB" w:rsidRDefault="00665FBB" w:rsidP="00C462C2">
            <w:pPr>
              <w:ind w:right="-598"/>
            </w:pPr>
            <w:r>
              <w:t xml:space="preserve">FCM, </w:t>
            </w:r>
            <w:r w:rsidRPr="00832636">
              <w:t>CD15</w:t>
            </w:r>
            <w:r w:rsidRPr="00832636">
              <w:rPr>
                <w:vertAlign w:val="superscript"/>
              </w:rPr>
              <w:t>+</w:t>
            </w:r>
            <w:r w:rsidRPr="00832636">
              <w:t>/CD124</w:t>
            </w:r>
            <w:r w:rsidRPr="00832636">
              <w:rPr>
                <w:vertAlign w:val="superscript"/>
              </w:rPr>
              <w:t>+</w:t>
            </w:r>
            <w:r w:rsidRPr="00832636">
              <w:t xml:space="preserve"> cells with morphological gate (FSC/SSC) </w:t>
            </w:r>
          </w:p>
          <w:p w:rsidR="00665FBB" w:rsidRPr="009A6C2D" w:rsidRDefault="00665FBB" w:rsidP="00C462C2">
            <w:pPr>
              <w:ind w:right="-598"/>
            </w:pPr>
            <w:r>
              <w:t>on PMN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396858" w:rsidRDefault="00665FBB" w:rsidP="00C462C2">
            <w:r>
              <w:t>MDSC3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pPr>
              <w:ind w:right="-598"/>
            </w:pPr>
            <w:r>
              <w:t xml:space="preserve">FCM, </w:t>
            </w:r>
            <w:r w:rsidRPr="009A6C2D">
              <w:t>Lin</w:t>
            </w:r>
            <w:r w:rsidRPr="009A6C2D">
              <w:rPr>
                <w:vertAlign w:val="superscript"/>
              </w:rPr>
              <w:t>-</w:t>
            </w:r>
            <w:r w:rsidRPr="009A6C2D">
              <w:t>/HLA-DR</w:t>
            </w:r>
            <w:r w:rsidRPr="009A6C2D">
              <w:rPr>
                <w:vertAlign w:val="superscript"/>
              </w:rPr>
              <w:t>-</w:t>
            </w:r>
            <w:r w:rsidRPr="009A6C2D">
              <w:t>/CD11b</w:t>
            </w:r>
            <w:r w:rsidRPr="009A6C2D">
              <w:rPr>
                <w:vertAlign w:val="superscript"/>
              </w:rPr>
              <w:t>+</w:t>
            </w:r>
            <w:r w:rsidRPr="009A6C2D">
              <w:t>/CD33</w:t>
            </w:r>
            <w:r w:rsidRPr="009A6C2D">
              <w:rPr>
                <w:vertAlign w:val="superscript"/>
              </w:rPr>
              <w:t>+</w:t>
            </w:r>
            <w:r w:rsidRPr="009A6C2D">
              <w:t xml:space="preserve"> gated </w:t>
            </w:r>
            <w:r>
              <w:t>on CD15- cells among PBL</w:t>
            </w:r>
            <w:r w:rsidRPr="00832636">
              <w:rPr>
                <w:shd w:val="clear" w:color="auto" w:fill="F4B083" w:themeFill="accent2" w:themeFillTint="99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396858" w:rsidRDefault="00665FBB" w:rsidP="00C462C2">
            <w:r>
              <w:t>MDSC4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1</w:t>
            </w:r>
          </w:p>
        </w:tc>
        <w:tc>
          <w:tcPr>
            <w:tcW w:w="5596" w:type="dxa"/>
            <w:vAlign w:val="center"/>
          </w:tcPr>
          <w:p w:rsidR="00665FBB" w:rsidRDefault="00665FBB" w:rsidP="00C462C2">
            <w:pPr>
              <w:ind w:right="-598"/>
            </w:pPr>
            <w:r>
              <w:t xml:space="preserve">FCM, </w:t>
            </w:r>
            <w:r w:rsidRPr="009A6C2D">
              <w:t>CD14</w:t>
            </w:r>
            <w:r w:rsidRPr="009A6C2D">
              <w:rPr>
                <w:vertAlign w:val="superscript"/>
              </w:rPr>
              <w:t>+</w:t>
            </w:r>
            <w:r w:rsidRPr="009A6C2D">
              <w:t>/HLA-DR</w:t>
            </w:r>
            <w:r w:rsidRPr="009A6C2D">
              <w:rPr>
                <w:vertAlign w:val="superscript"/>
              </w:rPr>
              <w:t>-/low</w:t>
            </w:r>
            <w:r w:rsidRPr="009A6C2D">
              <w:t xml:space="preserve"> </w:t>
            </w:r>
            <w:r>
              <w:t xml:space="preserve">with morphological gate (FSC/SSC) </w:t>
            </w:r>
          </w:p>
          <w:p w:rsidR="00665FBB" w:rsidRPr="009A6C2D" w:rsidRDefault="00665FBB" w:rsidP="00C462C2">
            <w:pPr>
              <w:ind w:right="-598"/>
            </w:pPr>
            <w:r w:rsidRPr="009A6C2D">
              <w:t>on PBMC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9A6C2D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 w:val="18"/>
                <w:szCs w:val="18"/>
                <w:lang w:eastAsia="it-IT"/>
              </w:rPr>
            </w:pPr>
            <w:r w:rsidRPr="00761433">
              <w:rPr>
                <w:rFonts w:eastAsia="Times New Roman" w:cs="Consolas"/>
                <w:color w:val="000000"/>
                <w:szCs w:val="18"/>
                <w:lang w:eastAsia="it-IT"/>
              </w:rPr>
              <w:t>CD14</w:t>
            </w:r>
            <w:r w:rsidRPr="00490096">
              <w:rPr>
                <w:rFonts w:eastAsia="Times New Roman" w:cs="Consolas"/>
                <w:color w:val="000000"/>
                <w:szCs w:val="18"/>
                <w:vertAlign w:val="superscript"/>
                <w:lang w:eastAsia="it-IT"/>
              </w:rPr>
              <w:t>+</w:t>
            </w:r>
            <w:r w:rsidRPr="00761433">
              <w:rPr>
                <w:rFonts w:eastAsia="Times New Roman" w:cs="Consolas"/>
                <w:color w:val="000000"/>
                <w:szCs w:val="18"/>
                <w:lang w:eastAsia="it-IT"/>
              </w:rPr>
              <w:t>/PD-L1</w:t>
            </w:r>
            <w:r w:rsidRPr="00490096">
              <w:rPr>
                <w:rFonts w:eastAsia="Times New Roman" w:cs="Consolas"/>
                <w:color w:val="000000"/>
                <w:szCs w:val="18"/>
                <w:vertAlign w:val="superscript"/>
                <w:lang w:eastAsia="it-IT"/>
              </w:rPr>
              <w:t>+</w:t>
            </w:r>
            <w:r>
              <w:rPr>
                <w:rFonts w:eastAsia="Times New Roman" w:cs="Consolas"/>
                <w:color w:val="000000"/>
                <w:szCs w:val="18"/>
                <w:lang w:eastAsia="it-IT"/>
              </w:rPr>
              <w:t xml:space="preserve"> cells</w:t>
            </w:r>
          </w:p>
        </w:tc>
        <w:tc>
          <w:tcPr>
            <w:tcW w:w="842" w:type="dxa"/>
            <w:vAlign w:val="center"/>
          </w:tcPr>
          <w:p w:rsidR="00665FBB" w:rsidRPr="00F90673" w:rsidRDefault="00665FBB" w:rsidP="00C462C2">
            <w:pPr>
              <w:jc w:val="center"/>
            </w:pPr>
            <w:r>
              <w:t>2</w:t>
            </w:r>
          </w:p>
        </w:tc>
        <w:tc>
          <w:tcPr>
            <w:tcW w:w="5596" w:type="dxa"/>
            <w:vAlign w:val="center"/>
          </w:tcPr>
          <w:p w:rsidR="00665FBB" w:rsidRDefault="00665FBB" w:rsidP="00C462C2">
            <w:pPr>
              <w:ind w:right="-598"/>
            </w:pPr>
            <w:r>
              <w:t>FCM, m</w:t>
            </w:r>
            <w:r w:rsidRPr="00F90673">
              <w:t>orph</w:t>
            </w:r>
            <w:r>
              <w:t>ological gate (FSC/SSC) on PBMC</w:t>
            </w:r>
          </w:p>
          <w:p w:rsidR="00665FBB" w:rsidRPr="009A6C2D" w:rsidRDefault="00665FBB" w:rsidP="00C462C2">
            <w:pPr>
              <w:ind w:right="-598"/>
            </w:pPr>
            <w:r w:rsidRPr="00F90673">
              <w:t>followed by a gate on CD14</w:t>
            </w:r>
            <w:r w:rsidRPr="00F90673">
              <w:rPr>
                <w:vertAlign w:val="superscript"/>
              </w:rPr>
              <w:t>+</w:t>
            </w:r>
            <w:r w:rsidRPr="00F90673">
              <w:t xml:space="preserve"> cells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WB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761433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Cs w:val="18"/>
                <w:lang w:eastAsia="it-IT"/>
              </w:rPr>
            </w:pPr>
            <w:r w:rsidRPr="00761433">
              <w:rPr>
                <w:rFonts w:eastAsia="Times New Roman" w:cs="Consolas"/>
                <w:color w:val="000000"/>
                <w:szCs w:val="18"/>
                <w:lang w:eastAsia="it-IT"/>
              </w:rPr>
              <w:t>p-STAT3 (%)</w:t>
            </w:r>
          </w:p>
        </w:tc>
        <w:tc>
          <w:tcPr>
            <w:tcW w:w="842" w:type="dxa"/>
            <w:vAlign w:val="center"/>
          </w:tcPr>
          <w:p w:rsidR="00665FBB" w:rsidRPr="00F90673" w:rsidRDefault="00665FBB" w:rsidP="00C462C2">
            <w:pPr>
              <w:jc w:val="center"/>
            </w:pPr>
            <w:r>
              <w:t>2</w:t>
            </w:r>
          </w:p>
        </w:tc>
        <w:tc>
          <w:tcPr>
            <w:tcW w:w="5596" w:type="dxa"/>
            <w:vAlign w:val="center"/>
          </w:tcPr>
          <w:p w:rsidR="00665FBB" w:rsidRPr="00983A0E" w:rsidRDefault="00665FBB" w:rsidP="00C462C2">
            <w:pPr>
              <w:ind w:right="-598"/>
            </w:pPr>
            <w:r>
              <w:t>FCM, p</w:t>
            </w:r>
            <w:r w:rsidRPr="00F90673">
              <w:t>ercentage of</w:t>
            </w:r>
            <w:r>
              <w:t xml:space="preserve"> </w:t>
            </w:r>
            <w:r w:rsidRPr="009A6C2D">
              <w:t>p-STAT3</w:t>
            </w:r>
            <w:r w:rsidRPr="009A6C2D">
              <w:rPr>
                <w:vertAlign w:val="superscript"/>
              </w:rPr>
              <w:t>+</w:t>
            </w:r>
            <w:r>
              <w:t xml:space="preserve"> cells among CD14</w:t>
            </w:r>
            <w:r w:rsidRPr="00F90673">
              <w:rPr>
                <w:vertAlign w:val="superscript"/>
              </w:rPr>
              <w:t>+</w:t>
            </w:r>
            <w:r>
              <w:t xml:space="preserve"> cells 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PBMC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761433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Cs w:val="18"/>
                <w:lang w:eastAsia="it-IT"/>
              </w:rPr>
            </w:pPr>
            <w:r w:rsidRPr="00761433">
              <w:rPr>
                <w:rFonts w:eastAsia="Times New Roman" w:cs="Consolas"/>
                <w:color w:val="000000"/>
                <w:szCs w:val="18"/>
                <w:lang w:eastAsia="it-IT"/>
              </w:rPr>
              <w:t>p-STAT3 (geo MFI)</w:t>
            </w:r>
          </w:p>
        </w:tc>
        <w:tc>
          <w:tcPr>
            <w:tcW w:w="842" w:type="dxa"/>
            <w:vAlign w:val="center"/>
          </w:tcPr>
          <w:p w:rsidR="00665FBB" w:rsidRPr="00E81B3F" w:rsidRDefault="00665FBB" w:rsidP="00C462C2">
            <w:pPr>
              <w:jc w:val="center"/>
            </w:pPr>
            <w:r>
              <w:t>2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pPr>
              <w:ind w:right="-598"/>
            </w:pPr>
            <w:r>
              <w:t>FCM, g</w:t>
            </w:r>
            <w:r w:rsidRPr="00E81B3F">
              <w:t xml:space="preserve">eo MFI of p-STAT3 </w:t>
            </w:r>
            <w:r>
              <w:t>in</w:t>
            </w:r>
            <w:r w:rsidRPr="00E81B3F">
              <w:t xml:space="preserve"> CD14</w:t>
            </w:r>
            <w:r w:rsidRPr="00E81B3F">
              <w:rPr>
                <w:vertAlign w:val="superscript"/>
              </w:rPr>
              <w:t xml:space="preserve">+ </w:t>
            </w:r>
            <w:r w:rsidRPr="00E81B3F">
              <w:t>cells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>
              <w:t>PBMC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E82DC6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Cs w:val="18"/>
                <w:lang w:eastAsia="it-IT"/>
              </w:rPr>
            </w:pPr>
            <w:r w:rsidRPr="00E82DC6">
              <w:rPr>
                <w:rFonts w:cs="Calibri"/>
                <w:color w:val="000000"/>
                <w:szCs w:val="18"/>
              </w:rPr>
              <w:t>ARG1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3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pPr>
              <w:ind w:right="-598"/>
            </w:pPr>
            <w:r w:rsidRPr="009A6C2D">
              <w:t>ELISA assay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 w:rsidRPr="00AB089C">
              <w:t>Plasma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E82DC6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Cs w:val="18"/>
                <w:lang w:eastAsia="it-IT"/>
              </w:rPr>
            </w:pPr>
            <w:r w:rsidRPr="00E82DC6">
              <w:rPr>
                <w:rFonts w:cs="Calibri"/>
                <w:color w:val="000000"/>
                <w:szCs w:val="18"/>
              </w:rPr>
              <w:t>U</w:t>
            </w:r>
            <w:r>
              <w:rPr>
                <w:rFonts w:cs="Calibri"/>
                <w:color w:val="000000"/>
                <w:szCs w:val="18"/>
              </w:rPr>
              <w:t>rea p</w:t>
            </w:r>
            <w:r w:rsidRPr="00E82DC6">
              <w:rPr>
                <w:rFonts w:cs="Calibri"/>
                <w:color w:val="000000"/>
                <w:szCs w:val="18"/>
              </w:rPr>
              <w:t>H.7.2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3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pPr>
              <w:ind w:right="-598"/>
            </w:pPr>
            <w:r w:rsidRPr="009A6C2D">
              <w:t>ARG1 activity based on urea determination at pH 7.2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 w:rsidRPr="00AB089C">
              <w:t>Plasma</w:t>
            </w:r>
          </w:p>
        </w:tc>
      </w:tr>
      <w:tr w:rsidR="00665FBB" w:rsidTr="00C462C2">
        <w:trPr>
          <w:trHeight w:val="489"/>
        </w:trPr>
        <w:tc>
          <w:tcPr>
            <w:tcW w:w="1921" w:type="dxa"/>
            <w:vAlign w:val="center"/>
          </w:tcPr>
          <w:p w:rsidR="00665FBB" w:rsidRPr="00E82DC6" w:rsidRDefault="00665FBB" w:rsidP="00C462C2">
            <w:pPr>
              <w:spacing w:line="240" w:lineRule="atLeast"/>
              <w:rPr>
                <w:rFonts w:eastAsia="Times New Roman" w:cs="Consolas"/>
                <w:color w:val="000000"/>
                <w:szCs w:val="18"/>
                <w:lang w:eastAsia="it-IT"/>
              </w:rPr>
            </w:pPr>
            <w:r>
              <w:rPr>
                <w:rFonts w:eastAsia="Times New Roman" w:cs="Consolas"/>
                <w:color w:val="000000"/>
                <w:szCs w:val="18"/>
                <w:lang w:eastAsia="it-IT"/>
              </w:rPr>
              <w:t>Urea</w:t>
            </w:r>
            <w:r w:rsidRPr="00E82DC6">
              <w:rPr>
                <w:rFonts w:eastAsia="Times New Roman" w:cs="Consolas"/>
                <w:color w:val="000000"/>
                <w:szCs w:val="18"/>
                <w:lang w:eastAsia="it-IT"/>
              </w:rPr>
              <w:t xml:space="preserve"> pH 9.5</w:t>
            </w:r>
          </w:p>
        </w:tc>
        <w:tc>
          <w:tcPr>
            <w:tcW w:w="842" w:type="dxa"/>
            <w:vAlign w:val="center"/>
          </w:tcPr>
          <w:p w:rsidR="00665FBB" w:rsidRPr="009A6C2D" w:rsidRDefault="00665FBB" w:rsidP="00C462C2">
            <w:pPr>
              <w:jc w:val="center"/>
            </w:pPr>
            <w:r>
              <w:t>3</w:t>
            </w:r>
          </w:p>
        </w:tc>
        <w:tc>
          <w:tcPr>
            <w:tcW w:w="5596" w:type="dxa"/>
            <w:vAlign w:val="center"/>
          </w:tcPr>
          <w:p w:rsidR="00665FBB" w:rsidRPr="009A6C2D" w:rsidRDefault="00665FBB" w:rsidP="00C462C2">
            <w:r w:rsidRPr="009A6C2D">
              <w:t>ARG1 activity based on urea determination at pH 9.5</w:t>
            </w:r>
          </w:p>
        </w:tc>
        <w:tc>
          <w:tcPr>
            <w:tcW w:w="1134" w:type="dxa"/>
            <w:vAlign w:val="center"/>
          </w:tcPr>
          <w:p w:rsidR="00665FBB" w:rsidRDefault="00665FBB" w:rsidP="00C462C2">
            <w:pPr>
              <w:jc w:val="center"/>
            </w:pPr>
            <w:r w:rsidRPr="00AB089C">
              <w:t>Plasma</w:t>
            </w:r>
          </w:p>
        </w:tc>
      </w:tr>
    </w:tbl>
    <w:p w:rsidR="00665FBB" w:rsidRDefault="00665FBB" w:rsidP="00665FBB"/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Default="00665FBB" w:rsidP="00665FBB">
      <w:pPr>
        <w:rPr>
          <w:b/>
        </w:rPr>
      </w:pPr>
    </w:p>
    <w:p w:rsidR="00665FBB" w:rsidRPr="008E0C40" w:rsidRDefault="00665FBB" w:rsidP="00665FBB">
      <w:pPr>
        <w:rPr>
          <w:sz w:val="24"/>
        </w:rPr>
      </w:pPr>
      <w:r w:rsidRPr="008E0C40">
        <w:rPr>
          <w:b/>
          <w:sz w:val="24"/>
        </w:rPr>
        <w:t>Table S2.</w:t>
      </w:r>
      <w:r w:rsidRPr="008E0C40">
        <w:rPr>
          <w:sz w:val="24"/>
        </w:rPr>
        <w:t xml:space="preserve"> Factors for glioma risk (</w:t>
      </w:r>
      <w:bookmarkStart w:id="0" w:name="_Hlk75449854"/>
      <w:r w:rsidRPr="008E0C40">
        <w:rPr>
          <w:sz w:val="24"/>
        </w:rPr>
        <w:t>univariate analysis with logistic regression model</w:t>
      </w:r>
      <w:bookmarkEnd w:id="0"/>
      <w:r w:rsidRPr="008E0C40">
        <w:rPr>
          <w:sz w:val="24"/>
        </w:rPr>
        <w:t>).</w:t>
      </w:r>
    </w:p>
    <w:tbl>
      <w:tblPr>
        <w:tblStyle w:val="TableGrid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38"/>
        <w:gridCol w:w="780"/>
        <w:gridCol w:w="1037"/>
        <w:gridCol w:w="2054"/>
        <w:gridCol w:w="1079"/>
      </w:tblGrid>
      <w:tr w:rsidR="00665FBB" w:rsidRPr="00BB60AA" w:rsidTr="00C462C2">
        <w:tc>
          <w:tcPr>
            <w:tcW w:w="2238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37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E/N</w:t>
            </w:r>
          </w:p>
        </w:tc>
        <w:tc>
          <w:tcPr>
            <w:tcW w:w="2054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OR (95%CI)</w:t>
            </w:r>
          </w:p>
        </w:tc>
        <w:tc>
          <w:tcPr>
            <w:tcW w:w="1079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p-value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1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37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2C2FE7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15/38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89/102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10.5 (4.4─25.1)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CD15</w:t>
            </w:r>
            <w:r w:rsidRPr="002C2FE7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16/39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88/101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9.7 (4.1─23.1)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MDSC1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12/40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92/100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26.8 (10.0─72.2)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MDSC2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13/39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91/101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18.2 (7.2─46.2)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MDSC3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89/105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15/35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0.1 (0.1─0.3)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MDSC4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13/36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91/104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12.4 (5.1─30.3)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2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37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FF6B3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vertAlign w:val="superscript"/>
                <w:lang w:eastAsia="it-IT"/>
              </w:rPr>
            </w:pPr>
            <w:r w:rsidRPr="00DC06C2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DC06C2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/</w:t>
            </w:r>
            <w:r w:rsidRPr="00A57294">
              <w:rPr>
                <w:rFonts w:eastAsia="Times New Roman" w:cstheme="minorHAnsi"/>
                <w:sz w:val="20"/>
                <w:szCs w:val="20"/>
                <w:lang w:eastAsia="it-IT"/>
              </w:rPr>
              <w:t>PD-L1</w:t>
            </w:r>
            <w:r w:rsidRPr="00A57294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15/21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48/65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1.1 (0.4─3.3)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0.83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-STAT3 (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geo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MFI)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13/31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50/55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13.8 (4.3─44.3)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p-STAT3 (%)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19/23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44/63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0.5 (0.1─1.6)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0.24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3</w:t>
            </w:r>
          </w:p>
        </w:tc>
        <w:tc>
          <w:tcPr>
            <w:tcW w:w="780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37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05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  <w:r w:rsidRPr="000730EF">
              <w:rPr>
                <w:rFonts w:eastAsia="Times New Roman" w:cstheme="minorHAnsi"/>
                <w:sz w:val="20"/>
                <w:szCs w:val="20"/>
                <w:lang w:eastAsia="it-IT"/>
              </w:rPr>
              <w:t>ARG1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19/20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45/62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0.14 (0.02─1.12)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0.064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7.1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4/21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60/61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255 (26.71─2434)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238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9.5</w:t>
            </w:r>
          </w:p>
        </w:tc>
        <w:tc>
          <w:tcPr>
            <w:tcW w:w="780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1037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10/19</w:t>
            </w:r>
          </w:p>
        </w:tc>
        <w:tc>
          <w:tcPr>
            <w:tcW w:w="205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079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238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780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1037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54/63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5.4 (1.72─16.95)</w:t>
            </w:r>
          </w:p>
        </w:tc>
        <w:tc>
          <w:tcPr>
            <w:tcW w:w="1079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0.004</w:t>
            </w:r>
          </w:p>
        </w:tc>
      </w:tr>
    </w:tbl>
    <w:p w:rsidR="00665FBB" w:rsidRDefault="00665FBB" w:rsidP="00665FBB">
      <w:r w:rsidRPr="00812577">
        <w:t>OR, odds ratio; 95%CI, 95% confidence interval; E, number of glioma patients; N, total number of subjects</w:t>
      </w:r>
      <w:r>
        <w:t>.</w:t>
      </w:r>
    </w:p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Pr="008E0C40" w:rsidRDefault="00665FBB" w:rsidP="00665FBB">
      <w:pPr>
        <w:rPr>
          <w:sz w:val="24"/>
        </w:rPr>
      </w:pPr>
      <w:r w:rsidRPr="008E0C40">
        <w:rPr>
          <w:b/>
          <w:sz w:val="24"/>
        </w:rPr>
        <w:t>Table S3.</w:t>
      </w:r>
      <w:r w:rsidRPr="008E0C40">
        <w:rPr>
          <w:sz w:val="24"/>
        </w:rPr>
        <w:t xml:space="preserve"> Factors for glioma grade risk (univariate analysis with multinomial logistic regression model).</w:t>
      </w:r>
    </w:p>
    <w:tbl>
      <w:tblPr>
        <w:tblStyle w:val="TableGrid"/>
        <w:tblW w:w="914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71"/>
        <w:gridCol w:w="644"/>
        <w:gridCol w:w="2293"/>
        <w:gridCol w:w="2237"/>
        <w:gridCol w:w="2102"/>
      </w:tblGrid>
      <w:tr w:rsidR="00665FBB" w:rsidRPr="00BB60AA" w:rsidTr="00C462C2">
        <w:tc>
          <w:tcPr>
            <w:tcW w:w="1871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293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OR (95% CI)</w:t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OR (95% CI)</w:t>
            </w:r>
          </w:p>
        </w:tc>
        <w:tc>
          <w:tcPr>
            <w:tcW w:w="2102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cstheme="minorHAnsi"/>
                <w:sz w:val="20"/>
                <w:szCs w:val="20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OR (95% CI)</w:t>
            </w:r>
          </w:p>
        </w:tc>
      </w:tr>
      <w:tr w:rsidR="00665FBB" w:rsidRPr="00663473" w:rsidTr="00C462C2">
        <w:tc>
          <w:tcPr>
            <w:tcW w:w="1871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293" w:type="dxa"/>
            <w:tcBorders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GBM</w:t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665FBB" w:rsidRPr="00663473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663473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GII</w:t>
            </w:r>
          </w:p>
        </w:tc>
        <w:tc>
          <w:tcPr>
            <w:tcW w:w="2102" w:type="dxa"/>
            <w:tcBorders>
              <w:left w:val="nil"/>
              <w:right w:val="nil"/>
            </w:tcBorders>
          </w:tcPr>
          <w:p w:rsidR="00665FBB" w:rsidRPr="00663473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663473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GIII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1</w:t>
            </w:r>
          </w:p>
        </w:tc>
        <w:tc>
          <w:tcPr>
            <w:tcW w:w="64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293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2237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102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Cont.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1.02 (0.99─1.05)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0.91 (0.87─0.96)***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0.95 (0.91─1.0)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663473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C95DE4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C95DE4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C95DE4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17.19 (6.12─48.3)***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3.24 (0.97─10.82)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8.85 (1.68─46.69)*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CD15</w:t>
            </w:r>
            <w:r w:rsidRPr="00663473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541F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541F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541F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31.4 (9.32─105.88)***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2.53 (0.78─8.24)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2.48 (0.65─9.4)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MDSC1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45F7F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45F7F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45F7F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34.0 (11.25─102.73)***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16.33 (3.74─71.31)***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17.5 (3.17─96.7)**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MDSC2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25.26 (8.69─73.37)***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19.5 (3.76─101.1)***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5.2 (1.28─21.18)*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MDSC3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9263D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9263D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9263D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0.1 (0.04─0.26)***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0.17 (0.04─0.7)*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0.4 (0.1─1.57)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MDSC4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35AB2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35AB2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35AB2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20.35 (6.94─59.69)***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13.27 (2.61─67.37)**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2.48 (0.65─9.4)</w:t>
            </w:r>
          </w:p>
        </w:tc>
      </w:tr>
      <w:tr w:rsidR="00665FBB" w:rsidRPr="00BB60AA" w:rsidTr="00C462C2">
        <w:trPr>
          <w:trHeight w:val="70"/>
        </w:trPr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2</w:t>
            </w:r>
          </w:p>
        </w:tc>
        <w:tc>
          <w:tcPr>
            <w:tcW w:w="64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293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237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102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Cont.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1.07 (1.02─1.12)**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0.91 (0.84─0.98)*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0.98 (0.91─1.06)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E90AD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663473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/</w:t>
            </w:r>
            <w:r w:rsidRPr="00A57294">
              <w:rPr>
                <w:rFonts w:eastAsia="Times New Roman" w:cstheme="minorHAnsi"/>
                <w:sz w:val="20"/>
                <w:szCs w:val="20"/>
                <w:lang w:eastAsia="it-IT"/>
              </w:rPr>
              <w:t>PD-L1</w:t>
            </w:r>
            <w:r w:rsidRPr="00A57294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5387B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5387B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25387B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505B5D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1.22 (0.39─3.84)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0.59 (0.11─3.24)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1.76 (0.17─18.32)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-STAT3 (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geo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MFI)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6613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6613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6613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rPr>
          <w:trHeight w:val="332"/>
        </w:trPr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12.4 (3.76─41.15)***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25.2 (2.48─255.9)**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18.0 (1.69─191.5)*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505B5D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p-STAT3 (%)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659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659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659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505B5D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0.53 (0.15─1.83)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0.35 (0.06─2.11)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0.42 (0.06─3.15)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3</w:t>
            </w:r>
          </w:p>
        </w:tc>
        <w:tc>
          <w:tcPr>
            <w:tcW w:w="644" w:type="dxa"/>
            <w:tcBorders>
              <w:left w:val="nil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293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237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2102" w:type="dxa"/>
            <w:tcBorders>
              <w:left w:val="nil"/>
              <w:right w:val="nil"/>
            </w:tcBorders>
            <w:shd w:val="clear" w:color="auto" w:fill="auto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Cont.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1.06 (1.02─1.11)**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0.95 (0.9─1.01)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1.0 (0.95─1.06)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ARG1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94C3C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94C3C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94C3C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0.15 (0.02─1.26)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0.24 (0.02─2.54)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0.06 (0.01─0.63)*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7.1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729D7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729D7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E729D7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645.7 (38.1─10939)***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238.2 (13.62─4164)***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67.99 (5.35─864.8)**</w:t>
            </w:r>
          </w:p>
        </w:tc>
      </w:tr>
      <w:tr w:rsidR="00665FBB" w:rsidRPr="00BB60AA" w:rsidTr="00C462C2">
        <w:tc>
          <w:tcPr>
            <w:tcW w:w="1871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9.5</w:t>
            </w:r>
          </w:p>
        </w:tc>
        <w:tc>
          <w:tcPr>
            <w:tcW w:w="644" w:type="dxa"/>
            <w:tcBorders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2293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77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237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77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01778"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</w:tr>
      <w:tr w:rsidR="00665FBB" w:rsidRPr="00BB60AA" w:rsidTr="00C462C2">
        <w:tc>
          <w:tcPr>
            <w:tcW w:w="1871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644" w:type="dxa"/>
            <w:tcBorders>
              <w:top w:val="nil"/>
              <w:left w:val="nil"/>
              <w:right w:val="nil"/>
            </w:tcBorders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2293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8.75 (2.19─35.02)**</w:t>
            </w:r>
          </w:p>
        </w:tc>
        <w:tc>
          <w:tcPr>
            <w:tcW w:w="2237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2.75 (0.63─11.97)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vAlign w:val="bottom"/>
          </w:tcPr>
          <w:p w:rsidR="00665FBB" w:rsidRPr="00A05CE8" w:rsidRDefault="00665FBB" w:rsidP="00C462C2">
            <w:pPr>
              <w:spacing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A05CE8">
              <w:rPr>
                <w:rFonts w:eastAsia="Times New Roman" w:cstheme="minorHAnsi"/>
                <w:sz w:val="20"/>
                <w:szCs w:val="20"/>
                <w:lang w:eastAsia="it-IT"/>
              </w:rPr>
              <w:t>4 (0.66─24.3)</w:t>
            </w:r>
          </w:p>
        </w:tc>
      </w:tr>
    </w:tbl>
    <w:p w:rsidR="00665FBB" w:rsidRPr="00812577" w:rsidRDefault="00665FBB" w:rsidP="00665FBB">
      <w:r w:rsidRPr="00812577">
        <w:t>OR, odds ratio; 95%CI, 95% confidence interval. Signiﬁcance levels: &lt;0.001: ***; &lt;0.01: **; &lt;0.05: *</w:t>
      </w:r>
    </w:p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Default="00665FBB" w:rsidP="00665FBB"/>
    <w:p w:rsidR="00665FBB" w:rsidRPr="008E0C40" w:rsidRDefault="00665FBB" w:rsidP="00665FBB">
      <w:pPr>
        <w:rPr>
          <w:sz w:val="24"/>
        </w:rPr>
      </w:pPr>
      <w:r w:rsidRPr="008E0C40">
        <w:rPr>
          <w:b/>
          <w:sz w:val="24"/>
        </w:rPr>
        <w:t>Table S4.</w:t>
      </w:r>
      <w:r w:rsidRPr="008E0C40">
        <w:rPr>
          <w:sz w:val="24"/>
        </w:rPr>
        <w:t xml:space="preserve"> Factors for glioblastoma patients’ survival (univariate analysis with Cox proportional hazards model).</w:t>
      </w:r>
    </w:p>
    <w:tbl>
      <w:tblPr>
        <w:tblW w:w="9531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63"/>
        <w:gridCol w:w="890"/>
        <w:gridCol w:w="781"/>
        <w:gridCol w:w="1881"/>
        <w:gridCol w:w="2176"/>
        <w:gridCol w:w="1140"/>
      </w:tblGrid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  <w:t>E/N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  <w:t>median (95% CI)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  <w:t>HR (95% CI)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  <w:t>p</w:t>
            </w:r>
            <w:r w:rsidRPr="00BB60AA"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  <w:t>-value</w:t>
            </w: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Cont.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56/67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12.6 (10.6,17.7)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1.02 (1,1.04)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0.128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Sex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F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18/21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12 (5.75,17.7)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M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38</w:t>
            </w: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/46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14.4 (8.34,20.0)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0.86 (0.49,1.51)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0.598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ECOG P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0-1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32/41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18.33 (13.96,22.1)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2-3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24/26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5.96 (4.24,10.6)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2.9 (1.68,5)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Surgery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Other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47/53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11.2 (6.37,14.4)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Radical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9/14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25.9 (11.99,NE)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0.32 (0.15,0.67)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0.002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Stupp’s regimen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13/13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5.59 (2.27,11.3)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43/54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16.03 (11.47,20.4)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0.25 (0.13,0.49)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 xml:space="preserve">MGMT promoter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28/30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11.3 (6.47,13.0)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methylation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28/37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18.0 (10.78,22.8)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0.52 (0.3,0.89)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0.016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505B5D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33/37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10.6 (6.18, 16)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23/30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 (12.22, 28.5)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0.59 (0.34,1)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0.051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CD15</w:t>
            </w:r>
            <w:r w:rsidRPr="00505B5D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29/35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10.6 (5.88, 17.7)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27/32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14 (11.27, 20.4)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0.89 (0.52,1.5)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0.651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26/30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12.4 (8.34, 20)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30/37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 (6.47, 18.2)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1.06 (0.63,1.8)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0.828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MDSC2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15/21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20 (11.27, 31)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41/46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11.4 (7.23, 16)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2.03 (1.11,3.7)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0.021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MDSC3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23/27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11.3 (5.72, 17.6)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33/40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16.4 (10.81, 20)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0.65 (0.38,1.13)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0.126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MDSC4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43/49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11.7 (7.23, 16.7)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13/18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17.6 (11.24, NA)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0.66 (0.35,1.23)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0.19</w:t>
            </w: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Cont.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32/45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13.04 (7.7,19.9)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1.04 (1,1.08)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0.039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Sex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F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14/18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11.1 (4.5,19.9)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M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18/27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15.2 (5.7,28.5)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0.68 (0.33,1.4)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0.291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ECOG PS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0-1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14/25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21.6 (15.2,NE)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2-3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18/20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5.7 (2.9,8.7)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3.79 (1.82,7.88)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Surgery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Other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31/39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10.6 (5.9,16.0)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Radical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1/6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0.13 (0.02,0.97)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0.046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Stupp’s regimen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8/9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2.7 (1.8,8.2)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24/36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15.5 (9.2,22.8)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0.24 (0.11,0.55)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&lt; 0.001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 xml:space="preserve">MGMT promoter 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16/18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8.5 (3.1,13.0)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65FBB" w:rsidRPr="00505B5D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val="it-IT" w:eastAsia="it-IT"/>
              </w:rPr>
              <w:lastRenderedPageBreak/>
              <w:t>methylation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16/27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21.6 (6.2,NE)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0.33 (0.16,0.71)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0.005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505B5D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CD14</w:t>
            </w:r>
            <w:r w:rsidRPr="00505B5D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  <w:r w:rsidRPr="004511B2">
              <w:rPr>
                <w:rFonts w:eastAsia="Times New Roman" w:cstheme="minorHAnsi"/>
                <w:sz w:val="20"/>
                <w:szCs w:val="20"/>
                <w:lang w:eastAsia="it-IT"/>
              </w:rPr>
              <w:t>/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PD-L1</w:t>
            </w:r>
            <w:r w:rsidRPr="004511B2">
              <w:rPr>
                <w:rFonts w:eastAsia="Times New Roman" w:cstheme="minorHAnsi"/>
                <w:sz w:val="20"/>
                <w:szCs w:val="20"/>
                <w:vertAlign w:val="superscript"/>
                <w:lang w:eastAsia="it-IT"/>
              </w:rPr>
              <w:t>+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19/24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9.1 (5.7, 15.2)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13/21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21.6 (4.5, NE)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0.52 (0.25,1.08)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0.078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-STAT3 (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geo</w:t>
            </w: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MFI)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22/30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15.4 (8.7, 21.6)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10/15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6.2 (2.7, NE)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1.16 (0.54,2.48)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0.698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p-STAT3 (%)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11/17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16.7 (5.9, NE)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21/28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8.9 (4.2, 14)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1.68 (0.8,3.5)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0.168</w:t>
            </w: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  <w:r w:rsidRPr="00BB60AA">
              <w:rPr>
                <w:rFonts w:cstheme="minorHAnsi"/>
                <w:b/>
                <w:sz w:val="20"/>
                <w:szCs w:val="20"/>
              </w:rPr>
              <w:t>Cohort 3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2176" w:type="dxa"/>
            <w:tcBorders>
              <w:bottom w:val="single" w:sz="4" w:space="0" w:color="auto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b/>
                <w:sz w:val="20"/>
                <w:szCs w:val="20"/>
                <w:lang w:val="it-IT"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Age 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Cont.</w:t>
            </w:r>
          </w:p>
        </w:tc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23/32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12.52 (6.47-31.34)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1.03 (0.99,1.06)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0.12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Sex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F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6/10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23.03 (0.62-NE)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M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17/22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9.46 (6.37-28.5)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1.49 (0.58,3.83)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0.403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ECOG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PS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0-1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11/18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28.48 (7.75-NE)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2-3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12/14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8.23 (2.27-13)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2.69 (1.16,6.23)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0.021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Surgery 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Other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21/27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8.34 (5.88-22.8)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Radical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2/5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0.26 (0.06,1.13)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0.072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Stupp’s regimen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5/5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2.27 (0.62-NE)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18/27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19.98 (8.21-33)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0.1 (0.03,0.31)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&lt;0.001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 xml:space="preserve">MGMT promoter 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No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12/14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8.23 (2.63-31.3)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FBB" w:rsidRPr="00BB60AA" w:rsidRDefault="00665FBB" w:rsidP="00C462C2">
            <w:pPr>
              <w:spacing w:after="0" w:line="240" w:lineRule="atLeast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methylation</w:t>
            </w:r>
          </w:p>
        </w:tc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Yes</w:t>
            </w:r>
          </w:p>
        </w:tc>
        <w:tc>
          <w:tcPr>
            <w:tcW w:w="781" w:type="dxa"/>
            <w:tcBorders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11/18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21.39 (5.88-NE)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0.54 (0.23,1.22)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0.138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A05CE8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highlight w:val="yellow"/>
                <w:lang w:eastAsia="it-IT"/>
              </w:rPr>
            </w:pPr>
            <w:r w:rsidRPr="00505B5D">
              <w:rPr>
                <w:rFonts w:eastAsia="Times New Roman" w:cstheme="minorHAnsi"/>
                <w:sz w:val="20"/>
                <w:szCs w:val="20"/>
                <w:lang w:eastAsia="it-IT"/>
              </w:rPr>
              <w:t>ARG1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14/17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8.34 (4.93-28.5)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9/15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val="it-IT" w:eastAsia="it-IT"/>
              </w:rPr>
              <w:t>22.80 (5.72-NE)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0.52 (0.22,1.22)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0.132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7.1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6/8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8.23 (0.62-NE)</w:t>
            </w: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17/24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18.0 (7.75-33)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0.64 (0.25,1.62)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0.344</w:t>
            </w:r>
          </w:p>
        </w:tc>
      </w:tr>
      <w:tr w:rsidR="00665FBB" w:rsidRPr="00BB60AA" w:rsidTr="00C462C2">
        <w:tc>
          <w:tcPr>
            <w:tcW w:w="266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sz w:val="20"/>
                <w:szCs w:val="20"/>
                <w:lang w:eastAsia="it-IT"/>
              </w:rPr>
              <w:t>Urea pH 9.5</w:t>
            </w:r>
          </w:p>
        </w:tc>
        <w:tc>
          <w:tcPr>
            <w:tcW w:w="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Low</w:t>
            </w:r>
          </w:p>
        </w:tc>
        <w:tc>
          <w:tcPr>
            <w:tcW w:w="781" w:type="dxa"/>
            <w:tcBorders>
              <w:top w:val="single" w:sz="4" w:space="0" w:color="auto"/>
              <w:bottom w:val="nil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7/16</w:t>
            </w:r>
          </w:p>
        </w:tc>
        <w:tc>
          <w:tcPr>
            <w:tcW w:w="18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2176" w:type="dxa"/>
            <w:tcBorders>
              <w:top w:val="single" w:sz="4" w:space="0" w:color="auto"/>
              <w:bottom w:val="nil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Ref</w:t>
            </w:r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</w:p>
        </w:tc>
      </w:tr>
      <w:tr w:rsidR="00665FBB" w:rsidRPr="00BB60AA" w:rsidTr="00C462C2">
        <w:tc>
          <w:tcPr>
            <w:tcW w:w="26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:rsidR="00665FBB" w:rsidRPr="00BB60AA" w:rsidRDefault="00665FBB" w:rsidP="00C462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tLeast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</w:tc>
        <w:tc>
          <w:tcPr>
            <w:tcW w:w="8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5FBB" w:rsidRPr="00BB60AA" w:rsidRDefault="00665FBB" w:rsidP="00C462C2">
            <w:pPr>
              <w:spacing w:after="0" w:line="240" w:lineRule="atLeast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High</w:t>
            </w:r>
          </w:p>
        </w:tc>
        <w:tc>
          <w:tcPr>
            <w:tcW w:w="781" w:type="dxa"/>
            <w:tcBorders>
              <w:top w:val="nil"/>
              <w:bottom w:val="single" w:sz="4" w:space="0" w:color="auto"/>
            </w:tcBorders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16/16</w:t>
            </w:r>
          </w:p>
        </w:tc>
        <w:tc>
          <w:tcPr>
            <w:tcW w:w="18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val="it-IT" w:eastAsia="it-IT"/>
              </w:rPr>
              <w:t>7.98 (5.72-13)</w:t>
            </w:r>
          </w:p>
        </w:tc>
        <w:tc>
          <w:tcPr>
            <w:tcW w:w="2176" w:type="dxa"/>
            <w:tcBorders>
              <w:top w:val="nil"/>
              <w:bottom w:val="single" w:sz="4" w:space="0" w:color="auto"/>
            </w:tcBorders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4.52 (1.78,11.47)</w:t>
            </w:r>
          </w:p>
        </w:tc>
        <w:tc>
          <w:tcPr>
            <w:tcW w:w="11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65FBB" w:rsidRPr="00BB60AA" w:rsidRDefault="00665FBB" w:rsidP="00C462C2">
            <w:pPr>
              <w:spacing w:after="0" w:line="240" w:lineRule="atLeast"/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</w:pPr>
            <w:r w:rsidRPr="00BB60AA">
              <w:rPr>
                <w:rFonts w:eastAsia="Times New Roman" w:cstheme="minorHAnsi"/>
                <w:i/>
                <w:color w:val="000000"/>
                <w:sz w:val="20"/>
                <w:szCs w:val="20"/>
                <w:lang w:eastAsia="it-IT"/>
              </w:rPr>
              <w:t>0.002</w:t>
            </w:r>
          </w:p>
        </w:tc>
      </w:tr>
    </w:tbl>
    <w:p w:rsidR="00665FBB" w:rsidRDefault="00665FBB" w:rsidP="00665FBB">
      <w:r w:rsidRPr="00812577">
        <w:t>HR, hazard ratio; 95%CI, 95% confidence interval; E, number of deaths; N, total number of glioblastoma patients; NE, not estimable.</w:t>
      </w: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</w:p>
    <w:p w:rsidR="00665FBB" w:rsidRPr="00A954A7" w:rsidRDefault="00665FBB" w:rsidP="00665FBB">
      <w:pPr>
        <w:spacing w:line="480" w:lineRule="auto"/>
        <w:rPr>
          <w:rFonts w:ascii="Times New Roman" w:eastAsia="Cambria" w:hAnsi="Times New Roman" w:cs="Times New Roman"/>
          <w:sz w:val="24"/>
          <w:szCs w:val="24"/>
        </w:rPr>
      </w:pPr>
      <w:r w:rsidRPr="008D565B">
        <w:rPr>
          <w:rFonts w:ascii="Times New Roman" w:eastAsia="Cambria" w:hAnsi="Times New Roman" w:cs="Times New Roman"/>
          <w:b/>
          <w:sz w:val="24"/>
          <w:szCs w:val="24"/>
        </w:rPr>
        <w:t>Table S5</w:t>
      </w:r>
      <w:r>
        <w:rPr>
          <w:rFonts w:ascii="Times New Roman" w:eastAsia="Cambria" w:hAnsi="Times New Roman" w:cs="Times New Roman"/>
          <w:b/>
          <w:sz w:val="24"/>
          <w:szCs w:val="24"/>
        </w:rPr>
        <w:t>.</w:t>
      </w:r>
      <w:r w:rsidRPr="00A954A7">
        <w:rPr>
          <w:rFonts w:ascii="Times New Roman" w:eastAsia="Cambria" w:hAnsi="Times New Roman" w:cs="Times New Roman"/>
          <w:sz w:val="24"/>
          <w:szCs w:val="24"/>
        </w:rPr>
        <w:t xml:space="preserve"> Characteristics of GBM patients considered in survival analys</w:t>
      </w:r>
      <w:r>
        <w:rPr>
          <w:rFonts w:ascii="Times New Roman" w:eastAsia="Cambria" w:hAnsi="Times New Roman" w:cs="Times New Roman"/>
          <w:sz w:val="24"/>
          <w:szCs w:val="24"/>
        </w:rPr>
        <w:t>i</w:t>
      </w:r>
      <w:r w:rsidRPr="00A954A7">
        <w:rPr>
          <w:rFonts w:ascii="Times New Roman" w:eastAsia="Cambria" w:hAnsi="Times New Roman" w:cs="Times New Roman"/>
          <w:sz w:val="24"/>
          <w:szCs w:val="24"/>
        </w:rPr>
        <w:t>s</w:t>
      </w:r>
    </w:p>
    <w:tbl>
      <w:tblPr>
        <w:tblW w:w="9104" w:type="dxa"/>
        <w:tblLook w:val="04A0" w:firstRow="1" w:lastRow="0" w:firstColumn="1" w:lastColumn="0" w:noHBand="0" w:noVBand="1"/>
      </w:tblPr>
      <w:tblGrid>
        <w:gridCol w:w="2127"/>
        <w:gridCol w:w="289"/>
        <w:gridCol w:w="2621"/>
        <w:gridCol w:w="577"/>
        <w:gridCol w:w="1163"/>
        <w:gridCol w:w="1163"/>
        <w:gridCol w:w="1164"/>
      </w:tblGrid>
      <w:tr w:rsidR="00665FBB" w:rsidRPr="00217209" w:rsidTr="00C462C2">
        <w:tc>
          <w:tcPr>
            <w:tcW w:w="2127" w:type="dxa"/>
          </w:tcPr>
          <w:p w:rsidR="00665FBB" w:rsidRPr="00217209" w:rsidRDefault="00665FBB" w:rsidP="00C462C2">
            <w:pPr>
              <w:spacing w:after="0"/>
              <w:rPr>
                <w:b/>
              </w:rPr>
            </w:pPr>
          </w:p>
        </w:tc>
        <w:tc>
          <w:tcPr>
            <w:tcW w:w="289" w:type="dxa"/>
          </w:tcPr>
          <w:p w:rsidR="00665FBB" w:rsidRPr="00217209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217209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217209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3" w:type="dxa"/>
          </w:tcPr>
          <w:p w:rsidR="00665FBB" w:rsidRPr="00217209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3" w:type="dxa"/>
          </w:tcPr>
          <w:p w:rsidR="00665FBB" w:rsidRPr="00217209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4" w:type="dxa"/>
          </w:tcPr>
          <w:p w:rsidR="00665FBB" w:rsidRPr="00217209" w:rsidRDefault="00665FBB" w:rsidP="00C462C2">
            <w:pPr>
              <w:spacing w:after="0"/>
              <w:jc w:val="center"/>
              <w:rPr>
                <w:b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6688" w:type="dxa"/>
            <w:gridSpan w:val="5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  <w:r w:rsidRPr="0002571B">
              <w:rPr>
                <w:b/>
              </w:rPr>
              <w:t>Participant characteristics</w:t>
            </w:r>
          </w:p>
        </w:tc>
      </w:tr>
      <w:tr w:rsidR="00665FBB" w:rsidRPr="00032D63" w:rsidTr="00C462C2">
        <w:tc>
          <w:tcPr>
            <w:tcW w:w="2127" w:type="dxa"/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right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right w:val="single" w:sz="4" w:space="0" w:color="000000" w:themeColor="text1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Tr="00C462C2">
        <w:tc>
          <w:tcPr>
            <w:tcW w:w="2127" w:type="dxa"/>
            <w:vAlign w:val="center"/>
          </w:tcPr>
          <w:p w:rsidR="00665FBB" w:rsidRPr="005B0363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289" w:type="dxa"/>
          </w:tcPr>
          <w:p w:rsidR="00665FBB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2621" w:type="dxa"/>
            <w:vAlign w:val="center"/>
          </w:tcPr>
          <w:p w:rsidR="00665FBB" w:rsidRPr="005B0363" w:rsidRDefault="00665FBB" w:rsidP="00C462C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GBM</w:t>
            </w:r>
          </w:p>
        </w:tc>
        <w:tc>
          <w:tcPr>
            <w:tcW w:w="577" w:type="dxa"/>
            <w:vAlign w:val="center"/>
          </w:tcPr>
          <w:p w:rsidR="00665FBB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:rsidR="00665FBB" w:rsidRDefault="00665FBB" w:rsidP="00C462C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Cohort 1</w:t>
            </w:r>
          </w:p>
        </w:tc>
        <w:tc>
          <w:tcPr>
            <w:tcW w:w="1163" w:type="dxa"/>
            <w:vAlign w:val="center"/>
          </w:tcPr>
          <w:p w:rsidR="00665FBB" w:rsidRDefault="00665FBB" w:rsidP="00C462C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Cohort 2</w:t>
            </w:r>
          </w:p>
        </w:tc>
        <w:tc>
          <w:tcPr>
            <w:tcW w:w="1164" w:type="dxa"/>
            <w:vAlign w:val="center"/>
          </w:tcPr>
          <w:p w:rsidR="00665FBB" w:rsidRPr="005B0363" w:rsidRDefault="00665FBB" w:rsidP="00C462C2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Cohort 3</w:t>
            </w:r>
          </w:p>
        </w:tc>
      </w:tr>
      <w:tr w:rsidR="00665FBB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396858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396858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396858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 w:rsidRPr="00396858">
              <w:rPr>
                <w:b/>
              </w:rPr>
              <w:t>Total number</w:t>
            </w:r>
          </w:p>
        </w:tc>
        <w:tc>
          <w:tcPr>
            <w:tcW w:w="289" w:type="dxa"/>
            <w:tcBorders>
              <w:left w:val="nil"/>
              <w:right w:val="single" w:sz="4" w:space="0" w:color="auto"/>
            </w:tcBorders>
          </w:tcPr>
          <w:p w:rsidR="00665FBB" w:rsidRPr="00396858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  <w:r>
              <w:t>92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  <w:rPr>
                <w:b/>
              </w:rPr>
            </w:pPr>
            <w:r w:rsidRPr="00396858">
              <w:rPr>
                <w:b/>
              </w:rPr>
              <w:sym w:font="Wingdings" w:char="F0F0"/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  <w:r>
              <w:t>67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  <w:r>
              <w:t>45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  <w:r>
              <w:t>32</w:t>
            </w:r>
          </w:p>
        </w:tc>
      </w:tr>
      <w:tr w:rsidR="00665FBB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 w:rsidRPr="00396858">
              <w:rPr>
                <w:b/>
              </w:rPr>
              <w:t>Sex</w:t>
            </w:r>
          </w:p>
        </w:tc>
        <w:tc>
          <w:tcPr>
            <w:tcW w:w="289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3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3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164" w:type="dxa"/>
            <w:shd w:val="clear" w:color="auto" w:fill="auto"/>
          </w:tcPr>
          <w:p w:rsidR="00665FBB" w:rsidRPr="00396858" w:rsidRDefault="00665FBB" w:rsidP="00C462C2">
            <w:pPr>
              <w:spacing w:after="0"/>
              <w:jc w:val="center"/>
              <w:rPr>
                <w:b/>
              </w:rPr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Male (n)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59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46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22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Female (n)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33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21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18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10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 w:rsidRPr="00396858">
              <w:rPr>
                <w:b/>
              </w:rPr>
              <w:t>Median Age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64</w:t>
            </w: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65</w:t>
            </w: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66</w:t>
            </w: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65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Range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27-80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27-80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28-79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28-79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>
              <w:rPr>
                <w:b/>
              </w:rPr>
              <w:t>ECOG PS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</w:t>
            </w:r>
            <w:r>
              <w:t>0-1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59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41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25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18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</w:t>
            </w:r>
            <w:r>
              <w:t xml:space="preserve"> </w:t>
            </w:r>
            <w:r w:rsidRPr="00396858">
              <w:t xml:space="preserve"> </w:t>
            </w:r>
            <w:r>
              <w:t>2-4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33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26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20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14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>
              <w:rPr>
                <w:b/>
              </w:rPr>
              <w:t>Surgery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</w:t>
            </w:r>
            <w:r>
              <w:t>Other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74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53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39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</w:t>
            </w:r>
            <w:r>
              <w:t>Radical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18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14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>
              <w:rPr>
                <w:b/>
              </w:rPr>
              <w:t>Stupp’s regimen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</w:t>
            </w:r>
            <w:r>
              <w:t>No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17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13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9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lastRenderedPageBreak/>
              <w:t xml:space="preserve">     </w:t>
            </w:r>
            <w:r>
              <w:t>Yes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75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54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36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 w:rsidRPr="00396858">
              <w:rPr>
                <w:b/>
              </w:rPr>
              <w:t>IDH status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WT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88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64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44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28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 Mutated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  <w:shd w:val="clear" w:color="auto" w:fill="auto"/>
          </w:tcPr>
          <w:p w:rsidR="00665FBB" w:rsidRPr="00396858" w:rsidRDefault="00665FBB" w:rsidP="00C462C2">
            <w:pPr>
              <w:spacing w:after="0"/>
              <w:rPr>
                <w:b/>
              </w:rPr>
            </w:pPr>
            <w:r w:rsidRPr="00396858">
              <w:rPr>
                <w:b/>
              </w:rPr>
              <w:t>MGMT status</w:t>
            </w:r>
          </w:p>
        </w:tc>
        <w:tc>
          <w:tcPr>
            <w:tcW w:w="289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577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4" w:type="dxa"/>
            <w:shd w:val="clear" w:color="auto" w:fill="auto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</w:t>
            </w:r>
            <w:r>
              <w:t xml:space="preserve"> </w:t>
            </w:r>
            <w:r w:rsidRPr="00396858">
              <w:t>Methylated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49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37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27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18</w:t>
            </w:r>
          </w:p>
        </w:tc>
      </w:tr>
      <w:tr w:rsidR="00665FBB" w:rsidRPr="00396858" w:rsidTr="00C462C2">
        <w:tc>
          <w:tcPr>
            <w:tcW w:w="2127" w:type="dxa"/>
          </w:tcPr>
          <w:p w:rsidR="00665FBB" w:rsidRPr="00396858" w:rsidRDefault="00665FBB" w:rsidP="00C462C2">
            <w:pPr>
              <w:spacing w:after="0"/>
            </w:pPr>
            <w:r w:rsidRPr="00396858">
              <w:t xml:space="preserve">    </w:t>
            </w:r>
            <w:r>
              <w:t xml:space="preserve"> </w:t>
            </w:r>
            <w:r w:rsidRPr="00396858">
              <w:t>Not methylated</w:t>
            </w:r>
          </w:p>
        </w:tc>
        <w:tc>
          <w:tcPr>
            <w:tcW w:w="289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2621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43</w:t>
            </w:r>
          </w:p>
        </w:tc>
        <w:tc>
          <w:tcPr>
            <w:tcW w:w="577" w:type="dxa"/>
          </w:tcPr>
          <w:p w:rsidR="00665FBB" w:rsidRPr="009E683B" w:rsidRDefault="00665FBB" w:rsidP="00C462C2">
            <w:pPr>
              <w:spacing w:after="0"/>
              <w:jc w:val="center"/>
            </w:pP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30</w:t>
            </w:r>
          </w:p>
        </w:tc>
        <w:tc>
          <w:tcPr>
            <w:tcW w:w="1163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18</w:t>
            </w:r>
          </w:p>
        </w:tc>
        <w:tc>
          <w:tcPr>
            <w:tcW w:w="1164" w:type="dxa"/>
          </w:tcPr>
          <w:p w:rsidR="00665FBB" w:rsidRPr="009E683B" w:rsidRDefault="00665FBB" w:rsidP="00C462C2">
            <w:pPr>
              <w:spacing w:after="0"/>
              <w:jc w:val="center"/>
            </w:pPr>
            <w:r>
              <w:t>14</w:t>
            </w:r>
          </w:p>
        </w:tc>
      </w:tr>
      <w:tr w:rsidR="00665FBB" w:rsidRPr="00032D63" w:rsidTr="00C462C2">
        <w:tc>
          <w:tcPr>
            <w:tcW w:w="212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  <w:tr w:rsidR="00665FBB" w:rsidRPr="00032D63" w:rsidTr="00C462C2">
        <w:tc>
          <w:tcPr>
            <w:tcW w:w="212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rPr>
                <w:b/>
                <w:sz w:val="8"/>
                <w:szCs w:val="8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2621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sz w:val="8"/>
                <w:szCs w:val="8"/>
              </w:rPr>
            </w:pPr>
          </w:p>
        </w:tc>
        <w:tc>
          <w:tcPr>
            <w:tcW w:w="577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1164" w:type="dxa"/>
            <w:tcBorders>
              <w:top w:val="single" w:sz="4" w:space="0" w:color="auto"/>
            </w:tcBorders>
          </w:tcPr>
          <w:p w:rsidR="00665FBB" w:rsidRPr="00032D63" w:rsidRDefault="00665FBB" w:rsidP="00C462C2">
            <w:pPr>
              <w:spacing w:after="0"/>
              <w:jc w:val="center"/>
              <w:rPr>
                <w:b/>
                <w:sz w:val="8"/>
                <w:szCs w:val="8"/>
              </w:rPr>
            </w:pPr>
          </w:p>
        </w:tc>
      </w:tr>
    </w:tbl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</w:p>
    <w:p w:rsidR="00665FBB" w:rsidRPr="005C2C57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8"/>
          <w:szCs w:val="28"/>
        </w:rPr>
      </w:pPr>
      <w:r w:rsidRPr="005C2C57">
        <w:rPr>
          <w:rFonts w:ascii="Times New Roman" w:eastAsia="Cambria" w:hAnsi="Times New Roman" w:cs="Times New Roman"/>
          <w:b/>
          <w:sz w:val="28"/>
          <w:szCs w:val="28"/>
        </w:rPr>
        <w:t>Supplementary Materials and Methods</w:t>
      </w:r>
    </w:p>
    <w:p w:rsidR="00665FBB" w:rsidRPr="009946A4" w:rsidRDefault="00665FBB" w:rsidP="00665FBB">
      <w:pPr>
        <w:spacing w:line="48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9946A4">
        <w:rPr>
          <w:rFonts w:ascii="Times New Roman" w:eastAsia="Cambria" w:hAnsi="Times New Roman" w:cs="Times New Roman"/>
          <w:b/>
          <w:sz w:val="24"/>
          <w:szCs w:val="24"/>
        </w:rPr>
        <w:t>MGMT methylation status and IDH mutational status analyses</w:t>
      </w:r>
    </w:p>
    <w:p w:rsidR="00665FBB" w:rsidRPr="00A77D34" w:rsidRDefault="00665FBB" w:rsidP="00665FBB">
      <w:pPr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946A4">
        <w:rPr>
          <w:rFonts w:ascii="Times New Roman" w:eastAsia="Cambria" w:hAnsi="Times New Roman" w:cs="Times New Roman"/>
          <w:sz w:val="24"/>
          <w:szCs w:val="24"/>
        </w:rPr>
        <w:t>IDH 1-2 mutational status was analyzed by Sanger sequencing. MGMT methylation status was performed by pyrosequencing and a cut-off of 7% was considered for assessing as unmethylated and methylated.</w:t>
      </w: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  <w:r w:rsidRPr="005C2C57">
        <w:rPr>
          <w:rFonts w:ascii="Times New Roman" w:eastAsia="Cambria" w:hAnsi="Times New Roman" w:cs="Times New Roman"/>
          <w:b/>
          <w:sz w:val="24"/>
          <w:szCs w:val="24"/>
        </w:rPr>
        <w:t>Multiparametric flow cytometry</w:t>
      </w:r>
    </w:p>
    <w:p w:rsidR="00665FBB" w:rsidRPr="00A77D34" w:rsidRDefault="00665FBB" w:rsidP="00665FBB">
      <w:pPr>
        <w:spacing w:after="0" w:line="48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To analyze expression of myeloid cell subsets,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 50 µl of fresh blood were washed with PBS plus 1% fetal bovine serum (FBS, Gibco Thermo Fisher Scientific) and subsequently incubated with Fc-Receptor Blocking reagent (Miltenyi</w:t>
      </w:r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A77D34">
        <w:rPr>
          <w:rFonts w:ascii="Times New Roman" w:eastAsia="Cambria" w:hAnsi="Times New Roman" w:cs="Times New Roman"/>
          <w:sz w:val="24"/>
          <w:szCs w:val="24"/>
        </w:rPr>
        <w:t>Biotec) at 4°C for 10 minutes. Afterwards cells were stained with mAbs</w:t>
      </w:r>
      <w:r>
        <w:rPr>
          <w:rFonts w:ascii="Times New Roman" w:eastAsia="Cambria" w:hAnsi="Times New Roman" w:cs="Times New Roman"/>
          <w:sz w:val="24"/>
          <w:szCs w:val="24"/>
        </w:rPr>
        <w:t xml:space="preserve"> and, at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 the end of incubation, cells were washed with PBS plus 1% FBS and centrifuged at 1300 rpm for 6 min at 4°C. Red blood cells were lysed using Cal-Lyse whole blood </w:t>
      </w:r>
      <w:r w:rsidRPr="00A77D34">
        <w:rPr>
          <w:rFonts w:ascii="Times New Roman" w:eastAsia="Cambria" w:hAnsi="Times New Roman" w:cs="Times New Roman"/>
          <w:sz w:val="24"/>
          <w:szCs w:val="24"/>
        </w:rPr>
        <w:lastRenderedPageBreak/>
        <w:t>lysing solution (Life Technologies) according to manufacturer's instructions</w:t>
      </w:r>
      <w:r>
        <w:rPr>
          <w:rFonts w:ascii="Times New Roman" w:eastAsia="Cambria" w:hAnsi="Times New Roman" w:cs="Times New Roman"/>
          <w:sz w:val="24"/>
          <w:szCs w:val="24"/>
        </w:rPr>
        <w:t xml:space="preserve"> and as previously described </w:t>
      </w:r>
      <w:r>
        <w:rPr>
          <w:rFonts w:ascii="Times New Roman" w:eastAsia="Cambria" w:hAnsi="Times New Roman" w:cs="Times New Roman"/>
          <w:sz w:val="24"/>
          <w:szCs w:val="24"/>
        </w:rPr>
        <w:fldChar w:fldCharType="begin">
          <w:fldData xml:space="preserve">PEVuZE5vdGU+PENpdGU+PEF1dGhvcj5EYW11enpvPC9BdXRob3I+PFllYXI+MjAxNjwvWWVhcj48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</w:fldData>
        </w:fldChar>
      </w:r>
      <w:r>
        <w:rPr>
          <w:rFonts w:ascii="Times New Roman" w:eastAsia="Cambria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eastAsia="Cambria" w:hAnsi="Times New Roman" w:cs="Times New Roman"/>
          <w:sz w:val="24"/>
          <w:szCs w:val="24"/>
        </w:rPr>
        <w:fldChar w:fldCharType="begin">
          <w:fldData xml:space="preserve">PEVuZE5vdGU+PENpdGU+PEF1dGhvcj5EYW11enpvPC9BdXRob3I+PFllYXI+MjAxNjwvWWVhcj48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</w:fldData>
        </w:fldChar>
      </w:r>
      <w:r>
        <w:rPr>
          <w:rFonts w:ascii="Times New Roman" w:eastAsia="Cambria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eastAsia="Cambria" w:hAnsi="Times New Roman" w:cs="Times New Roman"/>
          <w:sz w:val="24"/>
          <w:szCs w:val="24"/>
        </w:rPr>
      </w:r>
      <w:r>
        <w:rPr>
          <w:rFonts w:ascii="Times New Roman" w:eastAsia="Cambria" w:hAnsi="Times New Roman" w:cs="Times New Roman"/>
          <w:sz w:val="24"/>
          <w:szCs w:val="24"/>
        </w:rPr>
        <w:fldChar w:fldCharType="end"/>
      </w:r>
      <w:r>
        <w:rPr>
          <w:rFonts w:ascii="Times New Roman" w:eastAsia="Cambria" w:hAnsi="Times New Roman" w:cs="Times New Roman"/>
          <w:sz w:val="24"/>
          <w:szCs w:val="24"/>
        </w:rPr>
      </w:r>
      <w:r>
        <w:rPr>
          <w:rFonts w:ascii="Times New Roman" w:eastAsia="Cambria" w:hAnsi="Times New Roman" w:cs="Times New Roman"/>
          <w:sz w:val="24"/>
          <w:szCs w:val="24"/>
        </w:rPr>
        <w:fldChar w:fldCharType="separate"/>
      </w:r>
      <w:r>
        <w:rPr>
          <w:rFonts w:ascii="Times New Roman" w:eastAsia="Cambria" w:hAnsi="Times New Roman" w:cs="Times New Roman"/>
          <w:noProof/>
          <w:sz w:val="24"/>
          <w:szCs w:val="24"/>
        </w:rPr>
        <w:t>(</w:t>
      </w:r>
      <w:hyperlink w:anchor="_ENREF_7" w:tooltip="Damuzzo, 2016 #1502" w:history="1">
        <w:r>
          <w:rPr>
            <w:rFonts w:ascii="Times New Roman" w:eastAsia="Cambria" w:hAnsi="Times New Roman" w:cs="Times New Roman"/>
            <w:noProof/>
            <w:sz w:val="24"/>
            <w:szCs w:val="24"/>
          </w:rPr>
          <w:t>7</w:t>
        </w:r>
      </w:hyperlink>
      <w:r>
        <w:rPr>
          <w:rFonts w:ascii="Times New Roman" w:eastAsia="Cambria" w:hAnsi="Times New Roman" w:cs="Times New Roman"/>
          <w:noProof/>
          <w:sz w:val="24"/>
          <w:szCs w:val="24"/>
        </w:rPr>
        <w:t>)</w:t>
      </w:r>
      <w:r>
        <w:rPr>
          <w:rFonts w:ascii="Times New Roman" w:eastAsia="Cambria" w:hAnsi="Times New Roman" w:cs="Times New Roman"/>
          <w:sz w:val="24"/>
          <w:szCs w:val="24"/>
        </w:rPr>
        <w:fldChar w:fldCharType="end"/>
      </w:r>
      <w:r w:rsidRPr="00A77D34">
        <w:rPr>
          <w:rFonts w:ascii="Times New Roman" w:eastAsia="Cambria" w:hAnsi="Times New Roman" w:cs="Times New Roman"/>
          <w:sz w:val="24"/>
          <w:szCs w:val="24"/>
        </w:rPr>
        <w:t>.</w:t>
      </w:r>
    </w:p>
    <w:p w:rsidR="00665FBB" w:rsidRDefault="00665FBB" w:rsidP="00665FBB">
      <w:pPr>
        <w:spacing w:after="0" w:line="48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Data were acquired using a LSRII flow cytometer (BD Biosciences) equipped with 4 lasers (405nm, 488nm, 561nm, 640nm) and analysis was performed by FlowJo software </w:t>
      </w:r>
      <w:r w:rsidRPr="000264EB">
        <w:rPr>
          <w:rFonts w:ascii="Times New Roman" w:eastAsia="Cambria" w:hAnsi="Times New Roman" w:cs="Times New Roman"/>
          <w:sz w:val="24"/>
          <w:szCs w:val="24"/>
        </w:rPr>
        <w:t>v 7.6.5</w:t>
      </w:r>
      <w:r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(Three Star Inc). Fluorescence minus one (FMO) for HLA-DR, IL4Rα and PD-L1 were used as negative controls. </w:t>
      </w:r>
    </w:p>
    <w:p w:rsidR="00665FBB" w:rsidRPr="00A77D34" w:rsidRDefault="00665FBB" w:rsidP="00665FBB">
      <w:pPr>
        <w:spacing w:after="0" w:line="48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To acquire cells stained with ARG1, </w:t>
      </w:r>
      <w:r w:rsidRPr="00A77D34">
        <w:rPr>
          <w:rFonts w:ascii="Times New Roman" w:eastAsia="Cambria" w:hAnsi="Times New Roman" w:cs="Times New Roman"/>
          <w:sz w:val="24"/>
          <w:szCs w:val="24"/>
        </w:rPr>
        <w:t>a FACSCelesta flow cytometer (BD Biosciences)</w:t>
      </w:r>
      <w:r>
        <w:rPr>
          <w:rFonts w:ascii="Times New Roman" w:eastAsia="Cambria" w:hAnsi="Times New Roman" w:cs="Times New Roman"/>
          <w:sz w:val="24"/>
          <w:szCs w:val="24"/>
        </w:rPr>
        <w:t xml:space="preserve"> was used,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 equipped with 3 lasers (405nm, 488nm, 640nm) and analysis was performed by FlowJo software </w:t>
      </w:r>
      <w:r w:rsidRPr="000264EB">
        <w:rPr>
          <w:rFonts w:ascii="Times New Roman" w:eastAsia="Cambria" w:hAnsi="Times New Roman" w:cs="Times New Roman"/>
          <w:sz w:val="24"/>
          <w:szCs w:val="24"/>
        </w:rPr>
        <w:t>v 7.6.5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. FMO for </w:t>
      </w:r>
      <w:r>
        <w:rPr>
          <w:rFonts w:ascii="Times New Roman" w:eastAsia="Cambria" w:hAnsi="Times New Roman" w:cs="Times New Roman"/>
          <w:sz w:val="24"/>
          <w:szCs w:val="24"/>
        </w:rPr>
        <w:t>ARG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1 </w:t>
      </w:r>
      <w:r>
        <w:rPr>
          <w:rFonts w:ascii="Times New Roman" w:eastAsia="Cambria" w:hAnsi="Times New Roman" w:cs="Times New Roman"/>
          <w:sz w:val="24"/>
          <w:szCs w:val="24"/>
        </w:rPr>
        <w:t>was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 used as negative control. </w:t>
      </w:r>
    </w:p>
    <w:p w:rsidR="00665FBB" w:rsidRPr="00A77D34" w:rsidRDefault="00665FBB" w:rsidP="00665FBB">
      <w:pPr>
        <w:spacing w:line="48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As positive control for </w:t>
      </w:r>
      <w:r>
        <w:rPr>
          <w:rFonts w:ascii="Times New Roman" w:eastAsia="Cambria" w:hAnsi="Times New Roman" w:cs="Times New Roman"/>
          <w:sz w:val="24"/>
          <w:szCs w:val="24"/>
        </w:rPr>
        <w:t>p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-STAT3 staining, a homogeneous batch of HepG2 cell line </w:t>
      </w:r>
      <w:r>
        <w:rPr>
          <w:rFonts w:ascii="Times New Roman" w:eastAsia="Cambria" w:hAnsi="Times New Roman" w:cs="Times New Roman"/>
          <w:sz w:val="24"/>
          <w:szCs w:val="24"/>
        </w:rPr>
        <w:t xml:space="preserve">was used, 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treated with 80 ng/ml rhIL-6 (Thermo Scientific) for 10 minutes </w:t>
      </w:r>
      <w:r>
        <w:rPr>
          <w:rFonts w:ascii="Times New Roman" w:eastAsia="Cambria" w:hAnsi="Times New Roman" w:cs="Times New Roman"/>
          <w:sz w:val="24"/>
          <w:szCs w:val="24"/>
        </w:rPr>
        <w:t>t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o induce STAT3 phosphorylation and then </w:t>
      </w:r>
      <w:r>
        <w:rPr>
          <w:rFonts w:ascii="Times New Roman" w:eastAsia="Cambria" w:hAnsi="Times New Roman" w:cs="Times New Roman"/>
          <w:sz w:val="24"/>
          <w:szCs w:val="24"/>
        </w:rPr>
        <w:t xml:space="preserve">cells were </w:t>
      </w:r>
      <w:r w:rsidRPr="00A77D34">
        <w:rPr>
          <w:rFonts w:ascii="Times New Roman" w:eastAsia="Cambria" w:hAnsi="Times New Roman" w:cs="Times New Roman"/>
          <w:sz w:val="24"/>
          <w:szCs w:val="24"/>
        </w:rPr>
        <w:t xml:space="preserve">fixed, permeabilized and frozen. Single aliquots of HepG2 were thawed and </w:t>
      </w:r>
      <w:r>
        <w:rPr>
          <w:rFonts w:ascii="Times New Roman" w:eastAsia="Cambria" w:hAnsi="Times New Roman" w:cs="Times New Roman"/>
          <w:sz w:val="24"/>
          <w:szCs w:val="24"/>
        </w:rPr>
        <w:t>p</w:t>
      </w:r>
      <w:r w:rsidRPr="00A77D34">
        <w:rPr>
          <w:rFonts w:ascii="Times New Roman" w:eastAsia="Cambria" w:hAnsi="Times New Roman" w:cs="Times New Roman"/>
          <w:sz w:val="24"/>
          <w:szCs w:val="24"/>
        </w:rPr>
        <w:t>-STAT3 staining was run in parallel to patient’s samples to check antibody performance. All antibodies used for flow cytometry were titrated in a lot-dependent manner.</w:t>
      </w:r>
    </w:p>
    <w:p w:rsidR="00665FBB" w:rsidRDefault="00665FBB" w:rsidP="00665FBB">
      <w:pPr>
        <w:spacing w:line="480" w:lineRule="auto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b/>
          <w:sz w:val="24"/>
          <w:szCs w:val="24"/>
        </w:rPr>
        <w:t>Determination of ARG1 activity</w:t>
      </w:r>
    </w:p>
    <w:p w:rsidR="00DA32A0" w:rsidRDefault="00665FBB" w:rsidP="00665FBB">
      <w:r w:rsidRPr="00336ACF">
        <w:rPr>
          <w:rFonts w:ascii="Times New Roman" w:hAnsi="Times New Roman" w:cs="Times New Roman"/>
          <w:sz w:val="24"/>
          <w:szCs w:val="24"/>
        </w:rPr>
        <w:t xml:space="preserve">To eliminate residual cells potentially present in the plasma, </w:t>
      </w:r>
      <w:r>
        <w:rPr>
          <w:rFonts w:ascii="Times New Roman" w:hAnsi="Times New Roman" w:cs="Times New Roman"/>
          <w:sz w:val="24"/>
          <w:szCs w:val="24"/>
        </w:rPr>
        <w:t>samples</w:t>
      </w:r>
      <w:r w:rsidRPr="00336ACF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>ere</w:t>
      </w:r>
      <w:r w:rsidRPr="00336ACF">
        <w:rPr>
          <w:rFonts w:ascii="Times New Roman" w:hAnsi="Times New Roman" w:cs="Times New Roman"/>
          <w:sz w:val="24"/>
          <w:szCs w:val="24"/>
        </w:rPr>
        <w:t xml:space="preserve"> treated with 50 μl of lysis buffer (0.1% Triton X-100, 100 μg/ml pepstatin, 100 μg/ml aprotinin, and 100 μg/ml antipain) and shacked at 37°C for 30 minutes. Then, 60 μl of 25 mM Tris-HCl and 2 mM MnCl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336ACF">
        <w:rPr>
          <w:rFonts w:ascii="Times New Roman" w:hAnsi="Times New Roman" w:cs="Times New Roman"/>
          <w:sz w:val="24"/>
          <w:szCs w:val="24"/>
        </w:rPr>
        <w:t xml:space="preserve">were added, and the solution was heated for 10 min at 56°C. The solution was hydrolyzed with 100 μl of 500 mM </w:t>
      </w:r>
      <w:r w:rsidRPr="00336ACF">
        <w:rPr>
          <w:rStyle w:val="sc1"/>
          <w:rFonts w:ascii="Times New Roman" w:hAnsi="Times New Roman" w:cs="Times New Roman"/>
        </w:rPr>
        <w:t>l</w:t>
      </w:r>
      <w:r w:rsidRPr="00336ACF">
        <w:rPr>
          <w:rFonts w:ascii="Times New Roman" w:hAnsi="Times New Roman" w:cs="Times New Roman"/>
          <w:sz w:val="24"/>
          <w:szCs w:val="24"/>
        </w:rPr>
        <w:t xml:space="preserve">-arginine </w:t>
      </w:r>
      <w:r w:rsidRPr="0069350B">
        <w:rPr>
          <w:rFonts w:ascii="Times New Roman" w:hAnsi="Times New Roman" w:cs="Times New Roman"/>
          <w:sz w:val="24"/>
          <w:szCs w:val="24"/>
        </w:rPr>
        <w:t>dissolved in either carbonate buffer (pH 9.5) or phosphate buffer (pH 7.2),</w:t>
      </w:r>
      <w:r>
        <w:rPr>
          <w:rFonts w:ascii="Times New Roman" w:hAnsi="Times New Roman" w:cs="Times New Roman"/>
          <w:sz w:val="24"/>
          <w:szCs w:val="24"/>
        </w:rPr>
        <w:t xml:space="preserve"> incubated </w:t>
      </w:r>
      <w:r w:rsidRPr="00336ACF">
        <w:rPr>
          <w:rFonts w:ascii="Times New Roman" w:hAnsi="Times New Roman" w:cs="Times New Roman"/>
          <w:sz w:val="24"/>
          <w:szCs w:val="24"/>
        </w:rPr>
        <w:t>at 37°C for 60–120 min and the reaction was stopped with 800 μl of H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6ACF">
        <w:rPr>
          <w:rFonts w:ascii="Times New Roman" w:hAnsi="Times New Roman" w:cs="Times New Roman"/>
          <w:sz w:val="24"/>
          <w:szCs w:val="24"/>
        </w:rPr>
        <w:t>SO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6ACF">
        <w:rPr>
          <w:rFonts w:ascii="Times New Roman" w:hAnsi="Times New Roman" w:cs="Times New Roman"/>
          <w:sz w:val="24"/>
          <w:szCs w:val="24"/>
        </w:rPr>
        <w:t xml:space="preserve"> (96%)/H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36ACF">
        <w:rPr>
          <w:rFonts w:ascii="Times New Roman" w:hAnsi="Times New Roman" w:cs="Times New Roman"/>
          <w:sz w:val="24"/>
          <w:szCs w:val="24"/>
        </w:rPr>
        <w:t>PO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6ACF">
        <w:rPr>
          <w:rFonts w:ascii="Times New Roman" w:hAnsi="Times New Roman" w:cs="Times New Roman"/>
          <w:sz w:val="24"/>
          <w:szCs w:val="24"/>
        </w:rPr>
        <w:t xml:space="preserve"> (85%)/H</w:t>
      </w:r>
      <w:r w:rsidRPr="00336AC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6ACF">
        <w:rPr>
          <w:rFonts w:ascii="Times New Roman" w:hAnsi="Times New Roman" w:cs="Times New Roman"/>
          <w:sz w:val="24"/>
          <w:szCs w:val="24"/>
        </w:rPr>
        <w:t>O.</w:t>
      </w:r>
      <w:r w:rsidRPr="00A77D34">
        <w:rPr>
          <w:rFonts w:ascii="Times New Roman" w:hAnsi="Times New Roman" w:cs="Times New Roman"/>
          <w:sz w:val="24"/>
          <w:szCs w:val="24"/>
        </w:rPr>
        <w:t xml:space="preserve"> The urea concentration was measured at 540 nM after addition of 40 μl of α-isonitrosopropiophenone (dissolved in 100% ethanol), followed by heating at 95°C for 15–40 min. Samples were assayed in duplicates and urea concentration was derived from a standard cur</w:t>
      </w:r>
      <w:bookmarkStart w:id="1" w:name="_GoBack"/>
      <w:bookmarkEnd w:id="1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C677B"/>
    <w:multiLevelType w:val="multilevel"/>
    <w:tmpl w:val="475AC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F53433B"/>
    <w:multiLevelType w:val="hybridMultilevel"/>
    <w:tmpl w:val="D17401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426B22"/>
    <w:multiLevelType w:val="multilevel"/>
    <w:tmpl w:val="7B40C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FBB"/>
    <w:rsid w:val="0016198D"/>
    <w:rsid w:val="003E54F6"/>
    <w:rsid w:val="0066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20526B-8AD5-46E5-83ED-52DF7670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5FBB"/>
  </w:style>
  <w:style w:type="paragraph" w:styleId="Heading1">
    <w:name w:val="heading 1"/>
    <w:basedOn w:val="Normal"/>
    <w:link w:val="Heading1Char"/>
    <w:uiPriority w:val="9"/>
    <w:qFormat/>
    <w:rsid w:val="00665F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FB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FBB"/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character" w:customStyle="1" w:styleId="Heading2Char">
    <w:name w:val="Heading 2 Char"/>
    <w:basedOn w:val="DefaultParagraphFont"/>
    <w:link w:val="Heading2"/>
    <w:uiPriority w:val="9"/>
    <w:rsid w:val="00665F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665F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5FBB"/>
    <w:pPr>
      <w:spacing w:line="240" w:lineRule="auto"/>
    </w:pPr>
    <w:rPr>
      <w:sz w:val="20"/>
      <w:szCs w:val="20"/>
      <w:lang w:val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5FBB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5FBB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5FBB"/>
    <w:rPr>
      <w:b/>
      <w:bCs/>
      <w:sz w:val="20"/>
      <w:szCs w:val="20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FB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665FBB"/>
    <w:pPr>
      <w:spacing w:after="0" w:line="240" w:lineRule="auto"/>
    </w:pPr>
  </w:style>
  <w:style w:type="character" w:customStyle="1" w:styleId="sc1">
    <w:name w:val="sc1"/>
    <w:basedOn w:val="DefaultParagraphFont"/>
    <w:rsid w:val="00665FBB"/>
    <w:rPr>
      <w:smallCaps/>
      <w:sz w:val="24"/>
      <w:szCs w:val="24"/>
      <w:bdr w:val="none" w:sz="0" w:space="0" w:color="auto" w:frame="1"/>
      <w:vertAlign w:val="baseline"/>
    </w:rPr>
  </w:style>
  <w:style w:type="paragraph" w:customStyle="1" w:styleId="EndNoteBibliography">
    <w:name w:val="EndNote Bibliography"/>
    <w:basedOn w:val="Normal"/>
    <w:link w:val="EndNoteBibliographyCarattere"/>
    <w:rsid w:val="00665FBB"/>
    <w:pPr>
      <w:spacing w:after="0" w:line="240" w:lineRule="auto"/>
      <w:jc w:val="both"/>
    </w:pPr>
    <w:rPr>
      <w:rFonts w:ascii="Calibri" w:eastAsia="Arial" w:hAnsi="Calibri" w:cs="Calibri"/>
      <w:noProof/>
      <w:lang w:val="it-IT" w:eastAsia="it-IT"/>
    </w:rPr>
  </w:style>
  <w:style w:type="character" w:customStyle="1" w:styleId="EndNoteBibliographyCarattere">
    <w:name w:val="EndNote Bibliography Carattere"/>
    <w:basedOn w:val="DefaultParagraphFont"/>
    <w:link w:val="EndNoteBibliography"/>
    <w:rsid w:val="00665FBB"/>
    <w:rPr>
      <w:rFonts w:ascii="Calibri" w:eastAsia="Arial" w:hAnsi="Calibri" w:cs="Calibri"/>
      <w:noProof/>
      <w:lang w:val="it-IT" w:eastAsia="it-IT"/>
    </w:rPr>
  </w:style>
  <w:style w:type="paragraph" w:styleId="Title">
    <w:name w:val="Title"/>
    <w:basedOn w:val="Normal"/>
    <w:next w:val="Normal"/>
    <w:link w:val="TitleChar"/>
    <w:rsid w:val="00665FBB"/>
    <w:pPr>
      <w:keepNext/>
      <w:keepLines/>
      <w:spacing w:before="480" w:after="120" w:line="360" w:lineRule="auto"/>
      <w:jc w:val="both"/>
    </w:pPr>
    <w:rPr>
      <w:rFonts w:ascii="Calibri" w:eastAsia="Calibri" w:hAnsi="Calibri" w:cs="Calibri"/>
      <w:b/>
      <w:sz w:val="72"/>
      <w:szCs w:val="72"/>
      <w:lang w:eastAsia="it-IT"/>
    </w:rPr>
  </w:style>
  <w:style w:type="character" w:customStyle="1" w:styleId="TitleChar">
    <w:name w:val="Title Char"/>
    <w:basedOn w:val="DefaultParagraphFont"/>
    <w:link w:val="Title"/>
    <w:rsid w:val="00665FBB"/>
    <w:rPr>
      <w:rFonts w:ascii="Calibri" w:eastAsia="Calibri" w:hAnsi="Calibri" w:cs="Calibri"/>
      <w:b/>
      <w:sz w:val="72"/>
      <w:szCs w:val="72"/>
      <w:lang w:eastAsia="it-IT"/>
    </w:rPr>
  </w:style>
  <w:style w:type="character" w:styleId="Hyperlink">
    <w:name w:val="Hyperlink"/>
    <w:basedOn w:val="DefaultParagraphFont"/>
    <w:uiPriority w:val="99"/>
    <w:unhideWhenUsed/>
    <w:rsid w:val="00665FBB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VerbatimChar">
    <w:name w:val="Verbatim Char"/>
    <w:basedOn w:val="DefaultParagraphFont"/>
    <w:link w:val="SourceCode"/>
    <w:rsid w:val="00665FBB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665FBB"/>
    <w:pPr>
      <w:shd w:val="clear" w:color="auto" w:fill="F8F8F8"/>
      <w:wordWrap w:val="0"/>
      <w:spacing w:after="200" w:line="240" w:lineRule="auto"/>
    </w:pPr>
    <w:rPr>
      <w:rFonts w:ascii="Consolas" w:hAnsi="Consolas"/>
    </w:rPr>
  </w:style>
  <w:style w:type="paragraph" w:customStyle="1" w:styleId="EndNoteBibliographyTitle">
    <w:name w:val="EndNote Bibliography Title"/>
    <w:basedOn w:val="Normal"/>
    <w:link w:val="EndNoteBibliographyTitleCarattere"/>
    <w:rsid w:val="00665FBB"/>
    <w:pPr>
      <w:spacing w:after="0"/>
      <w:jc w:val="center"/>
    </w:pPr>
    <w:rPr>
      <w:rFonts w:ascii="Calibri" w:eastAsia="Times New Roman" w:hAnsi="Calibri" w:cs="Calibri"/>
      <w:noProof/>
      <w:kern w:val="36"/>
      <w:sz w:val="48"/>
      <w:szCs w:val="48"/>
      <w:lang w:val="it-IT" w:eastAsia="it-IT"/>
    </w:rPr>
  </w:style>
  <w:style w:type="character" w:customStyle="1" w:styleId="EndNoteBibliographyTitleCarattere">
    <w:name w:val="EndNote Bibliography Title Carattere"/>
    <w:basedOn w:val="Heading1Char"/>
    <w:link w:val="EndNoteBibliographyTitle"/>
    <w:rsid w:val="00665FBB"/>
    <w:rPr>
      <w:rFonts w:ascii="Calibri" w:eastAsia="Times New Roman" w:hAnsi="Calibri" w:cs="Calibri"/>
      <w:b w:val="0"/>
      <w:bCs w:val="0"/>
      <w:noProof/>
      <w:kern w:val="36"/>
      <w:sz w:val="48"/>
      <w:szCs w:val="48"/>
      <w:lang w:val="it-IT" w:eastAsia="it-IT"/>
    </w:rPr>
  </w:style>
  <w:style w:type="character" w:customStyle="1" w:styleId="Menzionenonrisolta3">
    <w:name w:val="Menzione non risolta3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65FBB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65F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65FBB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gd15mcfceub">
    <w:name w:val="gd15mcfceub"/>
    <w:basedOn w:val="DefaultParagraphFont"/>
    <w:rsid w:val="00665FBB"/>
  </w:style>
  <w:style w:type="character" w:styleId="PlaceholderText">
    <w:name w:val="Placeholder Text"/>
    <w:basedOn w:val="DefaultParagraphFont"/>
    <w:uiPriority w:val="99"/>
    <w:semiHidden/>
    <w:rsid w:val="00665FBB"/>
    <w:rPr>
      <w:color w:val="808080"/>
    </w:rPr>
  </w:style>
  <w:style w:type="character" w:customStyle="1" w:styleId="Menzionenonrisolta4">
    <w:name w:val="Menzione non risolta4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65F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FBB"/>
  </w:style>
  <w:style w:type="paragraph" w:styleId="Footer">
    <w:name w:val="footer"/>
    <w:basedOn w:val="Normal"/>
    <w:link w:val="FooterChar"/>
    <w:uiPriority w:val="99"/>
    <w:unhideWhenUsed/>
    <w:rsid w:val="00665FB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FBB"/>
  </w:style>
  <w:style w:type="character" w:customStyle="1" w:styleId="Menzionenonrisolta5">
    <w:name w:val="Menzione non risolta5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citation-part">
    <w:name w:val="citation-part"/>
    <w:basedOn w:val="DefaultParagraphFont"/>
    <w:rsid w:val="00665FBB"/>
  </w:style>
  <w:style w:type="character" w:customStyle="1" w:styleId="docsum-pmid">
    <w:name w:val="docsum-pmid"/>
    <w:basedOn w:val="DefaultParagraphFont"/>
    <w:rsid w:val="00665FBB"/>
  </w:style>
  <w:style w:type="character" w:customStyle="1" w:styleId="Menzionenonrisolta6">
    <w:name w:val="Menzione non risolta6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Menzionenonrisolta7">
    <w:name w:val="Menzione non risolta7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table" w:styleId="TableGrid">
    <w:name w:val="Table Grid"/>
    <w:basedOn w:val="TableNormal"/>
    <w:rsid w:val="00665FB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65FBB"/>
  </w:style>
  <w:style w:type="paragraph" w:styleId="NormalWeb">
    <w:name w:val="Normal (Web)"/>
    <w:basedOn w:val="Normal"/>
    <w:uiPriority w:val="99"/>
    <w:unhideWhenUsed/>
    <w:rsid w:val="00665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Menzionenonrisolta8">
    <w:name w:val="Menzione non risolta8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Menzionenonrisolta9">
    <w:name w:val="Menzione non risolta9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id-label">
    <w:name w:val="id-label"/>
    <w:basedOn w:val="DefaultParagraphFont"/>
    <w:rsid w:val="00665FBB"/>
  </w:style>
  <w:style w:type="character" w:styleId="Strong">
    <w:name w:val="Strong"/>
    <w:basedOn w:val="DefaultParagraphFont"/>
    <w:uiPriority w:val="22"/>
    <w:qFormat/>
    <w:rsid w:val="00665FBB"/>
    <w:rPr>
      <w:b/>
      <w:bCs/>
    </w:rPr>
  </w:style>
  <w:style w:type="table" w:styleId="TableGridLight">
    <w:name w:val="Grid Table Light"/>
    <w:basedOn w:val="TableNormal"/>
    <w:uiPriority w:val="40"/>
    <w:rsid w:val="00665FBB"/>
    <w:pPr>
      <w:spacing w:after="0" w:line="240" w:lineRule="auto"/>
    </w:pPr>
    <w:rPr>
      <w:lang w:val="it-IT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enzionenonrisolta10">
    <w:name w:val="Menzione non risolta10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Menzionenonrisolta11">
    <w:name w:val="Menzione non risolta11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  <w:style w:type="character" w:customStyle="1" w:styleId="Menzionenonrisolta12">
    <w:name w:val="Menzione non risolta12"/>
    <w:basedOn w:val="DefaultParagraphFont"/>
    <w:uiPriority w:val="99"/>
    <w:semiHidden/>
    <w:unhideWhenUsed/>
    <w:rsid w:val="00665F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1643</Words>
  <Characters>9366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2021-09-22T10:41:00Z</dcterms:created>
  <dcterms:modified xsi:type="dcterms:W3CDTF">2021-09-22T10:48:00Z</dcterms:modified>
</cp:coreProperties>
</file>