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550746">
      <w:pPr>
        <w:jc w:val="center"/>
        <w:rPr>
          <w:b/>
          <w:bCs/>
          <w:szCs w:val="21"/>
        </w:rPr>
      </w:pPr>
      <w:r>
        <w:rPr>
          <w:rFonts w:hint="eastAsia"/>
          <w:b/>
          <w:bCs/>
          <w:color w:val="000000"/>
          <w:szCs w:val="21"/>
        </w:rPr>
        <w:t>Supplementary</w:t>
      </w:r>
      <w:r>
        <w:rPr>
          <w:rFonts w:hint="eastAsia"/>
          <w:b/>
          <w:bCs/>
          <w:color w:val="000000"/>
          <w:szCs w:val="21"/>
          <w:lang w:val="en-US" w:eastAsia="zh-CN"/>
        </w:rPr>
        <w:t xml:space="preserve"> </w:t>
      </w:r>
      <w:r>
        <w:rPr>
          <w:b/>
          <w:bCs/>
          <w:color w:val="000000"/>
          <w:szCs w:val="21"/>
        </w:rPr>
        <w:t xml:space="preserve">Table 1. </w:t>
      </w:r>
      <w:r>
        <w:rPr>
          <w:b/>
          <w:bCs/>
          <w:szCs w:val="21"/>
        </w:rPr>
        <w:t xml:space="preserve">Comparative analysis of RANKL promoter </w:t>
      </w:r>
      <w:r>
        <w:rPr>
          <w:rFonts w:hint="eastAsia"/>
          <w:b/>
          <w:bCs/>
          <w:color w:val="000000"/>
          <w:szCs w:val="28"/>
        </w:rPr>
        <w:t>Cp</w:t>
      </w:r>
      <w:r>
        <w:rPr>
          <w:b/>
          <w:bCs/>
          <w:color w:val="000000"/>
          <w:szCs w:val="28"/>
        </w:rPr>
        <w:t>G site position</w:t>
      </w:r>
      <w:r>
        <w:rPr>
          <w:b/>
          <w:bCs/>
          <w:szCs w:val="21"/>
        </w:rPr>
        <w:t xml:space="preserve"> methylation levels in </w:t>
      </w:r>
      <w:r>
        <w:rPr>
          <w:rFonts w:hint="eastAsia"/>
          <w:b/>
          <w:bCs/>
          <w:szCs w:val="21"/>
        </w:rPr>
        <w:t>cases</w:t>
      </w:r>
      <w:r>
        <w:rPr>
          <w:b/>
          <w:bCs/>
          <w:szCs w:val="21"/>
        </w:rPr>
        <w:t xml:space="preserve"> and controls </w:t>
      </w:r>
    </w:p>
    <w:tbl>
      <w:tblPr>
        <w:tblStyle w:val="3"/>
        <w:tblW w:w="8895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5"/>
        <w:gridCol w:w="1896"/>
        <w:gridCol w:w="1600"/>
        <w:gridCol w:w="1792"/>
        <w:gridCol w:w="952"/>
      </w:tblGrid>
      <w:tr w14:paraId="6529654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5" w:type="dxa"/>
            <w:tcBorders>
              <w:bottom w:val="single" w:color="auto" w:sz="8" w:space="0"/>
            </w:tcBorders>
          </w:tcPr>
          <w:p w14:paraId="0104F18F">
            <w:pPr>
              <w:spacing w:line="360" w:lineRule="auto"/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rFonts w:hint="eastAsia"/>
                <w:b/>
                <w:bCs/>
                <w:color w:val="000000"/>
                <w:szCs w:val="28"/>
              </w:rPr>
              <w:t>Cp</w:t>
            </w:r>
            <w:r>
              <w:rPr>
                <w:b/>
                <w:bCs/>
                <w:color w:val="000000"/>
                <w:szCs w:val="28"/>
              </w:rPr>
              <w:t>G site position methylation level (</w:t>
            </w:r>
            <w:r>
              <w:rPr>
                <w:b/>
                <w:bCs/>
                <w:color w:val="000000"/>
                <w:szCs w:val="28"/>
              </w:rPr>
              <w:sym w:font="Symbol" w:char="F060"/>
            </w:r>
            <w:bookmarkStart w:id="0" w:name="_Hlk60091188"/>
            <w:r>
              <w:rPr>
                <w:b/>
                <w:bCs/>
                <w:color w:val="000000"/>
                <w:szCs w:val="28"/>
              </w:rPr>
              <w:sym w:font="Symbol" w:char="F063"/>
            </w:r>
            <w:r>
              <w:rPr>
                <w:rFonts w:hint="eastAsia"/>
                <w:b/>
                <w:bCs/>
                <w:color w:val="000000"/>
                <w:szCs w:val="28"/>
              </w:rPr>
              <w:t>±S</w:t>
            </w:r>
            <w:bookmarkEnd w:id="0"/>
            <w:r>
              <w:rPr>
                <w:b/>
                <w:bCs/>
                <w:color w:val="000000"/>
                <w:szCs w:val="28"/>
              </w:rPr>
              <w:t xml:space="preserve">) </w:t>
            </w:r>
            <w:r>
              <w:rPr>
                <w:rFonts w:hint="eastAsia"/>
                <w:b/>
                <w:bCs/>
                <w:color w:val="000000"/>
                <w:szCs w:val="28"/>
                <w:vertAlign w:val="superscript"/>
              </w:rPr>
              <w:t>†</w:t>
            </w:r>
          </w:p>
        </w:tc>
        <w:tc>
          <w:tcPr>
            <w:tcW w:w="1896" w:type="dxa"/>
            <w:tcBorders>
              <w:bottom w:val="single" w:color="auto" w:sz="8" w:space="0"/>
            </w:tcBorders>
          </w:tcPr>
          <w:p w14:paraId="35B3A85B">
            <w:pPr>
              <w:spacing w:line="360" w:lineRule="auto"/>
              <w:jc w:val="center"/>
              <w:rPr>
                <w:rFonts w:hint="default" w:eastAsia="宋体"/>
                <w:b/>
                <w:bCs/>
                <w:color w:val="000000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Cs w:val="28"/>
                <w:lang w:val="en-US" w:eastAsia="zh-CN"/>
              </w:rPr>
              <w:t>Case</w:t>
            </w:r>
          </w:p>
          <w:p w14:paraId="484E87BF">
            <w:pPr>
              <w:spacing w:line="360" w:lineRule="auto"/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rFonts w:hint="eastAsia"/>
                <w:b/>
                <w:bCs/>
                <w:color w:val="000000"/>
                <w:szCs w:val="28"/>
              </w:rPr>
              <w:t>（n</w:t>
            </w:r>
            <w:r>
              <w:rPr>
                <w:b/>
                <w:bCs/>
                <w:color w:val="000000"/>
                <w:szCs w:val="28"/>
              </w:rPr>
              <w:t>=20</w:t>
            </w:r>
            <w:r>
              <w:rPr>
                <w:rFonts w:hint="eastAsia"/>
                <w:b/>
                <w:bCs/>
                <w:color w:val="000000"/>
                <w:szCs w:val="28"/>
              </w:rPr>
              <w:t>）</w:t>
            </w:r>
          </w:p>
        </w:tc>
        <w:tc>
          <w:tcPr>
            <w:tcW w:w="1600" w:type="dxa"/>
            <w:tcBorders>
              <w:bottom w:val="single" w:color="auto" w:sz="8" w:space="0"/>
            </w:tcBorders>
          </w:tcPr>
          <w:p w14:paraId="195E3785">
            <w:pPr>
              <w:spacing w:line="360" w:lineRule="auto"/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rFonts w:hint="eastAsia"/>
                <w:b/>
                <w:bCs/>
                <w:szCs w:val="21"/>
              </w:rPr>
              <w:t>C</w:t>
            </w:r>
            <w:r>
              <w:rPr>
                <w:b/>
                <w:bCs/>
                <w:szCs w:val="21"/>
              </w:rPr>
              <w:t>ontrols</w:t>
            </w:r>
            <w:r>
              <w:rPr>
                <w:rFonts w:hint="eastAsia"/>
                <w:b/>
                <w:bCs/>
                <w:color w:val="000000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Cs w:val="28"/>
              </w:rPr>
              <w:t>（n</w:t>
            </w:r>
            <w:r>
              <w:rPr>
                <w:b/>
                <w:bCs/>
                <w:color w:val="000000"/>
                <w:szCs w:val="28"/>
              </w:rPr>
              <w:t>=20</w:t>
            </w:r>
            <w:r>
              <w:rPr>
                <w:rFonts w:hint="eastAsia"/>
                <w:b/>
                <w:bCs/>
                <w:color w:val="000000"/>
                <w:szCs w:val="28"/>
              </w:rPr>
              <w:t>）</w:t>
            </w:r>
          </w:p>
        </w:tc>
        <w:tc>
          <w:tcPr>
            <w:tcW w:w="1792" w:type="dxa"/>
            <w:tcBorders>
              <w:bottom w:val="single" w:color="auto" w:sz="8" w:space="0"/>
            </w:tcBorders>
          </w:tcPr>
          <w:p w14:paraId="4E84B511">
            <w:pPr>
              <w:spacing w:line="360" w:lineRule="auto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szCs w:val="28"/>
              </w:rPr>
              <w:t>Methylation mean difference</w:t>
            </w:r>
          </w:p>
        </w:tc>
        <w:tc>
          <w:tcPr>
            <w:tcW w:w="952" w:type="dxa"/>
            <w:tcBorders>
              <w:bottom w:val="single" w:color="auto" w:sz="8" w:space="0"/>
            </w:tcBorders>
          </w:tcPr>
          <w:p w14:paraId="54233F84">
            <w:pPr>
              <w:spacing w:line="360" w:lineRule="auto"/>
              <w:jc w:val="center"/>
              <w:rPr>
                <w:b/>
                <w:bCs/>
                <w:color w:val="000000"/>
                <w:szCs w:val="28"/>
              </w:rPr>
            </w:pPr>
          </w:p>
          <w:p w14:paraId="67488BD5">
            <w:pPr>
              <w:spacing w:line="360" w:lineRule="auto"/>
              <w:jc w:val="center"/>
              <w:rPr>
                <w:b/>
                <w:bCs/>
                <w:i/>
                <w:iCs/>
                <w:color w:val="000000"/>
                <w:szCs w:val="28"/>
              </w:rPr>
            </w:pPr>
            <w:r>
              <w:rPr>
                <w:rFonts w:hint="eastAsia"/>
                <w:b/>
                <w:bCs/>
                <w:i/>
                <w:iCs/>
                <w:color w:val="000000"/>
                <w:szCs w:val="28"/>
              </w:rPr>
              <w:t>P</w:t>
            </w:r>
            <w:r>
              <w:rPr>
                <w:rFonts w:hint="eastAsia"/>
                <w:b/>
                <w:bCs/>
                <w:color w:val="000000"/>
                <w:szCs w:val="28"/>
                <w:vertAlign w:val="superscript"/>
              </w:rPr>
              <w:t>＆</w:t>
            </w:r>
          </w:p>
        </w:tc>
      </w:tr>
      <w:tr w14:paraId="60EEA0D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655" w:type="dxa"/>
            <w:tcBorders>
              <w:top w:val="single" w:color="auto" w:sz="8" w:space="0"/>
              <w:bottom w:val="nil"/>
            </w:tcBorders>
          </w:tcPr>
          <w:p w14:paraId="001E90FD">
            <w:pPr>
              <w:spacing w:line="360" w:lineRule="auto"/>
              <w:rPr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R</w:t>
            </w:r>
            <w:r>
              <w:rPr>
                <w:color w:val="000000"/>
                <w:szCs w:val="28"/>
              </w:rPr>
              <w:t>ANKL pos553</w:t>
            </w:r>
          </w:p>
        </w:tc>
        <w:tc>
          <w:tcPr>
            <w:tcW w:w="1896" w:type="dxa"/>
            <w:tcBorders>
              <w:top w:val="single" w:color="auto" w:sz="8" w:space="0"/>
              <w:bottom w:val="nil"/>
            </w:tcBorders>
          </w:tcPr>
          <w:p w14:paraId="2FACDEA0">
            <w:pPr>
              <w:spacing w:line="360" w:lineRule="auto"/>
              <w:rPr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0</w:t>
            </w:r>
            <w:r>
              <w:rPr>
                <w:color w:val="000000"/>
                <w:szCs w:val="28"/>
              </w:rPr>
              <w:t>.975</w:t>
            </w:r>
            <w:r>
              <w:rPr>
                <w:rFonts w:hint="eastAsia"/>
                <w:color w:val="000000"/>
                <w:szCs w:val="28"/>
              </w:rPr>
              <w:t>±0</w:t>
            </w:r>
            <w:r>
              <w:rPr>
                <w:color w:val="000000"/>
                <w:szCs w:val="28"/>
              </w:rPr>
              <w:t>.021</w:t>
            </w:r>
          </w:p>
        </w:tc>
        <w:tc>
          <w:tcPr>
            <w:tcW w:w="1600" w:type="dxa"/>
            <w:tcBorders>
              <w:top w:val="single" w:color="auto" w:sz="8" w:space="0"/>
              <w:bottom w:val="nil"/>
            </w:tcBorders>
          </w:tcPr>
          <w:p w14:paraId="15E57A1E">
            <w:pPr>
              <w:spacing w:line="360" w:lineRule="auto"/>
              <w:rPr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0</w:t>
            </w:r>
            <w:r>
              <w:rPr>
                <w:color w:val="000000"/>
                <w:szCs w:val="28"/>
              </w:rPr>
              <w:t>.978</w:t>
            </w:r>
            <w:r>
              <w:rPr>
                <w:rFonts w:hint="eastAsia"/>
                <w:color w:val="000000"/>
                <w:szCs w:val="28"/>
              </w:rPr>
              <w:t>±0</w:t>
            </w:r>
            <w:r>
              <w:rPr>
                <w:color w:val="000000"/>
                <w:szCs w:val="28"/>
              </w:rPr>
              <w:t>.023</w:t>
            </w:r>
          </w:p>
        </w:tc>
        <w:tc>
          <w:tcPr>
            <w:tcW w:w="1792" w:type="dxa"/>
            <w:tcBorders>
              <w:top w:val="single" w:color="auto" w:sz="8" w:space="0"/>
              <w:bottom w:val="nil"/>
            </w:tcBorders>
          </w:tcPr>
          <w:p w14:paraId="1F8A9888">
            <w:pPr>
              <w:spacing w:line="360" w:lineRule="auto"/>
              <w:rPr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-</w:t>
            </w:r>
            <w:r>
              <w:rPr>
                <w:color w:val="000000"/>
                <w:szCs w:val="28"/>
              </w:rPr>
              <w:t>0.00305</w:t>
            </w:r>
          </w:p>
        </w:tc>
        <w:tc>
          <w:tcPr>
            <w:tcW w:w="952" w:type="dxa"/>
            <w:tcBorders>
              <w:top w:val="single" w:color="auto" w:sz="8" w:space="0"/>
              <w:bottom w:val="nil"/>
            </w:tcBorders>
          </w:tcPr>
          <w:p w14:paraId="230A65C3">
            <w:pPr>
              <w:spacing w:line="360" w:lineRule="auto"/>
              <w:jc w:val="center"/>
              <w:rPr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0</w:t>
            </w:r>
            <w:r>
              <w:rPr>
                <w:color w:val="000000"/>
                <w:szCs w:val="28"/>
              </w:rPr>
              <w:t>.657</w:t>
            </w:r>
          </w:p>
        </w:tc>
      </w:tr>
      <w:tr w14:paraId="62D67C6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5" w:type="dxa"/>
            <w:tcBorders>
              <w:top w:val="nil"/>
            </w:tcBorders>
          </w:tcPr>
          <w:p w14:paraId="3D9D1805">
            <w:pPr>
              <w:spacing w:line="360" w:lineRule="auto"/>
              <w:rPr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R</w:t>
            </w:r>
            <w:r>
              <w:rPr>
                <w:color w:val="000000"/>
                <w:szCs w:val="28"/>
              </w:rPr>
              <w:t>ANKL pos555</w:t>
            </w:r>
          </w:p>
        </w:tc>
        <w:tc>
          <w:tcPr>
            <w:tcW w:w="1896" w:type="dxa"/>
            <w:tcBorders>
              <w:top w:val="nil"/>
            </w:tcBorders>
          </w:tcPr>
          <w:p w14:paraId="4EAF4F55">
            <w:pPr>
              <w:spacing w:line="360" w:lineRule="auto"/>
              <w:rPr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0</w:t>
            </w:r>
            <w:r>
              <w:rPr>
                <w:color w:val="000000"/>
                <w:szCs w:val="28"/>
              </w:rPr>
              <w:t>.974</w:t>
            </w:r>
            <w:r>
              <w:rPr>
                <w:rFonts w:hint="eastAsia"/>
                <w:color w:val="000000"/>
                <w:szCs w:val="28"/>
              </w:rPr>
              <w:t>±0</w:t>
            </w:r>
            <w:r>
              <w:rPr>
                <w:color w:val="000000"/>
                <w:szCs w:val="28"/>
              </w:rPr>
              <w:t>.024</w:t>
            </w:r>
            <w:r>
              <w:rPr>
                <w:rFonts w:hint="eastAsia"/>
                <w:color w:val="000000"/>
                <w:szCs w:val="28"/>
              </w:rPr>
              <w:t xml:space="preserve"> </w:t>
            </w:r>
          </w:p>
        </w:tc>
        <w:tc>
          <w:tcPr>
            <w:tcW w:w="1600" w:type="dxa"/>
            <w:tcBorders>
              <w:top w:val="nil"/>
            </w:tcBorders>
          </w:tcPr>
          <w:p w14:paraId="36834FB7">
            <w:pPr>
              <w:spacing w:line="360" w:lineRule="auto"/>
              <w:rPr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0</w:t>
            </w:r>
            <w:r>
              <w:rPr>
                <w:color w:val="000000"/>
                <w:szCs w:val="28"/>
              </w:rPr>
              <w:t>.977</w:t>
            </w:r>
            <w:r>
              <w:rPr>
                <w:rFonts w:hint="eastAsia"/>
                <w:color w:val="000000"/>
                <w:szCs w:val="28"/>
              </w:rPr>
              <w:t>±0</w:t>
            </w:r>
            <w:r>
              <w:rPr>
                <w:color w:val="000000"/>
                <w:szCs w:val="28"/>
              </w:rPr>
              <w:t>.019</w:t>
            </w:r>
          </w:p>
        </w:tc>
        <w:tc>
          <w:tcPr>
            <w:tcW w:w="1792" w:type="dxa"/>
            <w:tcBorders>
              <w:top w:val="nil"/>
            </w:tcBorders>
          </w:tcPr>
          <w:p w14:paraId="6695DF2B">
            <w:pPr>
              <w:spacing w:line="360" w:lineRule="auto"/>
              <w:rPr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-</w:t>
            </w:r>
            <w:r>
              <w:rPr>
                <w:color w:val="000000"/>
                <w:szCs w:val="28"/>
              </w:rPr>
              <w:t>0.00365</w:t>
            </w:r>
          </w:p>
        </w:tc>
        <w:tc>
          <w:tcPr>
            <w:tcW w:w="952" w:type="dxa"/>
            <w:tcBorders>
              <w:top w:val="nil"/>
            </w:tcBorders>
          </w:tcPr>
          <w:p w14:paraId="1E9F5D99">
            <w:pPr>
              <w:spacing w:line="360" w:lineRule="auto"/>
              <w:jc w:val="center"/>
              <w:rPr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0</w:t>
            </w:r>
            <w:r>
              <w:rPr>
                <w:color w:val="000000"/>
                <w:szCs w:val="28"/>
              </w:rPr>
              <w:t>.609</w:t>
            </w:r>
          </w:p>
        </w:tc>
      </w:tr>
      <w:tr w14:paraId="6196798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5" w:type="dxa"/>
          </w:tcPr>
          <w:p w14:paraId="596FD36F">
            <w:pPr>
              <w:spacing w:line="360" w:lineRule="auto"/>
              <w:rPr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R</w:t>
            </w:r>
            <w:r>
              <w:rPr>
                <w:color w:val="000000"/>
                <w:szCs w:val="28"/>
              </w:rPr>
              <w:t>ANKL pos592</w:t>
            </w:r>
          </w:p>
        </w:tc>
        <w:tc>
          <w:tcPr>
            <w:tcW w:w="1896" w:type="dxa"/>
          </w:tcPr>
          <w:p w14:paraId="320F3CDD">
            <w:pPr>
              <w:spacing w:line="360" w:lineRule="auto"/>
              <w:rPr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0</w:t>
            </w:r>
            <w:r>
              <w:rPr>
                <w:color w:val="000000"/>
                <w:szCs w:val="28"/>
              </w:rPr>
              <w:t>.801</w:t>
            </w:r>
            <w:r>
              <w:rPr>
                <w:rFonts w:hint="eastAsia"/>
                <w:color w:val="000000"/>
                <w:szCs w:val="28"/>
              </w:rPr>
              <w:t>±0</w:t>
            </w:r>
            <w:r>
              <w:rPr>
                <w:color w:val="000000"/>
                <w:szCs w:val="28"/>
              </w:rPr>
              <w:t>.066</w:t>
            </w:r>
          </w:p>
        </w:tc>
        <w:tc>
          <w:tcPr>
            <w:tcW w:w="1600" w:type="dxa"/>
          </w:tcPr>
          <w:p w14:paraId="0D9EC793">
            <w:pPr>
              <w:spacing w:line="360" w:lineRule="auto"/>
              <w:rPr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0</w:t>
            </w:r>
            <w:r>
              <w:rPr>
                <w:color w:val="000000"/>
                <w:szCs w:val="28"/>
              </w:rPr>
              <w:t>.811</w:t>
            </w:r>
            <w:r>
              <w:rPr>
                <w:rFonts w:hint="eastAsia"/>
                <w:color w:val="000000"/>
                <w:szCs w:val="28"/>
              </w:rPr>
              <w:t>±0</w:t>
            </w:r>
            <w:r>
              <w:rPr>
                <w:color w:val="000000"/>
                <w:szCs w:val="28"/>
              </w:rPr>
              <w:t>.092</w:t>
            </w:r>
          </w:p>
        </w:tc>
        <w:tc>
          <w:tcPr>
            <w:tcW w:w="1792" w:type="dxa"/>
          </w:tcPr>
          <w:p w14:paraId="1F5B0B5A">
            <w:pPr>
              <w:spacing w:line="360" w:lineRule="auto"/>
              <w:rPr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-</w:t>
            </w:r>
            <w:r>
              <w:rPr>
                <w:color w:val="000000"/>
                <w:szCs w:val="28"/>
              </w:rPr>
              <w:t>0.0101</w:t>
            </w:r>
          </w:p>
        </w:tc>
        <w:tc>
          <w:tcPr>
            <w:tcW w:w="952" w:type="dxa"/>
          </w:tcPr>
          <w:p w14:paraId="02CF30F9">
            <w:pPr>
              <w:spacing w:line="360" w:lineRule="auto"/>
              <w:jc w:val="center"/>
              <w:rPr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0</w:t>
            </w:r>
            <w:r>
              <w:rPr>
                <w:color w:val="000000"/>
                <w:szCs w:val="28"/>
              </w:rPr>
              <w:t>.694</w:t>
            </w:r>
          </w:p>
        </w:tc>
      </w:tr>
      <w:tr w14:paraId="24912AA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5" w:type="dxa"/>
          </w:tcPr>
          <w:p w14:paraId="64C1FFCC">
            <w:pPr>
              <w:spacing w:line="360" w:lineRule="auto"/>
              <w:rPr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R</w:t>
            </w:r>
            <w:r>
              <w:rPr>
                <w:color w:val="000000"/>
                <w:szCs w:val="28"/>
              </w:rPr>
              <w:t>ANKL pos634</w:t>
            </w:r>
          </w:p>
        </w:tc>
        <w:tc>
          <w:tcPr>
            <w:tcW w:w="1896" w:type="dxa"/>
          </w:tcPr>
          <w:p w14:paraId="017F2355">
            <w:pPr>
              <w:spacing w:line="360" w:lineRule="auto"/>
              <w:rPr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0</w:t>
            </w:r>
            <w:r>
              <w:rPr>
                <w:color w:val="000000"/>
                <w:szCs w:val="28"/>
              </w:rPr>
              <w:t>.071</w:t>
            </w:r>
            <w:r>
              <w:rPr>
                <w:rFonts w:hint="eastAsia"/>
                <w:color w:val="000000"/>
                <w:szCs w:val="28"/>
              </w:rPr>
              <w:t>±0</w:t>
            </w:r>
            <w:r>
              <w:rPr>
                <w:color w:val="000000"/>
                <w:szCs w:val="28"/>
              </w:rPr>
              <w:t>.034</w:t>
            </w:r>
          </w:p>
        </w:tc>
        <w:tc>
          <w:tcPr>
            <w:tcW w:w="1600" w:type="dxa"/>
          </w:tcPr>
          <w:p w14:paraId="057B2EC7">
            <w:pPr>
              <w:spacing w:line="360" w:lineRule="auto"/>
              <w:rPr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0</w:t>
            </w:r>
            <w:r>
              <w:rPr>
                <w:color w:val="000000"/>
                <w:szCs w:val="28"/>
              </w:rPr>
              <w:t>.073</w:t>
            </w:r>
            <w:r>
              <w:rPr>
                <w:rFonts w:hint="eastAsia"/>
                <w:color w:val="000000"/>
                <w:szCs w:val="28"/>
              </w:rPr>
              <w:t>±0</w:t>
            </w:r>
            <w:r>
              <w:rPr>
                <w:color w:val="000000"/>
                <w:szCs w:val="28"/>
              </w:rPr>
              <w:t>.022</w:t>
            </w:r>
          </w:p>
        </w:tc>
        <w:tc>
          <w:tcPr>
            <w:tcW w:w="1792" w:type="dxa"/>
          </w:tcPr>
          <w:p w14:paraId="61BE32ED">
            <w:pPr>
              <w:spacing w:line="360" w:lineRule="auto"/>
              <w:rPr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-</w:t>
            </w:r>
            <w:r>
              <w:rPr>
                <w:color w:val="000000"/>
                <w:szCs w:val="28"/>
              </w:rPr>
              <w:t>0.0025</w:t>
            </w:r>
          </w:p>
        </w:tc>
        <w:tc>
          <w:tcPr>
            <w:tcW w:w="952" w:type="dxa"/>
          </w:tcPr>
          <w:p w14:paraId="58B4A0FF">
            <w:pPr>
              <w:spacing w:line="360" w:lineRule="auto"/>
              <w:jc w:val="center"/>
              <w:rPr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0</w:t>
            </w:r>
            <w:r>
              <w:rPr>
                <w:color w:val="000000"/>
                <w:szCs w:val="28"/>
              </w:rPr>
              <w:t>.788</w:t>
            </w:r>
          </w:p>
        </w:tc>
      </w:tr>
      <w:tr w14:paraId="1FBFA85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5" w:type="dxa"/>
          </w:tcPr>
          <w:p w14:paraId="701D5414">
            <w:pPr>
              <w:spacing w:line="360" w:lineRule="auto"/>
              <w:rPr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R</w:t>
            </w:r>
            <w:r>
              <w:rPr>
                <w:color w:val="000000"/>
                <w:szCs w:val="28"/>
              </w:rPr>
              <w:t>ANKL pos684</w:t>
            </w:r>
          </w:p>
        </w:tc>
        <w:tc>
          <w:tcPr>
            <w:tcW w:w="1896" w:type="dxa"/>
          </w:tcPr>
          <w:p w14:paraId="302F6B31">
            <w:pPr>
              <w:spacing w:line="360" w:lineRule="auto"/>
              <w:rPr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0</w:t>
            </w:r>
            <w:r>
              <w:rPr>
                <w:color w:val="000000"/>
                <w:szCs w:val="28"/>
              </w:rPr>
              <w:t>.187</w:t>
            </w:r>
            <w:r>
              <w:rPr>
                <w:rFonts w:hint="eastAsia"/>
                <w:color w:val="000000"/>
                <w:szCs w:val="28"/>
              </w:rPr>
              <w:t>±0</w:t>
            </w:r>
            <w:r>
              <w:rPr>
                <w:color w:val="000000"/>
                <w:szCs w:val="28"/>
              </w:rPr>
              <w:t>.032</w:t>
            </w:r>
          </w:p>
        </w:tc>
        <w:tc>
          <w:tcPr>
            <w:tcW w:w="1600" w:type="dxa"/>
          </w:tcPr>
          <w:p w14:paraId="26300E3E">
            <w:pPr>
              <w:spacing w:line="360" w:lineRule="auto"/>
              <w:rPr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0</w:t>
            </w:r>
            <w:r>
              <w:rPr>
                <w:color w:val="000000"/>
                <w:szCs w:val="28"/>
              </w:rPr>
              <w:t>.189</w:t>
            </w:r>
            <w:r>
              <w:rPr>
                <w:rFonts w:hint="eastAsia"/>
                <w:color w:val="000000"/>
                <w:szCs w:val="28"/>
              </w:rPr>
              <w:t>±0</w:t>
            </w:r>
            <w:r>
              <w:rPr>
                <w:color w:val="000000"/>
                <w:szCs w:val="28"/>
              </w:rPr>
              <w:t>.039</w:t>
            </w:r>
          </w:p>
        </w:tc>
        <w:tc>
          <w:tcPr>
            <w:tcW w:w="1792" w:type="dxa"/>
          </w:tcPr>
          <w:p w14:paraId="1C9F3964">
            <w:pPr>
              <w:spacing w:line="360" w:lineRule="auto"/>
              <w:rPr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-</w:t>
            </w:r>
            <w:r>
              <w:rPr>
                <w:color w:val="000000"/>
                <w:szCs w:val="28"/>
              </w:rPr>
              <w:t>0.0016</w:t>
            </w:r>
          </w:p>
        </w:tc>
        <w:tc>
          <w:tcPr>
            <w:tcW w:w="952" w:type="dxa"/>
          </w:tcPr>
          <w:p w14:paraId="23697524">
            <w:pPr>
              <w:spacing w:line="360" w:lineRule="auto"/>
              <w:jc w:val="center"/>
              <w:rPr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0</w:t>
            </w:r>
            <w:r>
              <w:rPr>
                <w:color w:val="000000"/>
                <w:szCs w:val="28"/>
              </w:rPr>
              <w:t>.886</w:t>
            </w:r>
          </w:p>
        </w:tc>
      </w:tr>
      <w:tr w14:paraId="180A458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5" w:type="dxa"/>
          </w:tcPr>
          <w:p w14:paraId="16A8F4C9">
            <w:pPr>
              <w:spacing w:line="360" w:lineRule="auto"/>
              <w:rPr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R</w:t>
            </w:r>
            <w:r>
              <w:rPr>
                <w:color w:val="000000"/>
                <w:szCs w:val="28"/>
              </w:rPr>
              <w:t>ANKL pos720</w:t>
            </w:r>
          </w:p>
        </w:tc>
        <w:tc>
          <w:tcPr>
            <w:tcW w:w="1896" w:type="dxa"/>
          </w:tcPr>
          <w:p w14:paraId="6AC36FD3">
            <w:pPr>
              <w:spacing w:line="360" w:lineRule="auto"/>
              <w:rPr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0</w:t>
            </w:r>
            <w:r>
              <w:rPr>
                <w:color w:val="000000"/>
                <w:szCs w:val="28"/>
              </w:rPr>
              <w:t>.380</w:t>
            </w:r>
            <w:r>
              <w:rPr>
                <w:rFonts w:hint="eastAsia"/>
                <w:color w:val="000000"/>
                <w:szCs w:val="28"/>
              </w:rPr>
              <w:t>±0</w:t>
            </w:r>
            <w:r>
              <w:rPr>
                <w:color w:val="000000"/>
                <w:szCs w:val="28"/>
              </w:rPr>
              <w:t>.022</w:t>
            </w:r>
          </w:p>
        </w:tc>
        <w:tc>
          <w:tcPr>
            <w:tcW w:w="1600" w:type="dxa"/>
          </w:tcPr>
          <w:p w14:paraId="66A5E351">
            <w:pPr>
              <w:spacing w:line="360" w:lineRule="auto"/>
              <w:rPr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0</w:t>
            </w:r>
            <w:r>
              <w:rPr>
                <w:color w:val="000000"/>
                <w:szCs w:val="28"/>
              </w:rPr>
              <w:t>.384</w:t>
            </w:r>
            <w:r>
              <w:rPr>
                <w:rFonts w:hint="eastAsia"/>
                <w:color w:val="000000"/>
                <w:szCs w:val="28"/>
              </w:rPr>
              <w:t>±0</w:t>
            </w:r>
            <w:r>
              <w:rPr>
                <w:color w:val="000000"/>
                <w:szCs w:val="28"/>
              </w:rPr>
              <w:t>.021</w:t>
            </w:r>
          </w:p>
        </w:tc>
        <w:tc>
          <w:tcPr>
            <w:tcW w:w="1792" w:type="dxa"/>
          </w:tcPr>
          <w:p w14:paraId="050E8953">
            <w:pPr>
              <w:spacing w:line="360" w:lineRule="auto"/>
              <w:rPr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-</w:t>
            </w:r>
            <w:r>
              <w:rPr>
                <w:color w:val="000000"/>
                <w:szCs w:val="28"/>
              </w:rPr>
              <w:t>0.0043</w:t>
            </w:r>
          </w:p>
        </w:tc>
        <w:tc>
          <w:tcPr>
            <w:tcW w:w="952" w:type="dxa"/>
          </w:tcPr>
          <w:p w14:paraId="19B6E209">
            <w:pPr>
              <w:spacing w:line="360" w:lineRule="auto"/>
              <w:jc w:val="center"/>
              <w:rPr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0</w:t>
            </w:r>
            <w:r>
              <w:rPr>
                <w:color w:val="000000"/>
                <w:szCs w:val="28"/>
              </w:rPr>
              <w:t>.569</w:t>
            </w:r>
          </w:p>
        </w:tc>
      </w:tr>
    </w:tbl>
    <w:p w14:paraId="1CD267A6">
      <w:r>
        <w:rPr>
          <w:sz w:val="18"/>
          <w:szCs w:val="18"/>
        </w:rPr>
        <w:t>Note</w:t>
      </w:r>
      <w:r>
        <w:rPr>
          <w:rFonts w:hint="eastAsia"/>
          <w:sz w:val="18"/>
          <w:szCs w:val="18"/>
        </w:rPr>
        <w:t>:</w:t>
      </w:r>
      <w:r>
        <w:rPr>
          <w:rFonts w:hint="eastAsia"/>
          <w:sz w:val="18"/>
          <w:szCs w:val="18"/>
        </w:rPr>
        <w:sym w:font="Symbol" w:char="F060"/>
      </w:r>
      <w:r>
        <w:rPr>
          <w:rFonts w:hint="eastAsia"/>
          <w:sz w:val="18"/>
          <w:szCs w:val="18"/>
          <w:vertAlign w:val="superscript"/>
        </w:rPr>
        <w:t xml:space="preserve"> </w:t>
      </w:r>
      <w:r>
        <w:rPr>
          <w:sz w:val="18"/>
          <w:szCs w:val="18"/>
        </w:rPr>
        <w:sym w:font="Symbol" w:char="F063"/>
      </w:r>
      <w:r>
        <w:rPr>
          <w:rFonts w:hint="eastAsia"/>
          <w:sz w:val="18"/>
          <w:szCs w:val="18"/>
        </w:rPr>
        <w:t>±S:</w:t>
      </w:r>
      <w:r>
        <w:rPr>
          <w:sz w:val="18"/>
          <w:szCs w:val="18"/>
        </w:rPr>
        <w:t>mean ± standard deviation; *the mean methylation level of the fluoride poisoning group minus the mean methylation level of the control gro</w:t>
      </w:r>
      <w:bookmarkStart w:id="1" w:name="_GoBack"/>
      <w:bookmarkEnd w:id="1"/>
      <w:r>
        <w:rPr>
          <w:sz w:val="18"/>
          <w:szCs w:val="18"/>
        </w:rPr>
        <w:t>up; &amp; the difference in methylation levels between groups was tested using a paired t-test.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647855"/>
    <w:rsid w:val="131C0A9F"/>
    <w:rsid w:val="13647855"/>
    <w:rsid w:val="4D27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508</Characters>
  <Lines>0</Lines>
  <Paragraphs>0</Paragraphs>
  <TotalTime>0</TotalTime>
  <ScaleCrop>false</ScaleCrop>
  <LinksUpToDate>false</LinksUpToDate>
  <CharactersWithSpaces>539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2025-10-11T05:27:00Z</dcterms:created>
  <dc:creator>5V</dc:creator>
  <cp:lastModifiedBy>5V</cp:lastModifiedBy>
  <dcterms:modified xsi:type="dcterms:W3CDTF">2025-10-11T05:34:39Z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7E9389088B0D496CA0B7EF0B283D0D8E_11</vt:lpwstr>
  </property>
  <property fmtid="{D5CDD505-2E9C-101B-9397-08002B2CF9AE}" pid="4" name="KSOTemplateDocerSaveRecord">
    <vt:lpwstr>eyJoZGlkIjoiNzU1NmQyY2FmMTdmYjRiNTJkOTIxZDZjZWZhMDI4ZWIiLCJ1c2VySWQiOiI5NzMxNDY0NjYifQ==</vt:lpwstr>
  </property>
</Properties>
</file>