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D8A0">
      <w:pPr>
        <w:ind w:firstLine="0" w:firstLineChars="0"/>
        <w:jc w:val="both"/>
        <w:rPr>
          <w:rFonts w:hint="eastAsia" w:eastAsia="宋体"/>
          <w:lang w:eastAsia="zh-CN"/>
        </w:rPr>
      </w:pPr>
    </w:p>
    <w:p w14:paraId="6B3AE59C">
      <w:pPr>
        <w:ind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435475" cy="2205990"/>
            <wp:effectExtent l="0" t="0" r="0" b="0"/>
            <wp:docPr id="1" name="图片 1" descr="E:/桌面/生信文章/4 Supplementary Tables/3 Supplementary Figures/Fig. S3 Construction of pCAMBIAsuper1300 subcellular localization vector.pngFig. S3 Construction of pCAMBIAsuper1300 subcellular localizati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桌面/生信文章/4 Supplementary Tables/3 Supplementary Figures/Fig. S3 Construction of pCAMBIAsuper1300 subcellular localization vector.pngFig. S3 Construction of pCAMBIAsuper1300 subcellular localization vector"/>
                    <pic:cNvPicPr>
                      <a:picLocks noChangeAspect="1"/>
                    </pic:cNvPicPr>
                  </pic:nvPicPr>
                  <pic:blipFill>
                    <a:blip r:embed="rId6"/>
                    <a:srcRect l="-67" r="-187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C12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Fig. S3 Construction of </w:t>
      </w:r>
      <w:r>
        <w:rPr>
          <w:rFonts w:hint="eastAsia"/>
          <w:i/>
          <w:iCs/>
          <w:sz w:val="21"/>
          <w:szCs w:val="21"/>
        </w:rPr>
        <w:t>pCAMBIAsuper1300</w:t>
      </w:r>
      <w:r>
        <w:rPr>
          <w:rFonts w:hint="eastAsia"/>
          <w:sz w:val="21"/>
          <w:szCs w:val="21"/>
        </w:rPr>
        <w:t xml:space="preserve"> subcellular localization vector</w:t>
      </w:r>
    </w:p>
    <w:p w14:paraId="267762DC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Style w:val="7"/>
          <w:rFonts w:hint="eastAsia"/>
          <w:sz w:val="21"/>
          <w:szCs w:val="21"/>
          <w:lang w:val="en-US" w:eastAsia="zh-CN"/>
        </w:rPr>
      </w:pPr>
      <w:bookmarkStart w:id="0" w:name="_Toc7998"/>
      <w:r>
        <w:rPr>
          <w:rStyle w:val="7"/>
          <w:rFonts w:hint="eastAsia"/>
          <w:sz w:val="21"/>
          <w:szCs w:val="21"/>
        </w:rPr>
        <w:t xml:space="preserve">The map of </w:t>
      </w:r>
      <w:r>
        <w:rPr>
          <w:rStyle w:val="7"/>
          <w:rFonts w:hint="eastAsia"/>
          <w:i/>
          <w:iCs/>
          <w:sz w:val="21"/>
          <w:szCs w:val="21"/>
        </w:rPr>
        <w:t>pCAMBIAsuper1300</w:t>
      </w:r>
      <w:r>
        <w:rPr>
          <w:rStyle w:val="7"/>
          <w:rFonts w:hint="eastAsia"/>
          <w:sz w:val="21"/>
          <w:szCs w:val="21"/>
        </w:rPr>
        <w:t xml:space="preserve"> vector and the clone site selected for constructing</w:t>
      </w:r>
      <w:r>
        <w:rPr>
          <w:rStyle w:val="7"/>
          <w:rFonts w:hint="eastAsia"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/>
          <w:i/>
          <w:iCs/>
          <w:sz w:val="21"/>
          <w:szCs w:val="21"/>
        </w:rPr>
        <w:t>pCAMBIAsuper1300</w:t>
      </w:r>
      <w:r>
        <w:rPr>
          <w:rStyle w:val="7"/>
          <w:rFonts w:hint="eastAsia"/>
          <w:sz w:val="21"/>
          <w:szCs w:val="21"/>
        </w:rPr>
        <w:t>-</w:t>
      </w:r>
      <w:r>
        <w:rPr>
          <w:rStyle w:val="7"/>
          <w:rFonts w:hint="eastAsia"/>
          <w:i/>
          <w:iCs/>
          <w:sz w:val="21"/>
          <w:szCs w:val="21"/>
        </w:rPr>
        <w:t>StSCL3</w:t>
      </w:r>
      <w:r>
        <w:rPr>
          <w:rStyle w:val="7"/>
          <w:rFonts w:hint="eastAsia"/>
          <w:sz w:val="21"/>
          <w:szCs w:val="21"/>
        </w:rPr>
        <w:t xml:space="preserve"> vector.</w:t>
      </w:r>
      <w:bookmarkEnd w:id="0"/>
    </w:p>
    <w:p w14:paraId="48D51A2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Style w:val="7"/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B. </w:t>
      </w:r>
      <w:r>
        <w:rPr>
          <w:rStyle w:val="7"/>
          <w:rFonts w:hint="eastAsia"/>
          <w:sz w:val="21"/>
          <w:szCs w:val="21"/>
          <w:highlight w:val="none"/>
        </w:rPr>
        <w:t xml:space="preserve">Double enzyme digestion electropherogram of </w:t>
      </w:r>
      <w:r>
        <w:rPr>
          <w:rStyle w:val="7"/>
          <w:rFonts w:hint="eastAsia"/>
          <w:i/>
          <w:iCs/>
          <w:sz w:val="21"/>
          <w:szCs w:val="21"/>
          <w:highlight w:val="none"/>
        </w:rPr>
        <w:t>pCAMBIAsuper1300</w:t>
      </w:r>
      <w:r>
        <w:rPr>
          <w:rStyle w:val="7"/>
          <w:rFonts w:hint="eastAsia"/>
          <w:sz w:val="21"/>
          <w:szCs w:val="21"/>
          <w:highlight w:val="none"/>
        </w:rPr>
        <w:t>-</w:t>
      </w:r>
      <w:r>
        <w:rPr>
          <w:rStyle w:val="7"/>
          <w:rFonts w:hint="eastAsia"/>
          <w:i/>
          <w:iCs/>
          <w:sz w:val="21"/>
          <w:szCs w:val="21"/>
          <w:highlight w:val="none"/>
        </w:rPr>
        <w:t>StSCL3</w:t>
      </w:r>
      <w:r>
        <w:rPr>
          <w:rStyle w:val="7"/>
          <w:rFonts w:hint="eastAsia"/>
          <w:sz w:val="21"/>
          <w:szCs w:val="21"/>
          <w:highlight w:val="none"/>
        </w:rPr>
        <w:t>.</w:t>
      </w:r>
      <w:r>
        <w:rPr>
          <w:rStyle w:val="7"/>
          <w:rFonts w:hint="eastAsia"/>
          <w:sz w:val="21"/>
          <w:szCs w:val="21"/>
          <w:highlight w:val="none"/>
          <w:lang w:val="en-US" w:eastAsia="zh-CN"/>
        </w:rPr>
        <w:t xml:space="preserve"> </w:t>
      </w:r>
    </w:p>
    <w:p w14:paraId="6A4B0D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210" w:firstLineChars="100"/>
        <w:textAlignment w:val="auto"/>
        <w:rPr>
          <w:rStyle w:val="7"/>
          <w:rFonts w:hint="eastAsia"/>
          <w:sz w:val="21"/>
          <w:szCs w:val="21"/>
          <w:highlight w:val="none"/>
          <w:lang w:val="en-US" w:eastAsia="zh-CN"/>
        </w:rPr>
      </w:pPr>
      <w:r>
        <w:rPr>
          <w:rStyle w:val="7"/>
          <w:rFonts w:hint="eastAsia"/>
          <w:sz w:val="21"/>
          <w:szCs w:val="21"/>
          <w:highlight w:val="none"/>
          <w:lang w:val="en-US" w:eastAsia="zh-CN"/>
        </w:rPr>
        <w:t xml:space="preserve">Lane 1: </w:t>
      </w:r>
      <w:r>
        <w:rPr>
          <w:rStyle w:val="7"/>
          <w:rFonts w:hint="eastAsia"/>
          <w:i/>
          <w:iCs/>
          <w:sz w:val="21"/>
          <w:szCs w:val="21"/>
          <w:highlight w:val="none"/>
          <w:lang w:val="en-US" w:eastAsia="zh-CN"/>
        </w:rPr>
        <w:t xml:space="preserve">StSCL3 </w:t>
      </w:r>
      <w:r>
        <w:rPr>
          <w:rStyle w:val="7"/>
          <w:rFonts w:hint="eastAsia"/>
          <w:sz w:val="21"/>
          <w:szCs w:val="21"/>
          <w:highlight w:val="none"/>
          <w:lang w:val="en-US" w:eastAsia="zh-CN"/>
        </w:rPr>
        <w:t>(1605 bp), linearized empty vectors (10 000 bp);</w:t>
      </w:r>
    </w:p>
    <w:p w14:paraId="01FFC6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210" w:firstLineChars="100"/>
        <w:textAlignment w:val="auto"/>
        <w:rPr>
          <w:rStyle w:val="7"/>
          <w:rFonts w:hint="eastAsia"/>
          <w:sz w:val="21"/>
          <w:szCs w:val="21"/>
          <w:highlight w:val="none"/>
          <w:lang w:val="en-US" w:eastAsia="zh-CN"/>
        </w:rPr>
      </w:pPr>
      <w:r>
        <w:rPr>
          <w:rStyle w:val="7"/>
          <w:rFonts w:hint="eastAsia"/>
          <w:sz w:val="21"/>
          <w:szCs w:val="21"/>
          <w:highlight w:val="none"/>
          <w:lang w:val="en-US" w:eastAsia="zh-CN"/>
        </w:rPr>
        <w:t xml:space="preserve">Lane M: </w:t>
      </w:r>
      <w:r>
        <w:rPr>
          <w:sz w:val="21"/>
          <w:szCs w:val="21"/>
        </w:rPr>
        <w:t>RealBand DNA</w:t>
      </w:r>
      <w:r>
        <w:rPr>
          <w:rStyle w:val="7"/>
          <w:rFonts w:hint="eastAsia"/>
          <w:sz w:val="21"/>
          <w:szCs w:val="21"/>
          <w:highlight w:val="none"/>
          <w:lang w:val="en-US" w:eastAsia="zh-CN"/>
        </w:rPr>
        <w:t xml:space="preserve"> markers (100~10 000 bp) .</w:t>
      </w:r>
    </w:p>
    <w:p w14:paraId="4FA82D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lang w:val="en-US" w:eastAsia="zh-CN" w:bidi="ar"/>
        </w:rPr>
      </w:pPr>
    </w:p>
    <w:p w14:paraId="5E3A5B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Times New Roman" w:hAnsi="Times New Roman" w:eastAsia="黑体" w:cs="Times New Roman"/>
          <w:i/>
          <w:iCs/>
          <w:color w:val="131413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lang w:val="en-US" w:eastAsia="zh-CN" w:bidi="ar"/>
        </w:rPr>
        <w:t>Supplementary Material: Sequencing Validation of pCAMBIA1300-</w:t>
      </w:r>
      <w:r>
        <w:rPr>
          <w:rFonts w:hint="eastAsia" w:ascii="Times New Roman" w:hAnsi="Times New Roman" w:eastAsia="黑体" w:cs="Times New Roman"/>
          <w:i/>
          <w:iCs/>
          <w:color w:val="131413"/>
          <w:kern w:val="0"/>
          <w:sz w:val="21"/>
          <w:szCs w:val="21"/>
          <w:lang w:val="en-US" w:eastAsia="zh-CN" w:bidi="ar"/>
        </w:rPr>
        <w:t>GFP-StSCL3</w:t>
      </w:r>
    </w:p>
    <w:p w14:paraId="18ABD5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jc w:val="left"/>
        <w:textAlignment w:val="auto"/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highlight w:val="none"/>
          <w:lang w:val="en-US" w:eastAsia="zh-CN" w:bidi="ar"/>
        </w:rPr>
        <w:t>The pCAMBIA1300-</w:t>
      </w:r>
      <w:r>
        <w:rPr>
          <w:rFonts w:hint="eastAsia" w:ascii="Times New Roman" w:hAnsi="Times New Roman" w:eastAsia="黑体" w:cs="Times New Roman"/>
          <w:i/>
          <w:iCs/>
          <w:color w:val="131413"/>
          <w:kern w:val="0"/>
          <w:sz w:val="21"/>
          <w:szCs w:val="21"/>
          <w:highlight w:val="none"/>
          <w:lang w:val="en-US" w:eastAsia="zh-CN" w:bidi="ar"/>
        </w:rPr>
        <w:t>GFP-StSCL3</w:t>
      </w: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highlight w:val="none"/>
          <w:lang w:val="en-US" w:eastAsia="zh-CN" w:bidi="ar"/>
        </w:rPr>
        <w:t xml:space="preserve"> were subjected to Sanger sequencing (Sangon Biotech, Shanghai, China) using vector-specific primers (forward primer: </w:t>
      </w:r>
      <w:r>
        <w:rPr>
          <w:rFonts w:hint="default" w:ascii="Times New Roman" w:hAnsi="Times New Roman" w:eastAsia="黑体" w:cs="Times New Roman"/>
          <w:color w:val="131413"/>
          <w:kern w:val="0"/>
          <w:sz w:val="21"/>
          <w:szCs w:val="21"/>
          <w:highlight w:val="none"/>
          <w:lang w:val="en-US" w:eastAsia="zh-CN" w:bidi="ar"/>
        </w:rPr>
        <w:t>5’-TGTAAAACGACGGCCAGT-3’; reverse primer: 5’-CAGGAAACAGCTATGACC-3’</w:t>
      </w: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highlight w:val="none"/>
          <w:lang w:val="en-US" w:eastAsia="zh-CN" w:bidi="ar"/>
        </w:rPr>
        <w:t>) for validation of the inserted fragment integrity. Sequencing quality was evaluated by Q30 score (≥ 80% of bases with Q30 ≥ 30, indicating high sequence accuracy).</w:t>
      </w:r>
    </w:p>
    <w:p w14:paraId="4DEC0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default" w:ascii="Times New Roman" w:hAnsi="Times New Roman" w:eastAsia="黑体" w:cs="Times New Roman"/>
          <w:color w:val="131413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lang w:val="en-US" w:eastAsia="zh-CN" w:bidi="ar"/>
        </w:rPr>
        <w:t xml:space="preserve">The complete sequencing report </w:t>
      </w:r>
      <w:r>
        <w:rPr>
          <w:rFonts w:hint="eastAsia" w:eastAsia="黑体" w:cs="Times New Roman"/>
          <w:color w:val="131413"/>
          <w:kern w:val="0"/>
          <w:sz w:val="21"/>
          <w:szCs w:val="21"/>
          <w:lang w:val="en-US" w:eastAsia="zh-CN" w:bidi="ar"/>
        </w:rPr>
        <w:t>is</w:t>
      </w:r>
      <w:r>
        <w:rPr>
          <w:rFonts w:hint="eastAsia" w:ascii="Times New Roman" w:hAnsi="Times New Roman" w:eastAsia="黑体" w:cs="Times New Roman"/>
          <w:color w:val="131413"/>
          <w:kern w:val="0"/>
          <w:sz w:val="21"/>
          <w:szCs w:val="21"/>
          <w:lang w:val="en-US" w:eastAsia="zh-CN" w:bidi="ar"/>
        </w:rPr>
        <w:t xml:space="preserve"> provided as Supplementary File (PDF format, YC6314F ABX7470-9) for peer review and reproducibility.</w:t>
      </w:r>
    </w:p>
    <w:p w14:paraId="2E2BD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1"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D867C"/>
    <w:multiLevelType w:val="singleLevel"/>
    <w:tmpl w:val="B33D867C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2VkYjFhYzEyNDNmMGUyNzA4MWY0MDg5NDc5MDUifQ=="/>
  </w:docVars>
  <w:rsids>
    <w:rsidRoot w:val="00000000"/>
    <w:rsid w:val="0E8941AE"/>
    <w:rsid w:val="16736D41"/>
    <w:rsid w:val="268F2B67"/>
    <w:rsid w:val="30F754F2"/>
    <w:rsid w:val="38325D99"/>
    <w:rsid w:val="3B38552C"/>
    <w:rsid w:val="63C4349A"/>
    <w:rsid w:val="76284331"/>
    <w:rsid w:val="77346D46"/>
    <w:rsid w:val="7E042E27"/>
    <w:rsid w:val="7F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图注1111"/>
    <w:basedOn w:val="1"/>
    <w:qFormat/>
    <w:uiPriority w:val="0"/>
    <w:pPr>
      <w:spacing w:before="240" w:after="120" w:line="240" w:lineRule="auto"/>
      <w:ind w:firstLine="0" w:firstLineChars="0"/>
      <w:jc w:val="center"/>
      <w:outlineLvl w:val="9"/>
    </w:pPr>
    <w:rPr>
      <w:rFonts w:ascii="Times New Roman" w:hAnsi="Times New Roman" w:eastAsia="黑体"/>
    </w:rPr>
  </w:style>
  <w:style w:type="paragraph" w:customStyle="1" w:styleId="6">
    <w:name w:val="图注说明"/>
    <w:basedOn w:val="5"/>
    <w:qFormat/>
    <w:uiPriority w:val="0"/>
    <w:pPr>
      <w:spacing w:before="0" w:after="0"/>
      <w:jc w:val="both"/>
    </w:pPr>
    <w:rPr>
      <w:sz w:val="18"/>
    </w:rPr>
  </w:style>
  <w:style w:type="character" w:customStyle="1" w:styleId="7">
    <w:name w:val="text-d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1286</Characters>
  <Lines>0</Lines>
  <Paragraphs>0</Paragraphs>
  <TotalTime>2764</TotalTime>
  <ScaleCrop>false</ScaleCrop>
  <LinksUpToDate>false</LinksUpToDate>
  <CharactersWithSpaces>1466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2023-04-24T13:39:00Z</dcterms:created>
  <dc:creator>ASUS</dc:creator>
  <cp:lastModifiedBy>Little 诗诗</cp:lastModifiedBy>
  <dcterms:modified xsi:type="dcterms:W3CDTF">2026-02-07T00:16:20Z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ZOTERO_PREF_1">
    <vt:lpwstr>1</vt:lpwstr>
  </property>
  <property fmtid="{D5CDD505-2E9C-101B-9397-08002B2CF9AE}" pid="4" name="ICV">
    <vt:lpwstr>AFDA1DBAF54046ACB06ABE11690E4DCA_12</vt:lpwstr>
  </property>
  <property fmtid="{D5CDD505-2E9C-101B-9397-08002B2CF9AE}" pid="5" name="KSOTemplateDocerSaveRecord">
    <vt:lpwstr>eyJoZGlkIjoiMWE3M2VkYjFhYzEyNDNmMGUyNzA4MWY0MDg5NDc5MDUiLCJ1c2VySWQiOiI2NTgxMDAzMjYifQ==</vt:lpwstr>
  </property>
</Properties>
</file>