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FCF8A5" w14:textId="77777777" w:rsidR="007D3934" w:rsidRPr="00942973" w:rsidRDefault="007D3934" w:rsidP="007D3934">
      <w:pPr>
        <w:pStyle w:val="Heading1"/>
        <w:rPr>
          <w:rFonts w:ascii="Times New Roman" w:hAnsi="Times New Roman" w:cs="Times New Roman"/>
          <w:sz w:val="24"/>
          <w:szCs w:val="24"/>
        </w:rPr>
      </w:pPr>
      <w:r w:rsidRPr="00942973">
        <w:rPr>
          <w:rFonts w:ascii="Times New Roman" w:hAnsi="Times New Roman" w:cs="Times New Roman"/>
          <w:sz w:val="24"/>
          <w:szCs w:val="24"/>
        </w:rPr>
        <w:t>Appendix 1: Summary of Key Literature</w:t>
      </w:r>
    </w:p>
    <w:tbl>
      <w:tblPr>
        <w:tblStyle w:val="TableGrid"/>
        <w:tblW w:w="5000" w:type="pct"/>
        <w:tblLook w:val="04A0" w:firstRow="1" w:lastRow="0" w:firstColumn="1" w:lastColumn="0" w:noHBand="0" w:noVBand="1"/>
      </w:tblPr>
      <w:tblGrid>
        <w:gridCol w:w="2418"/>
        <w:gridCol w:w="2345"/>
        <w:gridCol w:w="4587"/>
      </w:tblGrid>
      <w:tr w:rsidR="007D3934" w:rsidRPr="00660482" w14:paraId="56B6AB81" w14:textId="77777777" w:rsidTr="00AB016E">
        <w:trPr>
          <w:trHeight w:val="144"/>
        </w:trPr>
        <w:tc>
          <w:tcPr>
            <w:tcW w:w="1293" w:type="pct"/>
            <w:vAlign w:val="center"/>
          </w:tcPr>
          <w:p w14:paraId="78DBD5AA" w14:textId="77777777" w:rsidR="007D3934" w:rsidRPr="00660482" w:rsidRDefault="007D3934" w:rsidP="00AB016E">
            <w:pPr>
              <w:rPr>
                <w:sz w:val="18"/>
                <w:szCs w:val="18"/>
              </w:rPr>
            </w:pPr>
            <w:r w:rsidRPr="00660482">
              <w:rPr>
                <w:sz w:val="18"/>
                <w:szCs w:val="18"/>
              </w:rPr>
              <w:t>Studies</w:t>
            </w:r>
          </w:p>
        </w:tc>
        <w:tc>
          <w:tcPr>
            <w:tcW w:w="1254" w:type="pct"/>
            <w:vAlign w:val="center"/>
          </w:tcPr>
          <w:p w14:paraId="24A0C130" w14:textId="77777777" w:rsidR="007D3934" w:rsidRPr="00660482" w:rsidRDefault="007D3934" w:rsidP="00AB016E">
            <w:pPr>
              <w:rPr>
                <w:sz w:val="18"/>
                <w:szCs w:val="18"/>
              </w:rPr>
            </w:pPr>
            <w:r w:rsidRPr="00660482">
              <w:rPr>
                <w:sz w:val="18"/>
                <w:szCs w:val="18"/>
              </w:rPr>
              <w:t>Sample period</w:t>
            </w:r>
          </w:p>
        </w:tc>
        <w:tc>
          <w:tcPr>
            <w:tcW w:w="2453" w:type="pct"/>
            <w:vAlign w:val="center"/>
          </w:tcPr>
          <w:p w14:paraId="46200D9A" w14:textId="77777777" w:rsidR="007D3934" w:rsidRPr="00660482" w:rsidRDefault="007D3934" w:rsidP="00AB016E">
            <w:pPr>
              <w:rPr>
                <w:sz w:val="18"/>
                <w:szCs w:val="18"/>
              </w:rPr>
            </w:pPr>
            <w:r w:rsidRPr="00660482">
              <w:rPr>
                <w:sz w:val="18"/>
                <w:szCs w:val="18"/>
              </w:rPr>
              <w:t>Sector Covered and Findings</w:t>
            </w:r>
          </w:p>
        </w:tc>
      </w:tr>
      <w:tr w:rsidR="007D3934" w:rsidRPr="00660482" w14:paraId="7DB87057" w14:textId="77777777" w:rsidTr="00AB016E">
        <w:trPr>
          <w:trHeight w:val="144"/>
        </w:trPr>
        <w:tc>
          <w:tcPr>
            <w:tcW w:w="1293" w:type="pct"/>
            <w:vAlign w:val="center"/>
          </w:tcPr>
          <w:p w14:paraId="38DE568B" w14:textId="77777777" w:rsidR="007D3934" w:rsidRPr="00660482" w:rsidRDefault="007D3934" w:rsidP="00AB016E">
            <w:pPr>
              <w:rPr>
                <w:sz w:val="18"/>
                <w:szCs w:val="18"/>
              </w:rPr>
            </w:pPr>
            <w:r w:rsidRPr="00660482">
              <w:rPr>
                <w:sz w:val="18"/>
                <w:szCs w:val="18"/>
              </w:rPr>
              <w:t>Akinsomni (2020)</w:t>
            </w:r>
          </w:p>
          <w:p w14:paraId="44AAF4CD" w14:textId="77777777" w:rsidR="007D3934" w:rsidRPr="00660482" w:rsidRDefault="007D3934" w:rsidP="00AB016E">
            <w:pPr>
              <w:rPr>
                <w:sz w:val="18"/>
                <w:szCs w:val="18"/>
              </w:rPr>
            </w:pPr>
          </w:p>
        </w:tc>
        <w:tc>
          <w:tcPr>
            <w:tcW w:w="1254" w:type="pct"/>
            <w:vAlign w:val="center"/>
          </w:tcPr>
          <w:p w14:paraId="6D7E424C" w14:textId="77777777" w:rsidR="007D3934" w:rsidRPr="00660482" w:rsidRDefault="007D3934" w:rsidP="00AB016E">
            <w:pPr>
              <w:rPr>
                <w:sz w:val="18"/>
                <w:szCs w:val="18"/>
              </w:rPr>
            </w:pPr>
            <w:r w:rsidRPr="00660482">
              <w:rPr>
                <w:sz w:val="18"/>
                <w:szCs w:val="18"/>
              </w:rPr>
              <w:t>January 2020 to May 2020</w:t>
            </w:r>
          </w:p>
        </w:tc>
        <w:tc>
          <w:tcPr>
            <w:tcW w:w="2453" w:type="pct"/>
            <w:vAlign w:val="center"/>
          </w:tcPr>
          <w:p w14:paraId="1FC2580B" w14:textId="77777777" w:rsidR="007D3934" w:rsidRPr="00660482" w:rsidRDefault="007D3934" w:rsidP="00AB016E">
            <w:pPr>
              <w:rPr>
                <w:sz w:val="18"/>
                <w:szCs w:val="18"/>
              </w:rPr>
            </w:pPr>
            <w:r w:rsidRPr="00660482">
              <w:rPr>
                <w:sz w:val="18"/>
                <w:szCs w:val="18"/>
              </w:rPr>
              <w:t>The author shows disparities in the effect of COVID-19 on REIT sectors. Most REIT sectors suffered big losses as April 2020; the top three REIT sector losers are lodging/resort REITs (-45.81%), retail REITs (-41.16%) and office REITs (-22.63%). Data center REITs are the only sector REITs with positive returns at 17.66%. Data REITs, grocery-anchored REITs and storage REITs are not as adversely affected by COVID-19 in comparison to other REITs</w:t>
            </w:r>
          </w:p>
        </w:tc>
      </w:tr>
      <w:tr w:rsidR="007D3934" w:rsidRPr="00660482" w14:paraId="379DF14B" w14:textId="77777777" w:rsidTr="00AB016E">
        <w:trPr>
          <w:trHeight w:val="144"/>
        </w:trPr>
        <w:tc>
          <w:tcPr>
            <w:tcW w:w="1293" w:type="pct"/>
            <w:vAlign w:val="center"/>
          </w:tcPr>
          <w:p w14:paraId="27BAAB59" w14:textId="77777777" w:rsidR="007D3934" w:rsidRPr="00660482" w:rsidRDefault="007D3934" w:rsidP="00AB016E">
            <w:pPr>
              <w:rPr>
                <w:sz w:val="18"/>
                <w:szCs w:val="18"/>
              </w:rPr>
            </w:pPr>
            <w:r w:rsidRPr="00660482">
              <w:rPr>
                <w:sz w:val="18"/>
                <w:szCs w:val="18"/>
              </w:rPr>
              <w:t>Bossman, et al. (2022)</w:t>
            </w:r>
          </w:p>
        </w:tc>
        <w:tc>
          <w:tcPr>
            <w:tcW w:w="1254" w:type="pct"/>
            <w:vAlign w:val="center"/>
          </w:tcPr>
          <w:p w14:paraId="3F4C44FB" w14:textId="77777777" w:rsidR="007D3934" w:rsidRPr="00660482" w:rsidRDefault="007D3934" w:rsidP="00AB016E">
            <w:pPr>
              <w:rPr>
                <w:sz w:val="18"/>
                <w:szCs w:val="18"/>
              </w:rPr>
            </w:pPr>
            <w:r w:rsidRPr="00660482">
              <w:rPr>
                <w:sz w:val="18"/>
                <w:szCs w:val="18"/>
              </w:rPr>
              <w:t>They examine the impact of the COVID-19 pandemic on REIT returns for 12 top REIT regimes spread across America, Asia, and Europe under the bullish, bearish, and normal market conditions over the COVID-19 period from February 02, 2020, to January 24, 2022.</w:t>
            </w:r>
          </w:p>
        </w:tc>
        <w:tc>
          <w:tcPr>
            <w:tcW w:w="2453" w:type="pct"/>
            <w:vAlign w:val="center"/>
          </w:tcPr>
          <w:p w14:paraId="6BFF2E3E" w14:textId="77777777" w:rsidR="007D3934" w:rsidRPr="00660482" w:rsidRDefault="007D3934" w:rsidP="00AB016E">
            <w:pPr>
              <w:rPr>
                <w:sz w:val="18"/>
                <w:szCs w:val="18"/>
              </w:rPr>
            </w:pPr>
            <w:r w:rsidRPr="00660482">
              <w:rPr>
                <w:sz w:val="18"/>
                <w:szCs w:val="18"/>
              </w:rPr>
              <w:t>They employ the quantile-on-quantile regression and causality-in-quantiles approach, document a strong (weak) predictive power of COVID-19 cases on REIT returns within the lower (upper) conditioned quantiles.</w:t>
            </w:r>
          </w:p>
        </w:tc>
      </w:tr>
      <w:tr w:rsidR="007D3934" w:rsidRPr="00660482" w14:paraId="2CBCBEBE" w14:textId="77777777" w:rsidTr="00AB016E">
        <w:trPr>
          <w:trHeight w:val="144"/>
        </w:trPr>
        <w:tc>
          <w:tcPr>
            <w:tcW w:w="1293" w:type="pct"/>
            <w:vAlign w:val="center"/>
          </w:tcPr>
          <w:p w14:paraId="413E8BF5" w14:textId="77777777" w:rsidR="007D3934" w:rsidRPr="00660482" w:rsidRDefault="007D3934" w:rsidP="00AB016E">
            <w:pPr>
              <w:rPr>
                <w:sz w:val="18"/>
                <w:szCs w:val="18"/>
              </w:rPr>
            </w:pPr>
            <w:r w:rsidRPr="00660482">
              <w:rPr>
                <w:sz w:val="18"/>
                <w:szCs w:val="18"/>
              </w:rPr>
              <w:t>Milcheva (2022)</w:t>
            </w:r>
          </w:p>
        </w:tc>
        <w:tc>
          <w:tcPr>
            <w:tcW w:w="1254" w:type="pct"/>
            <w:vAlign w:val="center"/>
          </w:tcPr>
          <w:p w14:paraId="178C1B4F" w14:textId="77777777" w:rsidR="007D3934" w:rsidRPr="00660482" w:rsidRDefault="007D3934" w:rsidP="00AB016E">
            <w:pPr>
              <w:rPr>
                <w:sz w:val="18"/>
                <w:szCs w:val="18"/>
              </w:rPr>
            </w:pPr>
            <w:r w:rsidRPr="00660482">
              <w:rPr>
                <w:sz w:val="18"/>
                <w:szCs w:val="18"/>
              </w:rPr>
              <w:t>Two periods – “Pre”-Covid-19 and a “Covid-19” period; data from November 2019 until April 2020.</w:t>
            </w:r>
          </w:p>
        </w:tc>
        <w:tc>
          <w:tcPr>
            <w:tcW w:w="2453" w:type="pct"/>
            <w:vAlign w:val="center"/>
          </w:tcPr>
          <w:p w14:paraId="75006F5A" w14:textId="77777777" w:rsidR="007D3934" w:rsidRPr="00660482" w:rsidRDefault="007D3934" w:rsidP="00AB016E">
            <w:pPr>
              <w:rPr>
                <w:sz w:val="18"/>
                <w:szCs w:val="18"/>
              </w:rPr>
            </w:pPr>
            <w:r w:rsidRPr="00660482">
              <w:rPr>
                <w:sz w:val="18"/>
                <w:szCs w:val="18"/>
              </w:rPr>
              <w:t>The most affected sectors in the US are retail and hotels.</w:t>
            </w:r>
          </w:p>
        </w:tc>
      </w:tr>
      <w:tr w:rsidR="007D3934" w:rsidRPr="00660482" w14:paraId="36978C61" w14:textId="77777777" w:rsidTr="00AB016E">
        <w:trPr>
          <w:trHeight w:val="144"/>
        </w:trPr>
        <w:tc>
          <w:tcPr>
            <w:tcW w:w="1293" w:type="pct"/>
            <w:vAlign w:val="center"/>
          </w:tcPr>
          <w:p w14:paraId="5FEE39FE" w14:textId="77777777" w:rsidR="007D3934" w:rsidRPr="00660482" w:rsidRDefault="007D3934" w:rsidP="00AB016E">
            <w:pPr>
              <w:rPr>
                <w:sz w:val="18"/>
                <w:szCs w:val="18"/>
              </w:rPr>
            </w:pPr>
            <w:r w:rsidRPr="00660482">
              <w:rPr>
                <w:sz w:val="18"/>
                <w:szCs w:val="18"/>
              </w:rPr>
              <w:t>Ling et al. (2020)</w:t>
            </w:r>
          </w:p>
        </w:tc>
        <w:tc>
          <w:tcPr>
            <w:tcW w:w="1254" w:type="pct"/>
            <w:vAlign w:val="center"/>
          </w:tcPr>
          <w:p w14:paraId="51339D3D" w14:textId="77777777" w:rsidR="007D3934" w:rsidRPr="00660482" w:rsidRDefault="007D3934" w:rsidP="00AB016E">
            <w:pPr>
              <w:rPr>
                <w:sz w:val="18"/>
                <w:szCs w:val="18"/>
              </w:rPr>
            </w:pPr>
            <w:r w:rsidRPr="00660482">
              <w:rPr>
                <w:sz w:val="18"/>
                <w:szCs w:val="18"/>
              </w:rPr>
              <w:t>Their initial sample period runs from January 21 to April 15, 2020, extended to June 30, 2020 in subsequent analysis.</w:t>
            </w:r>
          </w:p>
        </w:tc>
        <w:tc>
          <w:tcPr>
            <w:tcW w:w="2453" w:type="pct"/>
            <w:vAlign w:val="center"/>
          </w:tcPr>
          <w:p w14:paraId="44241071" w14:textId="77777777" w:rsidR="007D3934" w:rsidRPr="00660482" w:rsidRDefault="007D3934" w:rsidP="00AB016E">
            <w:pPr>
              <w:rPr>
                <w:sz w:val="18"/>
                <w:szCs w:val="18"/>
              </w:rPr>
            </w:pPr>
            <w:r w:rsidRPr="00660482">
              <w:rPr>
                <w:sz w:val="18"/>
                <w:szCs w:val="18"/>
              </w:rPr>
              <w:t>A one-standard-deviation increase in the number of COVID-19 cases on day t-1 is associated with a 0.24 to 0.93 percentage points decrease in abnormal returns over 1- to 3-day windows. There is substantial variation across property types. They find that REITs that focus their investments on data center, cell tower, self-storage, and warehouse properties produced positive abnormal returns during the early stages of the pandemic. In contrast, the worst performers were hospitality and retail REITs.</w:t>
            </w:r>
          </w:p>
        </w:tc>
      </w:tr>
      <w:tr w:rsidR="007D3934" w:rsidRPr="00660482" w14:paraId="075D7D20" w14:textId="77777777" w:rsidTr="00AB016E">
        <w:trPr>
          <w:trHeight w:val="144"/>
        </w:trPr>
        <w:tc>
          <w:tcPr>
            <w:tcW w:w="1293" w:type="pct"/>
            <w:vAlign w:val="center"/>
          </w:tcPr>
          <w:p w14:paraId="6EF12A18" w14:textId="77777777" w:rsidR="007D3934" w:rsidRPr="00660482" w:rsidRDefault="007D3934" w:rsidP="00AB016E">
            <w:pPr>
              <w:rPr>
                <w:sz w:val="18"/>
                <w:szCs w:val="18"/>
              </w:rPr>
            </w:pPr>
            <w:r w:rsidRPr="00660482">
              <w:rPr>
                <w:sz w:val="18"/>
                <w:szCs w:val="18"/>
              </w:rPr>
              <w:t>Ciarcia &amp; Khindanova (2021)</w:t>
            </w:r>
          </w:p>
        </w:tc>
        <w:tc>
          <w:tcPr>
            <w:tcW w:w="1254" w:type="pct"/>
            <w:vAlign w:val="center"/>
          </w:tcPr>
          <w:p w14:paraId="34E8D826" w14:textId="77777777" w:rsidR="007D3934" w:rsidRPr="00660482" w:rsidRDefault="007D3934" w:rsidP="00AB016E">
            <w:pPr>
              <w:rPr>
                <w:sz w:val="18"/>
                <w:szCs w:val="18"/>
              </w:rPr>
            </w:pPr>
            <w:r w:rsidRPr="00660482">
              <w:rPr>
                <w:sz w:val="18"/>
                <w:szCs w:val="18"/>
              </w:rPr>
              <w:t>REIT returns for year 2020 for many sector REITs.</w:t>
            </w:r>
          </w:p>
        </w:tc>
        <w:tc>
          <w:tcPr>
            <w:tcW w:w="2453" w:type="pct"/>
            <w:vAlign w:val="center"/>
          </w:tcPr>
          <w:p w14:paraId="63B90657" w14:textId="77777777" w:rsidR="007D3934" w:rsidRPr="00660482" w:rsidRDefault="007D3934" w:rsidP="00AB016E">
            <w:pPr>
              <w:rPr>
                <w:sz w:val="18"/>
                <w:szCs w:val="18"/>
              </w:rPr>
            </w:pPr>
            <w:r w:rsidRPr="00660482">
              <w:rPr>
                <w:sz w:val="18"/>
                <w:szCs w:val="18"/>
              </w:rPr>
              <w:t>Real estate sectors like retail, office space, and lodging all experienced heavy losses; Combining these factors with increased levels of remote work and digitalization suggests medium to long-term changes in the demand for</w:t>
            </w:r>
          </w:p>
          <w:p w14:paraId="4C351DF5" w14:textId="77777777" w:rsidR="007D3934" w:rsidRPr="00660482" w:rsidRDefault="007D3934" w:rsidP="00AB016E">
            <w:pPr>
              <w:rPr>
                <w:sz w:val="18"/>
                <w:szCs w:val="18"/>
              </w:rPr>
            </w:pPr>
            <w:r w:rsidRPr="00660482">
              <w:rPr>
                <w:sz w:val="18"/>
                <w:szCs w:val="18"/>
              </w:rPr>
              <w:t>various real estate classes, there is long-term</w:t>
            </w:r>
          </w:p>
          <w:p w14:paraId="2CCB1E7D" w14:textId="77777777" w:rsidR="007D3934" w:rsidRPr="00660482" w:rsidRDefault="007D3934" w:rsidP="00AB016E">
            <w:pPr>
              <w:rPr>
                <w:sz w:val="18"/>
                <w:szCs w:val="18"/>
              </w:rPr>
            </w:pPr>
            <w:r w:rsidRPr="00660482">
              <w:rPr>
                <w:sz w:val="18"/>
                <w:szCs w:val="18"/>
              </w:rPr>
              <w:t xml:space="preserve">promise in the post-COVID-19 era: data center, cell tower/infrastructure, warehouse, and healthcare REITs. </w:t>
            </w:r>
          </w:p>
        </w:tc>
      </w:tr>
      <w:tr w:rsidR="007D3934" w:rsidRPr="00660482" w14:paraId="6DF1B62C" w14:textId="77777777" w:rsidTr="00AB016E">
        <w:trPr>
          <w:trHeight w:val="144"/>
        </w:trPr>
        <w:tc>
          <w:tcPr>
            <w:tcW w:w="1293" w:type="pct"/>
            <w:vAlign w:val="center"/>
          </w:tcPr>
          <w:p w14:paraId="2895F4B1" w14:textId="77777777" w:rsidR="007D3934" w:rsidRPr="00660482" w:rsidRDefault="007D3934" w:rsidP="00AB016E">
            <w:pPr>
              <w:rPr>
                <w:sz w:val="18"/>
                <w:szCs w:val="18"/>
              </w:rPr>
            </w:pPr>
            <w:r w:rsidRPr="00660482">
              <w:rPr>
                <w:sz w:val="18"/>
                <w:szCs w:val="18"/>
              </w:rPr>
              <w:t>Cai and Xu (2022)</w:t>
            </w:r>
          </w:p>
        </w:tc>
        <w:tc>
          <w:tcPr>
            <w:tcW w:w="1254" w:type="pct"/>
            <w:vAlign w:val="center"/>
          </w:tcPr>
          <w:p w14:paraId="1BD8E965" w14:textId="77777777" w:rsidR="007D3934" w:rsidRPr="00660482" w:rsidRDefault="007D3934" w:rsidP="00AB016E">
            <w:pPr>
              <w:rPr>
                <w:sz w:val="18"/>
                <w:szCs w:val="18"/>
              </w:rPr>
            </w:pPr>
            <w:r w:rsidRPr="00660482">
              <w:rPr>
                <w:sz w:val="18"/>
                <w:szCs w:val="18"/>
              </w:rPr>
              <w:t>They use the complete data for 20 office REITs, 12 residential REITs, 11 industrial REITs, and 24 retail REITs on the list of 67 equity REITs. The daily price data of 67 listed equity REITs from October 2007 to March 2020</w:t>
            </w:r>
          </w:p>
        </w:tc>
        <w:tc>
          <w:tcPr>
            <w:tcW w:w="2453" w:type="pct"/>
            <w:vAlign w:val="center"/>
          </w:tcPr>
          <w:p w14:paraId="6B7E78EB" w14:textId="77777777" w:rsidR="007D3934" w:rsidRPr="00660482" w:rsidRDefault="007D3934" w:rsidP="00AB016E">
            <w:pPr>
              <w:rPr>
                <w:sz w:val="18"/>
                <w:szCs w:val="18"/>
              </w:rPr>
            </w:pPr>
            <w:r w:rsidRPr="00660482">
              <w:rPr>
                <w:sz w:val="18"/>
                <w:szCs w:val="18"/>
              </w:rPr>
              <w:t>Recessions have a negative net impact on office and residential REIT returns but that the COVID-19 pandemic has a positive net influence on industrial REIT returns because of e-commerce and the demand for storage, distribution, and shipping. There are no negative net effects of the COVID-19 pandemic on office and residential REIT returns. Retail REIT returns fluctuate along with ongoing macro/asset-pricing conditions throughout the boom-and-bust cycle.</w:t>
            </w:r>
          </w:p>
        </w:tc>
      </w:tr>
    </w:tbl>
    <w:p w14:paraId="6CE697EA" w14:textId="77777777" w:rsidR="007D3934" w:rsidRPr="00660482" w:rsidRDefault="007D3934" w:rsidP="007D3934">
      <w:pPr>
        <w:spacing w:before="240" w:after="240"/>
        <w:rPr>
          <w:b/>
        </w:rPr>
      </w:pPr>
    </w:p>
    <w:p w14:paraId="655ED56E" w14:textId="77777777" w:rsidR="007D3934" w:rsidRPr="00660482" w:rsidRDefault="007D3934" w:rsidP="007D3934">
      <w:pPr>
        <w:spacing w:after="160" w:line="259" w:lineRule="auto"/>
        <w:rPr>
          <w:b/>
        </w:rPr>
      </w:pPr>
      <w:r w:rsidRPr="00660482">
        <w:rPr>
          <w:b/>
        </w:rPr>
        <w:br w:type="page"/>
      </w:r>
    </w:p>
    <w:p w14:paraId="022ECCAF" w14:textId="77777777" w:rsidR="007D3934" w:rsidRPr="00942973" w:rsidRDefault="007D3934" w:rsidP="007D3934">
      <w:pPr>
        <w:pStyle w:val="Heading1"/>
        <w:rPr>
          <w:rFonts w:ascii="Times New Roman" w:hAnsi="Times New Roman" w:cs="Times New Roman"/>
          <w:sz w:val="24"/>
          <w:szCs w:val="24"/>
        </w:rPr>
      </w:pPr>
      <w:r w:rsidRPr="00942973">
        <w:rPr>
          <w:rFonts w:ascii="Times New Roman" w:hAnsi="Times New Roman" w:cs="Times New Roman"/>
          <w:sz w:val="24"/>
          <w:szCs w:val="24"/>
        </w:rPr>
        <w:lastRenderedPageBreak/>
        <w:t xml:space="preserve">Appendix 2: Variable Definitions </w:t>
      </w:r>
    </w:p>
    <w:tbl>
      <w:tblPr>
        <w:tblW w:w="951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2027"/>
        <w:gridCol w:w="7488"/>
      </w:tblGrid>
      <w:tr w:rsidR="007D3934" w:rsidRPr="00660482" w14:paraId="69E987D0" w14:textId="77777777" w:rsidTr="00AB016E">
        <w:trPr>
          <w:trHeight w:val="293"/>
        </w:trPr>
        <w:tc>
          <w:tcPr>
            <w:tcW w:w="2027" w:type="dxa"/>
          </w:tcPr>
          <w:p w14:paraId="586F0261" w14:textId="77777777" w:rsidR="007D3934" w:rsidRPr="00660482" w:rsidRDefault="007D3934" w:rsidP="00AB016E">
            <w:pPr>
              <w:rPr>
                <w:color w:val="000000"/>
                <w:sz w:val="20"/>
                <w:szCs w:val="20"/>
              </w:rPr>
            </w:pPr>
            <w:r w:rsidRPr="00660482">
              <w:rPr>
                <w:color w:val="000000" w:themeColor="text1"/>
                <w:sz w:val="20"/>
                <w:szCs w:val="20"/>
              </w:rPr>
              <w:t xml:space="preserve">Variable </w:t>
            </w:r>
          </w:p>
        </w:tc>
        <w:tc>
          <w:tcPr>
            <w:tcW w:w="7488" w:type="dxa"/>
          </w:tcPr>
          <w:p w14:paraId="35BB34E8" w14:textId="77777777" w:rsidR="007D3934" w:rsidRPr="00660482" w:rsidRDefault="007D3934" w:rsidP="00AB016E">
            <w:pPr>
              <w:rPr>
                <w:color w:val="000000"/>
                <w:sz w:val="20"/>
                <w:szCs w:val="20"/>
              </w:rPr>
            </w:pPr>
            <w:r w:rsidRPr="00660482">
              <w:rPr>
                <w:color w:val="000000" w:themeColor="text1"/>
                <w:sz w:val="20"/>
                <w:szCs w:val="20"/>
              </w:rPr>
              <w:t>Definition</w:t>
            </w:r>
          </w:p>
        </w:tc>
      </w:tr>
      <w:tr w:rsidR="007D3934" w:rsidRPr="00660482" w14:paraId="0399CD9F" w14:textId="77777777" w:rsidTr="00AB016E">
        <w:trPr>
          <w:trHeight w:val="293"/>
        </w:trPr>
        <w:tc>
          <w:tcPr>
            <w:tcW w:w="2027" w:type="dxa"/>
          </w:tcPr>
          <w:p w14:paraId="3F0C271B" w14:textId="77777777" w:rsidR="007D3934" w:rsidRPr="00660482" w:rsidRDefault="007D3934" w:rsidP="00AB016E">
            <w:pPr>
              <w:rPr>
                <w:i/>
                <w:color w:val="000000" w:themeColor="text1"/>
                <w:sz w:val="20"/>
                <w:szCs w:val="20"/>
              </w:rPr>
            </w:pPr>
            <w:r w:rsidRPr="00660482">
              <w:rPr>
                <w:i/>
                <w:color w:val="000000" w:themeColor="text1"/>
                <w:sz w:val="20"/>
                <w:szCs w:val="20"/>
              </w:rPr>
              <w:t>Comp Ret</w:t>
            </w:r>
          </w:p>
        </w:tc>
        <w:tc>
          <w:tcPr>
            <w:tcW w:w="7488" w:type="dxa"/>
          </w:tcPr>
          <w:p w14:paraId="504509E7" w14:textId="77777777" w:rsidR="007D3934" w:rsidRPr="00660482" w:rsidRDefault="007D3934" w:rsidP="00AB016E">
            <w:pPr>
              <w:rPr>
                <w:color w:val="000000" w:themeColor="text1"/>
                <w:sz w:val="20"/>
                <w:szCs w:val="20"/>
              </w:rPr>
            </w:pPr>
            <w:r w:rsidRPr="00660482">
              <w:rPr>
                <w:color w:val="000000" w:themeColor="text1"/>
                <w:sz w:val="20"/>
                <w:szCs w:val="20"/>
              </w:rPr>
              <w:t>Annual return rate by compounding monthly return rates, which is equal to (1+r1)*(1+r2) …. (1+r12). ri is the REIT’s monthly return from CRSP in a year.</w:t>
            </w:r>
          </w:p>
        </w:tc>
      </w:tr>
      <w:tr w:rsidR="007D3934" w:rsidRPr="00660482" w14:paraId="159DF904" w14:textId="77777777" w:rsidTr="00AB016E">
        <w:trPr>
          <w:trHeight w:val="293"/>
        </w:trPr>
        <w:tc>
          <w:tcPr>
            <w:tcW w:w="2027" w:type="dxa"/>
          </w:tcPr>
          <w:p w14:paraId="3E71F30D" w14:textId="77777777" w:rsidR="007D3934" w:rsidRPr="00660482" w:rsidRDefault="007D3934" w:rsidP="00AB016E">
            <w:pPr>
              <w:rPr>
                <w:i/>
                <w:color w:val="000000" w:themeColor="text1"/>
                <w:sz w:val="20"/>
                <w:szCs w:val="20"/>
              </w:rPr>
            </w:pPr>
            <w:r w:rsidRPr="00660482">
              <w:rPr>
                <w:i/>
                <w:color w:val="000000" w:themeColor="text1"/>
                <w:sz w:val="20"/>
                <w:szCs w:val="20"/>
              </w:rPr>
              <w:t>Log Assets</w:t>
            </w:r>
          </w:p>
        </w:tc>
        <w:tc>
          <w:tcPr>
            <w:tcW w:w="7488" w:type="dxa"/>
          </w:tcPr>
          <w:p w14:paraId="34860C98" w14:textId="77777777" w:rsidR="007D3934" w:rsidRPr="00660482" w:rsidRDefault="007D3934" w:rsidP="00AB016E">
            <w:pPr>
              <w:rPr>
                <w:color w:val="000000" w:themeColor="text1"/>
                <w:sz w:val="20"/>
                <w:szCs w:val="20"/>
              </w:rPr>
            </w:pPr>
            <w:r w:rsidRPr="00660482">
              <w:rPr>
                <w:color w:val="000000" w:themeColor="text1"/>
                <w:sz w:val="20"/>
                <w:szCs w:val="20"/>
              </w:rPr>
              <w:t>Natural log of the firm's Total assets at the end of the year</w:t>
            </w:r>
          </w:p>
        </w:tc>
      </w:tr>
      <w:tr w:rsidR="007D3934" w:rsidRPr="00660482" w14:paraId="453AF9F2" w14:textId="77777777" w:rsidTr="00AB016E">
        <w:trPr>
          <w:trHeight w:val="293"/>
        </w:trPr>
        <w:tc>
          <w:tcPr>
            <w:tcW w:w="2027" w:type="dxa"/>
          </w:tcPr>
          <w:p w14:paraId="6866C11A" w14:textId="77777777" w:rsidR="007D3934" w:rsidRPr="00660482" w:rsidRDefault="007D3934" w:rsidP="00AB016E">
            <w:pPr>
              <w:rPr>
                <w:i/>
                <w:color w:val="000000" w:themeColor="text1"/>
                <w:sz w:val="20"/>
                <w:szCs w:val="20"/>
              </w:rPr>
            </w:pPr>
            <w:r w:rsidRPr="00660482">
              <w:rPr>
                <w:i/>
                <w:color w:val="000000" w:themeColor="text1"/>
                <w:sz w:val="20"/>
                <w:szCs w:val="20"/>
              </w:rPr>
              <w:t>Leverage</w:t>
            </w:r>
          </w:p>
        </w:tc>
        <w:tc>
          <w:tcPr>
            <w:tcW w:w="7488" w:type="dxa"/>
          </w:tcPr>
          <w:p w14:paraId="490AFA8E" w14:textId="77777777" w:rsidR="007D3934" w:rsidRPr="00660482" w:rsidRDefault="007D3934" w:rsidP="00AB016E">
            <w:pPr>
              <w:rPr>
                <w:color w:val="000000" w:themeColor="text1"/>
                <w:sz w:val="20"/>
                <w:szCs w:val="20"/>
              </w:rPr>
            </w:pPr>
            <w:r w:rsidRPr="00660482">
              <w:rPr>
                <w:color w:val="000000" w:themeColor="text1"/>
                <w:sz w:val="20"/>
                <w:szCs w:val="20"/>
              </w:rPr>
              <w:t>Total liability divided by total assets</w:t>
            </w:r>
          </w:p>
        </w:tc>
      </w:tr>
      <w:tr w:rsidR="007D3934" w:rsidRPr="00660482" w14:paraId="1C476660" w14:textId="77777777" w:rsidTr="00AB016E">
        <w:trPr>
          <w:trHeight w:val="293"/>
        </w:trPr>
        <w:tc>
          <w:tcPr>
            <w:tcW w:w="2027" w:type="dxa"/>
          </w:tcPr>
          <w:p w14:paraId="02938306" w14:textId="77777777" w:rsidR="007D3934" w:rsidRPr="00660482" w:rsidRDefault="007D3934" w:rsidP="00AB016E">
            <w:pPr>
              <w:rPr>
                <w:i/>
                <w:color w:val="000000" w:themeColor="text1"/>
                <w:sz w:val="20"/>
                <w:szCs w:val="20"/>
              </w:rPr>
            </w:pPr>
            <w:r w:rsidRPr="00660482">
              <w:rPr>
                <w:i/>
                <w:color w:val="000000" w:themeColor="text1"/>
                <w:sz w:val="20"/>
                <w:szCs w:val="20"/>
              </w:rPr>
              <w:t>ROA</w:t>
            </w:r>
          </w:p>
        </w:tc>
        <w:tc>
          <w:tcPr>
            <w:tcW w:w="7488" w:type="dxa"/>
          </w:tcPr>
          <w:p w14:paraId="701622F1" w14:textId="77777777" w:rsidR="007D3934" w:rsidRPr="00660482" w:rsidRDefault="007D3934" w:rsidP="00AB016E">
            <w:pPr>
              <w:rPr>
                <w:color w:val="000000" w:themeColor="text1"/>
                <w:sz w:val="20"/>
                <w:szCs w:val="20"/>
              </w:rPr>
            </w:pPr>
            <w:r w:rsidRPr="00660482">
              <w:rPr>
                <w:color w:val="000000" w:themeColor="text1"/>
                <w:sz w:val="20"/>
                <w:szCs w:val="20"/>
              </w:rPr>
              <w:t>Return on Assets</w:t>
            </w:r>
          </w:p>
        </w:tc>
      </w:tr>
      <w:tr w:rsidR="007D3934" w:rsidRPr="00660482" w14:paraId="5B3CBAFB" w14:textId="77777777" w:rsidTr="00AB016E">
        <w:trPr>
          <w:trHeight w:val="293"/>
        </w:trPr>
        <w:tc>
          <w:tcPr>
            <w:tcW w:w="2027" w:type="dxa"/>
          </w:tcPr>
          <w:p w14:paraId="7A2F2DCA" w14:textId="77777777" w:rsidR="007D3934" w:rsidRPr="00660482" w:rsidRDefault="007D3934" w:rsidP="00AB016E">
            <w:pPr>
              <w:rPr>
                <w:i/>
                <w:color w:val="000000" w:themeColor="text1"/>
                <w:sz w:val="20"/>
                <w:szCs w:val="20"/>
              </w:rPr>
            </w:pPr>
            <w:r w:rsidRPr="00660482">
              <w:rPr>
                <w:i/>
                <w:color w:val="000000" w:themeColor="text1"/>
                <w:sz w:val="20"/>
                <w:szCs w:val="20"/>
              </w:rPr>
              <w:t>COVID</w:t>
            </w:r>
          </w:p>
        </w:tc>
        <w:tc>
          <w:tcPr>
            <w:tcW w:w="7488" w:type="dxa"/>
          </w:tcPr>
          <w:p w14:paraId="7EFC9212" w14:textId="77777777" w:rsidR="007D3934" w:rsidRPr="00660482" w:rsidRDefault="007D3934" w:rsidP="00AB016E">
            <w:pPr>
              <w:rPr>
                <w:color w:val="000000" w:themeColor="text1"/>
                <w:sz w:val="20"/>
                <w:szCs w:val="20"/>
              </w:rPr>
            </w:pPr>
            <w:r w:rsidRPr="00660482">
              <w:rPr>
                <w:color w:val="000000" w:themeColor="text1"/>
                <w:sz w:val="20"/>
                <w:szCs w:val="20"/>
              </w:rPr>
              <w:t>An indicator variable that takes a value of 1 for a period after 2019 and 0 before 2020.</w:t>
            </w:r>
          </w:p>
          <w:p w14:paraId="3A7CA7C3" w14:textId="77777777" w:rsidR="007D3934" w:rsidRPr="00660482" w:rsidRDefault="007D3934" w:rsidP="00AB016E">
            <w:pPr>
              <w:rPr>
                <w:color w:val="000000" w:themeColor="text1"/>
                <w:sz w:val="20"/>
                <w:szCs w:val="20"/>
              </w:rPr>
            </w:pPr>
            <w:r w:rsidRPr="00660482">
              <w:rPr>
                <w:color w:val="000000"/>
                <w:sz w:val="20"/>
                <w:szCs w:val="20"/>
              </w:rPr>
              <w:t>The U.S. Department of Health and Human Services (HHS) declared an end to the global public health emergency for COVID-19 on May 11, 2023.</w:t>
            </w:r>
          </w:p>
        </w:tc>
      </w:tr>
      <w:tr w:rsidR="007D3934" w:rsidRPr="00660482" w14:paraId="1A3B98B4" w14:textId="77777777" w:rsidTr="00AB016E">
        <w:trPr>
          <w:trHeight w:val="293"/>
        </w:trPr>
        <w:tc>
          <w:tcPr>
            <w:tcW w:w="2027" w:type="dxa"/>
          </w:tcPr>
          <w:p w14:paraId="43DE128A" w14:textId="77777777" w:rsidR="007D3934" w:rsidRPr="00660482" w:rsidRDefault="007D3934" w:rsidP="00AB016E">
            <w:pPr>
              <w:rPr>
                <w:i/>
                <w:color w:val="000000" w:themeColor="text1"/>
                <w:sz w:val="20"/>
                <w:szCs w:val="20"/>
              </w:rPr>
            </w:pPr>
            <w:r w:rsidRPr="00660482">
              <w:rPr>
                <w:i/>
                <w:color w:val="000000" w:themeColor="text1"/>
                <w:sz w:val="20"/>
                <w:szCs w:val="20"/>
              </w:rPr>
              <w:t>Tech Revenue</w:t>
            </w:r>
          </w:p>
        </w:tc>
        <w:tc>
          <w:tcPr>
            <w:tcW w:w="7488" w:type="dxa"/>
          </w:tcPr>
          <w:p w14:paraId="397A0C6E" w14:textId="77777777" w:rsidR="007D3934" w:rsidRPr="00660482" w:rsidRDefault="007D3934" w:rsidP="00AB016E">
            <w:pPr>
              <w:rPr>
                <w:color w:val="000000" w:themeColor="text1"/>
                <w:sz w:val="20"/>
                <w:szCs w:val="20"/>
              </w:rPr>
            </w:pPr>
            <w:r w:rsidRPr="00660482">
              <w:rPr>
                <w:color w:val="000000" w:themeColor="text1"/>
                <w:sz w:val="20"/>
                <w:szCs w:val="20"/>
              </w:rPr>
              <w:t>The change in the annual revenue of Zoom Video Communications, Inc., Microsoft, and Cisco Systems</w:t>
            </w:r>
          </w:p>
        </w:tc>
      </w:tr>
      <w:tr w:rsidR="007D3934" w:rsidRPr="00660482" w14:paraId="5359E8D4" w14:textId="77777777" w:rsidTr="00AB016E">
        <w:trPr>
          <w:trHeight w:val="293"/>
        </w:trPr>
        <w:tc>
          <w:tcPr>
            <w:tcW w:w="2027" w:type="dxa"/>
          </w:tcPr>
          <w:p w14:paraId="7B5DE277" w14:textId="77777777" w:rsidR="007D3934" w:rsidRPr="00660482" w:rsidRDefault="007D3934" w:rsidP="00AB016E">
            <w:pPr>
              <w:rPr>
                <w:i/>
                <w:color w:val="000000"/>
                <w:sz w:val="20"/>
                <w:szCs w:val="20"/>
              </w:rPr>
            </w:pPr>
            <w:r w:rsidRPr="00660482">
              <w:rPr>
                <w:i/>
                <w:color w:val="000000" w:themeColor="text1"/>
                <w:sz w:val="20"/>
                <w:szCs w:val="20"/>
              </w:rPr>
              <w:t>Market Return</w:t>
            </w:r>
          </w:p>
        </w:tc>
        <w:tc>
          <w:tcPr>
            <w:tcW w:w="7488" w:type="dxa"/>
          </w:tcPr>
          <w:p w14:paraId="5BC5EE75" w14:textId="77777777" w:rsidR="007D3934" w:rsidRPr="00660482" w:rsidRDefault="007D3934" w:rsidP="00AB016E">
            <w:pPr>
              <w:rPr>
                <w:color w:val="000000"/>
                <w:sz w:val="20"/>
                <w:szCs w:val="20"/>
              </w:rPr>
            </w:pPr>
            <w:r w:rsidRPr="00660482">
              <w:rPr>
                <w:color w:val="000000" w:themeColor="text1"/>
                <w:sz w:val="20"/>
                <w:szCs w:val="20"/>
              </w:rPr>
              <w:t xml:space="preserve">Includes all NYSE, AMEX, and NASDAQ stocks as in </w:t>
            </w:r>
            <w:r w:rsidRPr="00660482">
              <w:rPr>
                <w:sz w:val="20"/>
                <w:szCs w:val="20"/>
              </w:rPr>
              <w:t>Kenneth R. French- Data library (French, 2023)</w:t>
            </w:r>
          </w:p>
        </w:tc>
      </w:tr>
      <w:tr w:rsidR="007D3934" w:rsidRPr="00660482" w14:paraId="6E1021ED" w14:textId="77777777" w:rsidTr="00AB016E">
        <w:trPr>
          <w:trHeight w:val="293"/>
        </w:trPr>
        <w:tc>
          <w:tcPr>
            <w:tcW w:w="2027" w:type="dxa"/>
          </w:tcPr>
          <w:p w14:paraId="3B45DD31" w14:textId="77777777" w:rsidR="007D3934" w:rsidRPr="00660482" w:rsidRDefault="007D3934" w:rsidP="00AB016E">
            <w:pPr>
              <w:rPr>
                <w:i/>
                <w:color w:val="000000"/>
                <w:sz w:val="20"/>
                <w:szCs w:val="20"/>
              </w:rPr>
            </w:pPr>
            <w:r w:rsidRPr="00660482">
              <w:rPr>
                <w:i/>
                <w:color w:val="000000" w:themeColor="text1"/>
                <w:sz w:val="20"/>
                <w:szCs w:val="20"/>
              </w:rPr>
              <w:t>Excess Return</w:t>
            </w:r>
          </w:p>
        </w:tc>
        <w:tc>
          <w:tcPr>
            <w:tcW w:w="7488" w:type="dxa"/>
          </w:tcPr>
          <w:p w14:paraId="024361EB" w14:textId="77777777" w:rsidR="007D3934" w:rsidRPr="00660482" w:rsidRDefault="007D3934" w:rsidP="00AB016E">
            <w:pPr>
              <w:rPr>
                <w:color w:val="000000"/>
                <w:sz w:val="20"/>
                <w:szCs w:val="20"/>
              </w:rPr>
            </w:pPr>
            <w:r w:rsidRPr="00660482">
              <w:rPr>
                <w:color w:val="000000" w:themeColor="text1"/>
                <w:sz w:val="20"/>
                <w:szCs w:val="20"/>
              </w:rPr>
              <w:t xml:space="preserve">Overall stock market return t minus T-bill return rate, as in </w:t>
            </w:r>
            <w:r w:rsidRPr="00660482">
              <w:rPr>
                <w:sz w:val="20"/>
                <w:szCs w:val="20"/>
              </w:rPr>
              <w:t>Kenneth R. French- Data library, Annual Factors January to December (French, 2023)</w:t>
            </w:r>
          </w:p>
        </w:tc>
      </w:tr>
      <w:tr w:rsidR="007D3934" w:rsidRPr="00660482" w14:paraId="1E604332" w14:textId="77777777" w:rsidTr="00AB016E">
        <w:trPr>
          <w:trHeight w:val="293"/>
        </w:trPr>
        <w:tc>
          <w:tcPr>
            <w:tcW w:w="2027" w:type="dxa"/>
          </w:tcPr>
          <w:p w14:paraId="7BF26BB8" w14:textId="77777777" w:rsidR="007D3934" w:rsidRPr="00660482" w:rsidRDefault="007D3934" w:rsidP="00AB016E">
            <w:pPr>
              <w:rPr>
                <w:i/>
                <w:color w:val="000000" w:themeColor="text1"/>
                <w:sz w:val="20"/>
                <w:szCs w:val="20"/>
              </w:rPr>
            </w:pPr>
            <w:r w:rsidRPr="00660482">
              <w:rPr>
                <w:i/>
                <w:sz w:val="20"/>
                <w:szCs w:val="20"/>
              </w:rPr>
              <w:t>RF</w:t>
            </w:r>
          </w:p>
        </w:tc>
        <w:tc>
          <w:tcPr>
            <w:tcW w:w="7488" w:type="dxa"/>
          </w:tcPr>
          <w:p w14:paraId="1E1B74E5" w14:textId="77777777" w:rsidR="007D3934" w:rsidRPr="00660482" w:rsidRDefault="007D3934" w:rsidP="00AB016E">
            <w:pPr>
              <w:rPr>
                <w:sz w:val="20"/>
                <w:szCs w:val="20"/>
              </w:rPr>
            </w:pPr>
            <w:r w:rsidRPr="00660482">
              <w:rPr>
                <w:sz w:val="20"/>
                <w:szCs w:val="20"/>
              </w:rPr>
              <w:t xml:space="preserve">Risk free rate </w:t>
            </w:r>
            <w:r w:rsidRPr="00660482">
              <w:rPr>
                <w:color w:val="000000" w:themeColor="text1"/>
                <w:sz w:val="20"/>
                <w:szCs w:val="20"/>
              </w:rPr>
              <w:t xml:space="preserve">as in </w:t>
            </w:r>
            <w:r w:rsidRPr="00660482">
              <w:rPr>
                <w:sz w:val="20"/>
                <w:szCs w:val="20"/>
              </w:rPr>
              <w:t>Kenneth R. French- Data library, Annual Factors January to December (French, 2023)</w:t>
            </w:r>
          </w:p>
        </w:tc>
      </w:tr>
      <w:tr w:rsidR="007D3934" w:rsidRPr="00660482" w14:paraId="264B86CC" w14:textId="77777777" w:rsidTr="00AB016E">
        <w:trPr>
          <w:trHeight w:val="293"/>
        </w:trPr>
        <w:tc>
          <w:tcPr>
            <w:tcW w:w="2027" w:type="dxa"/>
          </w:tcPr>
          <w:p w14:paraId="6DFE8C02" w14:textId="77777777" w:rsidR="007D3934" w:rsidRPr="00660482" w:rsidRDefault="007D3934" w:rsidP="00AB016E">
            <w:pPr>
              <w:rPr>
                <w:i/>
                <w:color w:val="000000"/>
                <w:sz w:val="20"/>
                <w:szCs w:val="20"/>
              </w:rPr>
            </w:pPr>
            <w:r w:rsidRPr="00660482">
              <w:rPr>
                <w:i/>
                <w:color w:val="000000" w:themeColor="text1"/>
                <w:sz w:val="20"/>
                <w:szCs w:val="20"/>
              </w:rPr>
              <w:t>SMB</w:t>
            </w:r>
          </w:p>
        </w:tc>
        <w:tc>
          <w:tcPr>
            <w:tcW w:w="7488" w:type="dxa"/>
          </w:tcPr>
          <w:p w14:paraId="594E276E" w14:textId="77777777" w:rsidR="007D3934" w:rsidRPr="00660482" w:rsidRDefault="007D3934" w:rsidP="00AB016E">
            <w:pPr>
              <w:rPr>
                <w:color w:val="000000"/>
                <w:sz w:val="20"/>
                <w:szCs w:val="20"/>
              </w:rPr>
            </w:pPr>
            <w:r w:rsidRPr="00660482">
              <w:rPr>
                <w:sz w:val="20"/>
                <w:szCs w:val="20"/>
              </w:rPr>
              <w:t xml:space="preserve">SMB (Small Minus Big), from Kenneth R. French- Data library, Annual Factors January to December (French, 2023) </w:t>
            </w:r>
          </w:p>
        </w:tc>
      </w:tr>
      <w:tr w:rsidR="007D3934" w:rsidRPr="00660482" w14:paraId="5F16F7D3" w14:textId="77777777" w:rsidTr="00AB016E">
        <w:trPr>
          <w:trHeight w:val="293"/>
        </w:trPr>
        <w:tc>
          <w:tcPr>
            <w:tcW w:w="2027" w:type="dxa"/>
          </w:tcPr>
          <w:p w14:paraId="3A7EFFCD" w14:textId="77777777" w:rsidR="007D3934" w:rsidRPr="00660482" w:rsidRDefault="007D3934" w:rsidP="00AB016E">
            <w:pPr>
              <w:rPr>
                <w:i/>
                <w:color w:val="000000"/>
                <w:sz w:val="20"/>
                <w:szCs w:val="20"/>
              </w:rPr>
            </w:pPr>
            <w:r w:rsidRPr="00660482">
              <w:rPr>
                <w:i/>
                <w:color w:val="000000" w:themeColor="text1"/>
                <w:sz w:val="20"/>
                <w:szCs w:val="20"/>
              </w:rPr>
              <w:t>HML</w:t>
            </w:r>
          </w:p>
        </w:tc>
        <w:tc>
          <w:tcPr>
            <w:tcW w:w="7488" w:type="dxa"/>
          </w:tcPr>
          <w:p w14:paraId="35281E16" w14:textId="77777777" w:rsidR="007D3934" w:rsidRPr="00660482" w:rsidRDefault="007D3934" w:rsidP="00AB016E">
            <w:pPr>
              <w:rPr>
                <w:color w:val="000000"/>
                <w:sz w:val="20"/>
                <w:szCs w:val="20"/>
              </w:rPr>
            </w:pPr>
            <w:r w:rsidRPr="00660482">
              <w:rPr>
                <w:sz w:val="20"/>
                <w:szCs w:val="20"/>
              </w:rPr>
              <w:t>HML (High Minus Low) from Kenneth R. French- Data library, Annual Factors January to December (French, 2023)</w:t>
            </w:r>
          </w:p>
        </w:tc>
      </w:tr>
      <w:tr w:rsidR="007D3934" w:rsidRPr="00660482" w14:paraId="7ED6389E" w14:textId="77777777" w:rsidTr="00AB016E">
        <w:trPr>
          <w:trHeight w:val="293"/>
        </w:trPr>
        <w:tc>
          <w:tcPr>
            <w:tcW w:w="2027" w:type="dxa"/>
          </w:tcPr>
          <w:p w14:paraId="0F2E3E96" w14:textId="77777777" w:rsidR="007D3934" w:rsidRPr="00660482" w:rsidRDefault="007D3934" w:rsidP="00AB016E">
            <w:pPr>
              <w:rPr>
                <w:i/>
                <w:color w:val="000000"/>
                <w:sz w:val="20"/>
                <w:szCs w:val="20"/>
              </w:rPr>
            </w:pPr>
            <w:r w:rsidRPr="00660482">
              <w:rPr>
                <w:i/>
                <w:color w:val="000000" w:themeColor="text1"/>
                <w:sz w:val="20"/>
                <w:szCs w:val="20"/>
              </w:rPr>
              <w:t>RMW</w:t>
            </w:r>
          </w:p>
        </w:tc>
        <w:tc>
          <w:tcPr>
            <w:tcW w:w="7488" w:type="dxa"/>
          </w:tcPr>
          <w:p w14:paraId="7C23A74D" w14:textId="77777777" w:rsidR="007D3934" w:rsidRPr="00660482" w:rsidRDefault="007D3934" w:rsidP="00AB016E">
            <w:pPr>
              <w:rPr>
                <w:color w:val="000000"/>
                <w:sz w:val="20"/>
                <w:szCs w:val="20"/>
              </w:rPr>
            </w:pPr>
            <w:r w:rsidRPr="00660482">
              <w:rPr>
                <w:sz w:val="20"/>
                <w:szCs w:val="20"/>
              </w:rPr>
              <w:t>RMW (Robust Minus Weak) from Kenneth R. French- Data library, Annual Factors January to December (French, 2023)</w:t>
            </w:r>
          </w:p>
        </w:tc>
      </w:tr>
      <w:tr w:rsidR="007D3934" w:rsidRPr="00660482" w14:paraId="1FFE20A5" w14:textId="77777777" w:rsidTr="00AB016E">
        <w:trPr>
          <w:trHeight w:val="293"/>
        </w:trPr>
        <w:tc>
          <w:tcPr>
            <w:tcW w:w="2027" w:type="dxa"/>
          </w:tcPr>
          <w:p w14:paraId="7B470B24" w14:textId="77777777" w:rsidR="007D3934" w:rsidRPr="00660482" w:rsidRDefault="007D3934" w:rsidP="00AB016E">
            <w:pPr>
              <w:rPr>
                <w:i/>
                <w:color w:val="000000"/>
                <w:sz w:val="20"/>
                <w:szCs w:val="20"/>
              </w:rPr>
            </w:pPr>
            <w:r w:rsidRPr="00660482">
              <w:rPr>
                <w:i/>
                <w:color w:val="000000" w:themeColor="text1"/>
                <w:sz w:val="20"/>
                <w:szCs w:val="20"/>
              </w:rPr>
              <w:t>CMA</w:t>
            </w:r>
          </w:p>
        </w:tc>
        <w:tc>
          <w:tcPr>
            <w:tcW w:w="7488" w:type="dxa"/>
          </w:tcPr>
          <w:p w14:paraId="6F836D1F" w14:textId="77777777" w:rsidR="007D3934" w:rsidRPr="00660482" w:rsidRDefault="007D3934" w:rsidP="00AB016E">
            <w:pPr>
              <w:rPr>
                <w:color w:val="000000"/>
                <w:sz w:val="20"/>
                <w:szCs w:val="20"/>
              </w:rPr>
            </w:pPr>
            <w:r w:rsidRPr="00660482">
              <w:rPr>
                <w:sz w:val="20"/>
                <w:szCs w:val="20"/>
              </w:rPr>
              <w:t>CMA (Conservative Minus Aggressive) from Kenneth R. French- Data library, Annual Factors January to December (French, 2023)</w:t>
            </w:r>
          </w:p>
        </w:tc>
      </w:tr>
      <w:tr w:rsidR="007D3934" w:rsidRPr="00660482" w14:paraId="74A8251C" w14:textId="77777777" w:rsidTr="00AB016E">
        <w:trPr>
          <w:trHeight w:val="293"/>
        </w:trPr>
        <w:tc>
          <w:tcPr>
            <w:tcW w:w="2027" w:type="dxa"/>
            <w:vAlign w:val="bottom"/>
          </w:tcPr>
          <w:p w14:paraId="73372072" w14:textId="77777777" w:rsidR="007D3934" w:rsidRPr="00660482" w:rsidRDefault="007D3934" w:rsidP="00AB016E">
            <w:pPr>
              <w:rPr>
                <w:i/>
                <w:color w:val="000000"/>
                <w:sz w:val="20"/>
                <w:szCs w:val="20"/>
              </w:rPr>
            </w:pPr>
            <w:r w:rsidRPr="00660482">
              <w:rPr>
                <w:i/>
                <w:color w:val="000000"/>
                <w:sz w:val="20"/>
                <w:szCs w:val="20"/>
              </w:rPr>
              <w:t>Diversified</w:t>
            </w:r>
          </w:p>
        </w:tc>
        <w:tc>
          <w:tcPr>
            <w:tcW w:w="7488" w:type="dxa"/>
          </w:tcPr>
          <w:p w14:paraId="24E4B2B2"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diversified sector, 0 otherwise.</w:t>
            </w:r>
          </w:p>
        </w:tc>
      </w:tr>
      <w:tr w:rsidR="007D3934" w:rsidRPr="00660482" w14:paraId="1464171E" w14:textId="77777777" w:rsidTr="00AB016E">
        <w:trPr>
          <w:trHeight w:val="293"/>
        </w:trPr>
        <w:tc>
          <w:tcPr>
            <w:tcW w:w="2027" w:type="dxa"/>
            <w:vAlign w:val="bottom"/>
          </w:tcPr>
          <w:p w14:paraId="71A4AA31" w14:textId="77777777" w:rsidR="007D3934" w:rsidRPr="00660482" w:rsidRDefault="007D3934" w:rsidP="00AB016E">
            <w:pPr>
              <w:rPr>
                <w:i/>
                <w:color w:val="000000"/>
                <w:sz w:val="20"/>
                <w:szCs w:val="20"/>
              </w:rPr>
            </w:pPr>
            <w:r w:rsidRPr="00660482">
              <w:rPr>
                <w:i/>
                <w:color w:val="000000"/>
                <w:sz w:val="20"/>
                <w:szCs w:val="20"/>
              </w:rPr>
              <w:t>Specialized</w:t>
            </w:r>
          </w:p>
        </w:tc>
        <w:tc>
          <w:tcPr>
            <w:tcW w:w="7488" w:type="dxa"/>
          </w:tcPr>
          <w:p w14:paraId="5521FFED"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specialized sector, 0 otherwise.</w:t>
            </w:r>
          </w:p>
        </w:tc>
      </w:tr>
      <w:tr w:rsidR="007D3934" w:rsidRPr="00660482" w14:paraId="32E97C4F" w14:textId="77777777" w:rsidTr="00AB016E">
        <w:trPr>
          <w:trHeight w:val="293"/>
        </w:trPr>
        <w:tc>
          <w:tcPr>
            <w:tcW w:w="2027" w:type="dxa"/>
            <w:vAlign w:val="bottom"/>
          </w:tcPr>
          <w:p w14:paraId="5ED7A294" w14:textId="77777777" w:rsidR="007D3934" w:rsidRPr="00660482" w:rsidRDefault="007D3934" w:rsidP="00AB016E">
            <w:pPr>
              <w:rPr>
                <w:i/>
                <w:color w:val="000000"/>
                <w:sz w:val="20"/>
                <w:szCs w:val="20"/>
              </w:rPr>
            </w:pPr>
            <w:r w:rsidRPr="00660482">
              <w:rPr>
                <w:i/>
                <w:color w:val="000000"/>
                <w:sz w:val="20"/>
                <w:szCs w:val="20"/>
              </w:rPr>
              <w:t>Healthcare</w:t>
            </w:r>
          </w:p>
        </w:tc>
        <w:tc>
          <w:tcPr>
            <w:tcW w:w="7488" w:type="dxa"/>
          </w:tcPr>
          <w:p w14:paraId="1184E8F3"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healthcare sector, 0 otherwise.</w:t>
            </w:r>
          </w:p>
        </w:tc>
      </w:tr>
      <w:tr w:rsidR="007D3934" w:rsidRPr="00660482" w14:paraId="77084D66" w14:textId="77777777" w:rsidTr="00AB016E">
        <w:trPr>
          <w:trHeight w:val="293"/>
        </w:trPr>
        <w:tc>
          <w:tcPr>
            <w:tcW w:w="2027" w:type="dxa"/>
            <w:vAlign w:val="bottom"/>
          </w:tcPr>
          <w:p w14:paraId="4252A7DC" w14:textId="77777777" w:rsidR="007D3934" w:rsidRPr="00660482" w:rsidRDefault="007D3934" w:rsidP="00AB016E">
            <w:pPr>
              <w:rPr>
                <w:i/>
                <w:color w:val="000000"/>
                <w:sz w:val="20"/>
                <w:szCs w:val="20"/>
              </w:rPr>
            </w:pPr>
            <w:r w:rsidRPr="00660482">
              <w:rPr>
                <w:i/>
                <w:color w:val="000000"/>
                <w:sz w:val="20"/>
                <w:szCs w:val="20"/>
              </w:rPr>
              <w:t>Industrial</w:t>
            </w:r>
          </w:p>
        </w:tc>
        <w:tc>
          <w:tcPr>
            <w:tcW w:w="7488" w:type="dxa"/>
          </w:tcPr>
          <w:p w14:paraId="77FE6F7F"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industrial sector, 0 otherwise.</w:t>
            </w:r>
          </w:p>
        </w:tc>
      </w:tr>
      <w:tr w:rsidR="007D3934" w:rsidRPr="00660482" w14:paraId="163F0059" w14:textId="77777777" w:rsidTr="00AB016E">
        <w:trPr>
          <w:trHeight w:val="293"/>
        </w:trPr>
        <w:tc>
          <w:tcPr>
            <w:tcW w:w="2027" w:type="dxa"/>
            <w:vAlign w:val="bottom"/>
          </w:tcPr>
          <w:p w14:paraId="148E4269" w14:textId="77777777" w:rsidR="007D3934" w:rsidRPr="00660482" w:rsidRDefault="007D3934" w:rsidP="00AB016E">
            <w:pPr>
              <w:rPr>
                <w:i/>
                <w:color w:val="000000"/>
                <w:sz w:val="20"/>
                <w:szCs w:val="20"/>
              </w:rPr>
            </w:pPr>
            <w:r w:rsidRPr="00660482">
              <w:rPr>
                <w:i/>
                <w:color w:val="000000"/>
                <w:sz w:val="20"/>
                <w:szCs w:val="20"/>
              </w:rPr>
              <w:t>Retail</w:t>
            </w:r>
          </w:p>
        </w:tc>
        <w:tc>
          <w:tcPr>
            <w:tcW w:w="7488" w:type="dxa"/>
          </w:tcPr>
          <w:p w14:paraId="30966F77"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retail sector, 0 otherwise.</w:t>
            </w:r>
          </w:p>
        </w:tc>
      </w:tr>
      <w:tr w:rsidR="007D3934" w:rsidRPr="00660482" w14:paraId="4001214A" w14:textId="77777777" w:rsidTr="00AB016E">
        <w:trPr>
          <w:trHeight w:val="293"/>
        </w:trPr>
        <w:tc>
          <w:tcPr>
            <w:tcW w:w="2027" w:type="dxa"/>
            <w:vAlign w:val="bottom"/>
          </w:tcPr>
          <w:p w14:paraId="09FD2130" w14:textId="77777777" w:rsidR="007D3934" w:rsidRPr="00660482" w:rsidRDefault="007D3934" w:rsidP="00AB016E">
            <w:pPr>
              <w:rPr>
                <w:i/>
                <w:color w:val="000000"/>
                <w:sz w:val="20"/>
                <w:szCs w:val="20"/>
              </w:rPr>
            </w:pPr>
            <w:r w:rsidRPr="00660482">
              <w:rPr>
                <w:i/>
                <w:color w:val="000000"/>
                <w:sz w:val="20"/>
                <w:szCs w:val="20"/>
              </w:rPr>
              <w:t>Residential</w:t>
            </w:r>
          </w:p>
        </w:tc>
        <w:tc>
          <w:tcPr>
            <w:tcW w:w="7488" w:type="dxa"/>
          </w:tcPr>
          <w:p w14:paraId="4EEEF385"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residential sector, 0 otherwise.</w:t>
            </w:r>
          </w:p>
        </w:tc>
      </w:tr>
      <w:tr w:rsidR="007D3934" w:rsidRPr="00660482" w14:paraId="66259873" w14:textId="77777777" w:rsidTr="00AB016E">
        <w:trPr>
          <w:trHeight w:val="293"/>
        </w:trPr>
        <w:tc>
          <w:tcPr>
            <w:tcW w:w="2027" w:type="dxa"/>
            <w:vAlign w:val="bottom"/>
          </w:tcPr>
          <w:p w14:paraId="0666E3E9" w14:textId="77777777" w:rsidR="007D3934" w:rsidRPr="00660482" w:rsidRDefault="007D3934" w:rsidP="00AB016E">
            <w:pPr>
              <w:rPr>
                <w:i/>
                <w:color w:val="000000"/>
                <w:sz w:val="20"/>
                <w:szCs w:val="20"/>
              </w:rPr>
            </w:pPr>
            <w:r w:rsidRPr="00660482">
              <w:rPr>
                <w:i/>
                <w:color w:val="000000"/>
                <w:sz w:val="20"/>
                <w:szCs w:val="20"/>
              </w:rPr>
              <w:t>Hotel</w:t>
            </w:r>
          </w:p>
        </w:tc>
        <w:tc>
          <w:tcPr>
            <w:tcW w:w="7488" w:type="dxa"/>
          </w:tcPr>
          <w:p w14:paraId="344214D2"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hotel sector, 0 otherwise.</w:t>
            </w:r>
          </w:p>
        </w:tc>
      </w:tr>
      <w:tr w:rsidR="007D3934" w:rsidRPr="00660482" w14:paraId="61A3A887" w14:textId="77777777" w:rsidTr="00AB016E">
        <w:trPr>
          <w:trHeight w:val="293"/>
        </w:trPr>
        <w:tc>
          <w:tcPr>
            <w:tcW w:w="2027" w:type="dxa"/>
            <w:vAlign w:val="bottom"/>
          </w:tcPr>
          <w:p w14:paraId="4B565DA7" w14:textId="77777777" w:rsidR="007D3934" w:rsidRPr="00660482" w:rsidRDefault="007D3934" w:rsidP="00AB016E">
            <w:pPr>
              <w:rPr>
                <w:i/>
                <w:color w:val="000000"/>
                <w:sz w:val="20"/>
                <w:szCs w:val="20"/>
              </w:rPr>
            </w:pPr>
            <w:r w:rsidRPr="00660482">
              <w:rPr>
                <w:i/>
                <w:color w:val="000000"/>
                <w:sz w:val="20"/>
                <w:szCs w:val="20"/>
              </w:rPr>
              <w:t>Office</w:t>
            </w:r>
          </w:p>
        </w:tc>
        <w:tc>
          <w:tcPr>
            <w:tcW w:w="7488" w:type="dxa"/>
          </w:tcPr>
          <w:p w14:paraId="4B539C65" w14:textId="77777777" w:rsidR="007D3934" w:rsidRPr="00660482" w:rsidRDefault="007D3934" w:rsidP="00AB016E">
            <w:pPr>
              <w:rPr>
                <w:color w:val="000000"/>
                <w:sz w:val="20"/>
                <w:szCs w:val="20"/>
              </w:rPr>
            </w:pPr>
            <w:r>
              <w:rPr>
                <w:color w:val="000000"/>
                <w:sz w:val="20"/>
                <w:szCs w:val="20"/>
              </w:rPr>
              <w:t>Dummy</w:t>
            </w:r>
            <w:r w:rsidRPr="00660482">
              <w:rPr>
                <w:color w:val="000000"/>
                <w:sz w:val="20"/>
                <w:szCs w:val="20"/>
              </w:rPr>
              <w:t xml:space="preserve"> variable equal to 1 if the REIT operates in the office sector, 0 otherwise.</w:t>
            </w:r>
          </w:p>
        </w:tc>
      </w:tr>
    </w:tbl>
    <w:p w14:paraId="5E853B14" w14:textId="77777777" w:rsidR="007D3934" w:rsidRPr="00660482" w:rsidRDefault="007D3934" w:rsidP="007D3934"/>
    <w:p w14:paraId="383847A8" w14:textId="77777777" w:rsidR="007D3934" w:rsidRPr="00660482" w:rsidRDefault="007D3934" w:rsidP="007D3934"/>
    <w:p w14:paraId="6221C641" w14:textId="77777777" w:rsidR="007D3934" w:rsidRPr="00660482" w:rsidRDefault="007D3934" w:rsidP="007D3934">
      <w:pPr>
        <w:spacing w:after="160" w:line="259" w:lineRule="auto"/>
      </w:pPr>
      <w:r w:rsidRPr="00660482">
        <w:br w:type="page"/>
      </w:r>
    </w:p>
    <w:p w14:paraId="44BF9DBB" w14:textId="77777777" w:rsidR="007D3934" w:rsidRPr="00942973" w:rsidRDefault="007D3934" w:rsidP="007D3934">
      <w:pPr>
        <w:pStyle w:val="Heading1"/>
        <w:rPr>
          <w:rFonts w:ascii="Times New Roman" w:hAnsi="Times New Roman" w:cs="Times New Roman"/>
          <w:sz w:val="24"/>
          <w:szCs w:val="24"/>
        </w:rPr>
      </w:pPr>
      <w:r w:rsidRPr="00942973">
        <w:rPr>
          <w:rFonts w:ascii="Times New Roman" w:hAnsi="Times New Roman" w:cs="Times New Roman"/>
          <w:sz w:val="24"/>
          <w:szCs w:val="24"/>
        </w:rPr>
        <w:t>Appendix 3: Type &amp; Definition of Sector REITs</w:t>
      </w:r>
    </w:p>
    <w:tbl>
      <w:tblPr>
        <w:tblW w:w="9463" w:type="dxa"/>
        <w:tblLook w:val="04A0" w:firstRow="1" w:lastRow="0" w:firstColumn="1" w:lastColumn="0" w:noHBand="0" w:noVBand="1"/>
      </w:tblPr>
      <w:tblGrid>
        <w:gridCol w:w="8545"/>
        <w:gridCol w:w="918"/>
      </w:tblGrid>
      <w:tr w:rsidR="007D3934" w:rsidRPr="00660482" w14:paraId="695EF88F" w14:textId="77777777" w:rsidTr="00AB016E">
        <w:trPr>
          <w:trHeight w:val="300"/>
        </w:trPr>
        <w:tc>
          <w:tcPr>
            <w:tcW w:w="8545" w:type="dxa"/>
            <w:tcBorders>
              <w:top w:val="single" w:sz="4" w:space="0" w:color="auto"/>
              <w:left w:val="single" w:sz="4" w:space="0" w:color="auto"/>
              <w:bottom w:val="single" w:sz="4" w:space="0" w:color="auto"/>
              <w:right w:val="single" w:sz="4" w:space="0" w:color="auto"/>
            </w:tcBorders>
            <w:noWrap/>
            <w:vAlign w:val="bottom"/>
            <w:hideMark/>
          </w:tcPr>
          <w:p w14:paraId="0612DAEA" w14:textId="77777777" w:rsidR="007D3934" w:rsidRPr="00660482" w:rsidRDefault="007D3934" w:rsidP="00AB016E">
            <w:pPr>
              <w:rPr>
                <w:color w:val="000000"/>
                <w:sz w:val="18"/>
                <w:szCs w:val="18"/>
              </w:rPr>
            </w:pPr>
            <w:r w:rsidRPr="00660482">
              <w:rPr>
                <w:color w:val="000000"/>
                <w:sz w:val="18"/>
                <w:szCs w:val="18"/>
              </w:rPr>
              <w:t>Type &amp; Definition</w:t>
            </w:r>
          </w:p>
        </w:tc>
        <w:tc>
          <w:tcPr>
            <w:tcW w:w="918" w:type="dxa"/>
            <w:tcBorders>
              <w:top w:val="single" w:sz="4" w:space="0" w:color="auto"/>
              <w:left w:val="nil"/>
              <w:bottom w:val="single" w:sz="4" w:space="0" w:color="auto"/>
              <w:right w:val="single" w:sz="4" w:space="0" w:color="auto"/>
            </w:tcBorders>
            <w:noWrap/>
            <w:vAlign w:val="bottom"/>
            <w:hideMark/>
          </w:tcPr>
          <w:p w14:paraId="1C64FD88" w14:textId="77777777" w:rsidR="007D3934" w:rsidRPr="00660482" w:rsidRDefault="007D3934" w:rsidP="00AB016E">
            <w:pPr>
              <w:rPr>
                <w:color w:val="000000"/>
                <w:sz w:val="18"/>
                <w:szCs w:val="18"/>
              </w:rPr>
            </w:pPr>
            <w:r w:rsidRPr="00660482">
              <w:rPr>
                <w:color w:val="000000"/>
                <w:sz w:val="18"/>
                <w:szCs w:val="18"/>
              </w:rPr>
              <w:t>N. funds</w:t>
            </w:r>
          </w:p>
        </w:tc>
      </w:tr>
      <w:tr w:rsidR="007D3934" w:rsidRPr="00660482" w14:paraId="65B186D2"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7B7281F4" w14:textId="77777777" w:rsidR="007D3934" w:rsidRPr="00660482" w:rsidRDefault="007D3934" w:rsidP="00AB016E">
            <w:pPr>
              <w:rPr>
                <w:color w:val="000000"/>
                <w:sz w:val="18"/>
                <w:szCs w:val="18"/>
              </w:rPr>
            </w:pPr>
            <w:r w:rsidRPr="00660482">
              <w:rPr>
                <w:color w:val="000000"/>
                <w:sz w:val="18"/>
                <w:szCs w:val="18"/>
              </w:rPr>
              <w:t>Diversified REITs (Primary): own and manage a variety of property types across multiple sectors, rather than focusing on a single type of real estate (such as residential, office, or industrial). By investing in multiple property categories, diversified REITs aim to reduce risk and benefit from different real estate market trends, providing stability and growth potential.</w:t>
            </w:r>
          </w:p>
          <w:p w14:paraId="72F05F14" w14:textId="77777777" w:rsidR="007D3934" w:rsidRPr="00660482" w:rsidRDefault="007D3934" w:rsidP="00AB016E">
            <w:pPr>
              <w:rPr>
                <w:color w:val="000000"/>
                <w:sz w:val="18"/>
                <w:szCs w:val="18"/>
              </w:rPr>
            </w:pPr>
          </w:p>
        </w:tc>
        <w:tc>
          <w:tcPr>
            <w:tcW w:w="918" w:type="dxa"/>
            <w:tcBorders>
              <w:top w:val="nil"/>
              <w:left w:val="nil"/>
              <w:bottom w:val="single" w:sz="4" w:space="0" w:color="auto"/>
              <w:right w:val="single" w:sz="4" w:space="0" w:color="auto"/>
            </w:tcBorders>
            <w:noWrap/>
            <w:vAlign w:val="bottom"/>
            <w:hideMark/>
          </w:tcPr>
          <w:p w14:paraId="0A7C82C5" w14:textId="77777777" w:rsidR="007D3934" w:rsidRPr="00660482" w:rsidRDefault="007D3934" w:rsidP="00AB016E">
            <w:pPr>
              <w:jc w:val="right"/>
              <w:rPr>
                <w:color w:val="000000"/>
                <w:sz w:val="18"/>
                <w:szCs w:val="18"/>
              </w:rPr>
            </w:pPr>
            <w:r w:rsidRPr="00660482">
              <w:rPr>
                <w:color w:val="000000"/>
                <w:sz w:val="18"/>
                <w:szCs w:val="18"/>
              </w:rPr>
              <w:t>19</w:t>
            </w:r>
          </w:p>
        </w:tc>
      </w:tr>
      <w:tr w:rsidR="007D3934" w:rsidRPr="00660482" w14:paraId="3148C859"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668E1C86" w14:textId="77777777" w:rsidR="007D3934" w:rsidRPr="00660482" w:rsidRDefault="007D3934" w:rsidP="00AB016E">
            <w:pPr>
              <w:rPr>
                <w:color w:val="000000"/>
                <w:sz w:val="18"/>
                <w:szCs w:val="18"/>
              </w:rPr>
            </w:pPr>
            <w:r w:rsidRPr="00660482">
              <w:rPr>
                <w:color w:val="000000"/>
                <w:sz w:val="18"/>
                <w:szCs w:val="18"/>
              </w:rPr>
              <w:t>Health Care REITs (Primary): invest in real estate properties related to the healthcare industry. These properties can include hospitals, nursing facilities, senior living communities, medical office buildings, and other healthcare-related facilities.</w:t>
            </w:r>
          </w:p>
        </w:tc>
        <w:tc>
          <w:tcPr>
            <w:tcW w:w="918" w:type="dxa"/>
            <w:tcBorders>
              <w:top w:val="nil"/>
              <w:left w:val="nil"/>
              <w:bottom w:val="single" w:sz="4" w:space="0" w:color="auto"/>
              <w:right w:val="single" w:sz="4" w:space="0" w:color="auto"/>
            </w:tcBorders>
            <w:noWrap/>
            <w:vAlign w:val="bottom"/>
            <w:hideMark/>
          </w:tcPr>
          <w:p w14:paraId="74E932A5" w14:textId="77777777" w:rsidR="007D3934" w:rsidRPr="00660482" w:rsidRDefault="007D3934" w:rsidP="00AB016E">
            <w:pPr>
              <w:jc w:val="right"/>
              <w:rPr>
                <w:color w:val="000000"/>
                <w:sz w:val="18"/>
                <w:szCs w:val="18"/>
              </w:rPr>
            </w:pPr>
            <w:r w:rsidRPr="00660482">
              <w:rPr>
                <w:color w:val="000000"/>
                <w:sz w:val="18"/>
                <w:szCs w:val="18"/>
              </w:rPr>
              <w:t>15</w:t>
            </w:r>
          </w:p>
        </w:tc>
      </w:tr>
      <w:tr w:rsidR="007D3934" w:rsidRPr="00660482" w14:paraId="3DBD5D19"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503AC118" w14:textId="77777777" w:rsidR="007D3934" w:rsidRPr="00660482" w:rsidRDefault="007D3934" w:rsidP="00AB016E">
            <w:pPr>
              <w:rPr>
                <w:color w:val="000000"/>
                <w:sz w:val="18"/>
                <w:szCs w:val="18"/>
              </w:rPr>
            </w:pPr>
            <w:r w:rsidRPr="00660482">
              <w:rPr>
                <w:color w:val="000000"/>
                <w:sz w:val="18"/>
                <w:szCs w:val="18"/>
              </w:rPr>
              <w:t>Hotel and Resort REITs (Primary): invests in properties within the hospitality industry. These REITs own and operate hotels, resorts, and other lodging facilities, generating revenue primarily from renting rooms, hosting events, and other related services.</w:t>
            </w:r>
          </w:p>
        </w:tc>
        <w:tc>
          <w:tcPr>
            <w:tcW w:w="918" w:type="dxa"/>
            <w:tcBorders>
              <w:top w:val="nil"/>
              <w:left w:val="nil"/>
              <w:bottom w:val="single" w:sz="4" w:space="0" w:color="auto"/>
              <w:right w:val="single" w:sz="4" w:space="0" w:color="auto"/>
            </w:tcBorders>
            <w:noWrap/>
            <w:vAlign w:val="bottom"/>
            <w:hideMark/>
          </w:tcPr>
          <w:p w14:paraId="790E897C" w14:textId="77777777" w:rsidR="007D3934" w:rsidRPr="00660482" w:rsidRDefault="007D3934" w:rsidP="00AB016E">
            <w:pPr>
              <w:jc w:val="right"/>
              <w:rPr>
                <w:color w:val="000000"/>
                <w:sz w:val="18"/>
                <w:szCs w:val="18"/>
              </w:rPr>
            </w:pPr>
            <w:r w:rsidRPr="00660482">
              <w:rPr>
                <w:color w:val="000000"/>
                <w:sz w:val="18"/>
                <w:szCs w:val="18"/>
              </w:rPr>
              <w:t>16</w:t>
            </w:r>
          </w:p>
        </w:tc>
      </w:tr>
      <w:tr w:rsidR="007D3934" w:rsidRPr="00660482" w14:paraId="47BC5072"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24A95616" w14:textId="77777777" w:rsidR="007D3934" w:rsidRPr="00660482" w:rsidRDefault="007D3934" w:rsidP="00AB016E">
            <w:pPr>
              <w:rPr>
                <w:color w:val="000000"/>
                <w:sz w:val="18"/>
                <w:szCs w:val="18"/>
              </w:rPr>
            </w:pPr>
            <w:r w:rsidRPr="00660482">
              <w:rPr>
                <w:color w:val="000000"/>
                <w:sz w:val="18"/>
                <w:szCs w:val="18"/>
              </w:rPr>
              <w:t>Industrial REITs (Primary): specializes in owning, operating, and managing properties used for industrial purposes. These properties can include warehouses, distribution centers, manufacturing facilities, logistics centers, and research and development (R&amp;D) spaces. Industrial REITs play a crucial role in supporting various sectors of the economy by providing the necessary real estate for industrial activities.</w:t>
            </w:r>
          </w:p>
        </w:tc>
        <w:tc>
          <w:tcPr>
            <w:tcW w:w="918" w:type="dxa"/>
            <w:tcBorders>
              <w:top w:val="nil"/>
              <w:left w:val="nil"/>
              <w:bottom w:val="single" w:sz="4" w:space="0" w:color="auto"/>
              <w:right w:val="single" w:sz="4" w:space="0" w:color="auto"/>
            </w:tcBorders>
            <w:noWrap/>
            <w:vAlign w:val="bottom"/>
            <w:hideMark/>
          </w:tcPr>
          <w:p w14:paraId="0F5840D8" w14:textId="77777777" w:rsidR="007D3934" w:rsidRPr="00660482" w:rsidRDefault="007D3934" w:rsidP="00AB016E">
            <w:pPr>
              <w:jc w:val="right"/>
              <w:rPr>
                <w:color w:val="000000"/>
                <w:sz w:val="18"/>
                <w:szCs w:val="18"/>
              </w:rPr>
            </w:pPr>
            <w:r w:rsidRPr="00660482">
              <w:rPr>
                <w:color w:val="000000"/>
                <w:sz w:val="18"/>
                <w:szCs w:val="18"/>
              </w:rPr>
              <w:t>11</w:t>
            </w:r>
          </w:p>
        </w:tc>
      </w:tr>
      <w:tr w:rsidR="007D3934" w:rsidRPr="00660482" w14:paraId="7D5FA145"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1E67052D" w14:textId="77777777" w:rsidR="007D3934" w:rsidRPr="00660482" w:rsidRDefault="007D3934" w:rsidP="00AB016E">
            <w:pPr>
              <w:rPr>
                <w:sz w:val="18"/>
                <w:szCs w:val="18"/>
              </w:rPr>
            </w:pPr>
            <w:r w:rsidRPr="00660482">
              <w:rPr>
                <w:sz w:val="18"/>
                <w:szCs w:val="18"/>
              </w:rPr>
              <w:t>Office REITs (Primary): primarily invests in office properties. These properties typically include commercial office buildings, corporate campuses, and other office-related real estate. Office REITs are a subset of the broader REIT category and are focused on generating income through leasing office spaces to various tenants, which can include businesses, government agencies, and other organizations.</w:t>
            </w:r>
          </w:p>
        </w:tc>
        <w:tc>
          <w:tcPr>
            <w:tcW w:w="918" w:type="dxa"/>
            <w:tcBorders>
              <w:top w:val="nil"/>
              <w:left w:val="nil"/>
              <w:bottom w:val="single" w:sz="4" w:space="0" w:color="auto"/>
              <w:right w:val="single" w:sz="4" w:space="0" w:color="auto"/>
            </w:tcBorders>
            <w:noWrap/>
            <w:vAlign w:val="bottom"/>
            <w:hideMark/>
          </w:tcPr>
          <w:p w14:paraId="713E4811" w14:textId="77777777" w:rsidR="007D3934" w:rsidRPr="00660482" w:rsidRDefault="007D3934" w:rsidP="00AB016E">
            <w:pPr>
              <w:jc w:val="right"/>
              <w:rPr>
                <w:sz w:val="18"/>
                <w:szCs w:val="18"/>
              </w:rPr>
            </w:pPr>
            <w:r w:rsidRPr="00660482">
              <w:rPr>
                <w:sz w:val="18"/>
                <w:szCs w:val="18"/>
              </w:rPr>
              <w:t>23</w:t>
            </w:r>
          </w:p>
        </w:tc>
      </w:tr>
      <w:tr w:rsidR="007D3934" w:rsidRPr="00660482" w14:paraId="7CE985A8"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58BABFE3" w14:textId="77777777" w:rsidR="007D3934" w:rsidRPr="00660482" w:rsidRDefault="007D3934" w:rsidP="00AB016E">
            <w:pPr>
              <w:rPr>
                <w:sz w:val="18"/>
                <w:szCs w:val="18"/>
              </w:rPr>
            </w:pPr>
            <w:r w:rsidRPr="00660482">
              <w:rPr>
                <w:sz w:val="18"/>
                <w:szCs w:val="18"/>
              </w:rPr>
              <w:t>Residential REITs (Primary): focuses on owning, operating, and managing residential properties. These properties include various types of housing, such as apartment buildings, single-family rental homes, student housing, and manufactured housing communities. Residential REITs generate income primarily through the rental payments made by tenants living in these properties.</w:t>
            </w:r>
          </w:p>
        </w:tc>
        <w:tc>
          <w:tcPr>
            <w:tcW w:w="918" w:type="dxa"/>
            <w:tcBorders>
              <w:top w:val="nil"/>
              <w:left w:val="nil"/>
              <w:bottom w:val="single" w:sz="4" w:space="0" w:color="auto"/>
              <w:right w:val="single" w:sz="4" w:space="0" w:color="auto"/>
            </w:tcBorders>
            <w:noWrap/>
            <w:vAlign w:val="bottom"/>
            <w:hideMark/>
          </w:tcPr>
          <w:p w14:paraId="0F604FFE" w14:textId="77777777" w:rsidR="007D3934" w:rsidRPr="00660482" w:rsidRDefault="007D3934" w:rsidP="00AB016E">
            <w:pPr>
              <w:jc w:val="right"/>
              <w:rPr>
                <w:sz w:val="18"/>
                <w:szCs w:val="18"/>
              </w:rPr>
            </w:pPr>
            <w:r w:rsidRPr="00660482">
              <w:rPr>
                <w:sz w:val="18"/>
                <w:szCs w:val="18"/>
              </w:rPr>
              <w:t>21</w:t>
            </w:r>
          </w:p>
        </w:tc>
      </w:tr>
      <w:tr w:rsidR="007D3934" w:rsidRPr="00660482" w14:paraId="1C17C593"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25B97BB0" w14:textId="77777777" w:rsidR="007D3934" w:rsidRPr="00660482" w:rsidRDefault="007D3934" w:rsidP="00AB016E">
            <w:pPr>
              <w:rPr>
                <w:sz w:val="18"/>
                <w:szCs w:val="18"/>
              </w:rPr>
            </w:pPr>
            <w:r w:rsidRPr="00660482">
              <w:rPr>
                <w:sz w:val="18"/>
                <w:szCs w:val="18"/>
              </w:rPr>
              <w:t>Retail REITs (Primary): specializes in owning, operating, and managing retail properties. These properties can include shopping malls, strip malls, outlet centers, grocery-anchored shopping centers, and standalone retail stores. Retail REITs generate income primarily through leasing space to retail tenants, such as clothing stores, supermarkets, restaurants, and entertainment venues.</w:t>
            </w:r>
          </w:p>
        </w:tc>
        <w:tc>
          <w:tcPr>
            <w:tcW w:w="918" w:type="dxa"/>
            <w:tcBorders>
              <w:top w:val="nil"/>
              <w:left w:val="nil"/>
              <w:bottom w:val="single" w:sz="4" w:space="0" w:color="auto"/>
              <w:right w:val="single" w:sz="4" w:space="0" w:color="auto"/>
            </w:tcBorders>
            <w:noWrap/>
            <w:vAlign w:val="bottom"/>
            <w:hideMark/>
          </w:tcPr>
          <w:p w14:paraId="57CAD9F1" w14:textId="77777777" w:rsidR="007D3934" w:rsidRPr="00660482" w:rsidRDefault="007D3934" w:rsidP="00AB016E">
            <w:pPr>
              <w:jc w:val="right"/>
              <w:rPr>
                <w:sz w:val="18"/>
                <w:szCs w:val="18"/>
              </w:rPr>
            </w:pPr>
            <w:r w:rsidRPr="00660482">
              <w:rPr>
                <w:sz w:val="18"/>
                <w:szCs w:val="18"/>
              </w:rPr>
              <w:t>25</w:t>
            </w:r>
          </w:p>
        </w:tc>
      </w:tr>
      <w:tr w:rsidR="007D3934" w:rsidRPr="00660482" w14:paraId="749DD719" w14:textId="77777777" w:rsidTr="00AB016E">
        <w:trPr>
          <w:trHeight w:val="300"/>
        </w:trPr>
        <w:tc>
          <w:tcPr>
            <w:tcW w:w="8545" w:type="dxa"/>
            <w:tcBorders>
              <w:top w:val="nil"/>
              <w:left w:val="single" w:sz="4" w:space="0" w:color="auto"/>
              <w:bottom w:val="single" w:sz="4" w:space="0" w:color="auto"/>
              <w:right w:val="single" w:sz="4" w:space="0" w:color="auto"/>
            </w:tcBorders>
            <w:noWrap/>
            <w:hideMark/>
          </w:tcPr>
          <w:p w14:paraId="570355C4" w14:textId="77777777" w:rsidR="007D3934" w:rsidRPr="00660482" w:rsidRDefault="007D3934" w:rsidP="00AB016E">
            <w:pPr>
              <w:rPr>
                <w:color w:val="000000"/>
                <w:sz w:val="18"/>
                <w:szCs w:val="18"/>
              </w:rPr>
            </w:pPr>
            <w:r w:rsidRPr="00660482">
              <w:rPr>
                <w:color w:val="000000"/>
                <w:sz w:val="18"/>
                <w:szCs w:val="18"/>
              </w:rPr>
              <w:t>Specialized REITs (Primary): focus on owning, operating, and managing properties that do not fall into the traditional categories of residential, retail, office, industrial, or healthcare. These REITs invest in niche markets, often catering to specific industries or property types with unique characteristics and demand drivers, such as Data centers, cell towers, self-storage facilities, timberlands, infrastructure, gaming and entertainment, and farmland.</w:t>
            </w:r>
          </w:p>
        </w:tc>
        <w:tc>
          <w:tcPr>
            <w:tcW w:w="918" w:type="dxa"/>
            <w:tcBorders>
              <w:top w:val="nil"/>
              <w:left w:val="nil"/>
              <w:bottom w:val="single" w:sz="4" w:space="0" w:color="auto"/>
              <w:right w:val="single" w:sz="4" w:space="0" w:color="auto"/>
            </w:tcBorders>
            <w:noWrap/>
            <w:vAlign w:val="bottom"/>
            <w:hideMark/>
          </w:tcPr>
          <w:p w14:paraId="35FE3757" w14:textId="77777777" w:rsidR="007D3934" w:rsidRPr="00660482" w:rsidRDefault="007D3934" w:rsidP="00AB016E">
            <w:pPr>
              <w:jc w:val="right"/>
              <w:rPr>
                <w:color w:val="000000"/>
                <w:sz w:val="18"/>
                <w:szCs w:val="18"/>
              </w:rPr>
            </w:pPr>
            <w:r w:rsidRPr="00660482">
              <w:rPr>
                <w:color w:val="000000"/>
                <w:sz w:val="18"/>
                <w:szCs w:val="18"/>
              </w:rPr>
              <w:t>25</w:t>
            </w:r>
          </w:p>
        </w:tc>
      </w:tr>
      <w:tr w:rsidR="007D3934" w:rsidRPr="00660482" w14:paraId="5FCAEFF4" w14:textId="77777777" w:rsidTr="00AB016E">
        <w:trPr>
          <w:trHeight w:val="300"/>
        </w:trPr>
        <w:tc>
          <w:tcPr>
            <w:tcW w:w="8545" w:type="dxa"/>
            <w:tcBorders>
              <w:top w:val="nil"/>
              <w:left w:val="single" w:sz="4" w:space="0" w:color="auto"/>
              <w:bottom w:val="single" w:sz="4" w:space="0" w:color="auto"/>
              <w:right w:val="single" w:sz="4" w:space="0" w:color="auto"/>
            </w:tcBorders>
            <w:noWrap/>
            <w:vAlign w:val="bottom"/>
            <w:hideMark/>
          </w:tcPr>
          <w:p w14:paraId="6651D9C2" w14:textId="77777777" w:rsidR="007D3934" w:rsidRPr="00660482" w:rsidRDefault="007D3934" w:rsidP="00AB016E">
            <w:pPr>
              <w:rPr>
                <w:color w:val="000000"/>
                <w:sz w:val="18"/>
                <w:szCs w:val="18"/>
              </w:rPr>
            </w:pPr>
            <w:r w:rsidRPr="00660482">
              <w:rPr>
                <w:color w:val="000000"/>
                <w:sz w:val="18"/>
                <w:szCs w:val="18"/>
              </w:rPr>
              <w:t>Grand Total</w:t>
            </w:r>
          </w:p>
        </w:tc>
        <w:tc>
          <w:tcPr>
            <w:tcW w:w="918" w:type="dxa"/>
            <w:tcBorders>
              <w:top w:val="nil"/>
              <w:left w:val="nil"/>
              <w:bottom w:val="single" w:sz="4" w:space="0" w:color="auto"/>
              <w:right w:val="single" w:sz="4" w:space="0" w:color="auto"/>
            </w:tcBorders>
            <w:noWrap/>
            <w:vAlign w:val="bottom"/>
            <w:hideMark/>
          </w:tcPr>
          <w:p w14:paraId="6D1BD518" w14:textId="77777777" w:rsidR="007D3934" w:rsidRPr="00660482" w:rsidRDefault="007D3934" w:rsidP="00AB016E">
            <w:pPr>
              <w:jc w:val="right"/>
              <w:rPr>
                <w:color w:val="000000"/>
                <w:sz w:val="18"/>
                <w:szCs w:val="18"/>
              </w:rPr>
            </w:pPr>
            <w:r w:rsidRPr="00660482">
              <w:rPr>
                <w:color w:val="000000"/>
                <w:sz w:val="18"/>
                <w:szCs w:val="18"/>
              </w:rPr>
              <w:t>155</w:t>
            </w:r>
          </w:p>
        </w:tc>
      </w:tr>
    </w:tbl>
    <w:p w14:paraId="076455C3" w14:textId="77777777" w:rsidR="007D3934" w:rsidRPr="00660482" w:rsidRDefault="007D3934" w:rsidP="007D3934"/>
    <w:p w14:paraId="2F3ABF75" w14:textId="77777777" w:rsidR="007D3934" w:rsidRPr="00660482" w:rsidRDefault="007D3934" w:rsidP="007D3934">
      <w:pPr>
        <w:spacing w:after="160" w:line="259" w:lineRule="auto"/>
      </w:pPr>
      <w:r w:rsidRPr="00660482">
        <w:br w:type="page"/>
      </w:r>
    </w:p>
    <w:p w14:paraId="7BCFA605" w14:textId="77777777" w:rsidR="007D3934" w:rsidRPr="00942973" w:rsidRDefault="007D3934" w:rsidP="007D3934">
      <w:pPr>
        <w:pStyle w:val="Heading1"/>
        <w:rPr>
          <w:rFonts w:ascii="Times New Roman" w:hAnsi="Times New Roman" w:cs="Times New Roman"/>
          <w:sz w:val="24"/>
          <w:szCs w:val="24"/>
        </w:rPr>
      </w:pPr>
      <w:r w:rsidRPr="00942973">
        <w:rPr>
          <w:rFonts w:ascii="Times New Roman" w:hAnsi="Times New Roman" w:cs="Times New Roman"/>
          <w:sz w:val="24"/>
          <w:szCs w:val="24"/>
        </w:rPr>
        <w:t>Appendix 4: List of Sample REITs</w:t>
      </w:r>
    </w:p>
    <w:tbl>
      <w:tblPr>
        <w:tblW w:w="5000" w:type="pct"/>
        <w:tblLook w:val="04A0" w:firstRow="1" w:lastRow="0" w:firstColumn="1" w:lastColumn="0" w:noHBand="0" w:noVBand="1"/>
      </w:tblPr>
      <w:tblGrid>
        <w:gridCol w:w="937"/>
        <w:gridCol w:w="5316"/>
        <w:gridCol w:w="3097"/>
      </w:tblGrid>
      <w:tr w:rsidR="007D3934" w:rsidRPr="00660482" w14:paraId="11BB2B4E" w14:textId="77777777" w:rsidTr="00AB016E">
        <w:trPr>
          <w:trHeight w:val="300"/>
        </w:trPr>
        <w:tc>
          <w:tcPr>
            <w:tcW w:w="504" w:type="pct"/>
            <w:tcBorders>
              <w:top w:val="single" w:sz="4" w:space="0" w:color="auto"/>
              <w:left w:val="single" w:sz="4" w:space="0" w:color="auto"/>
              <w:bottom w:val="single" w:sz="4" w:space="0" w:color="auto"/>
              <w:right w:val="single" w:sz="4" w:space="0" w:color="auto"/>
            </w:tcBorders>
            <w:noWrap/>
            <w:vAlign w:val="bottom"/>
            <w:hideMark/>
          </w:tcPr>
          <w:p w14:paraId="682108B2" w14:textId="77777777" w:rsidR="007D3934" w:rsidRPr="00660482" w:rsidRDefault="007D3934" w:rsidP="00AB016E">
            <w:pPr>
              <w:rPr>
                <w:color w:val="000000"/>
                <w:sz w:val="18"/>
                <w:szCs w:val="18"/>
              </w:rPr>
            </w:pPr>
            <w:r w:rsidRPr="00660482">
              <w:rPr>
                <w:color w:val="000000"/>
                <w:sz w:val="18"/>
                <w:szCs w:val="18"/>
              </w:rPr>
              <w:t>TICKER</w:t>
            </w:r>
          </w:p>
        </w:tc>
        <w:tc>
          <w:tcPr>
            <w:tcW w:w="2837" w:type="pct"/>
            <w:tcBorders>
              <w:top w:val="single" w:sz="4" w:space="0" w:color="auto"/>
              <w:left w:val="nil"/>
              <w:bottom w:val="single" w:sz="4" w:space="0" w:color="auto"/>
              <w:right w:val="single" w:sz="4" w:space="0" w:color="auto"/>
            </w:tcBorders>
            <w:noWrap/>
            <w:vAlign w:val="bottom"/>
            <w:hideMark/>
          </w:tcPr>
          <w:p w14:paraId="565790AB" w14:textId="77777777" w:rsidR="007D3934" w:rsidRPr="00660482" w:rsidRDefault="007D3934" w:rsidP="00AB016E">
            <w:pPr>
              <w:rPr>
                <w:color w:val="000000"/>
                <w:sz w:val="18"/>
                <w:szCs w:val="18"/>
              </w:rPr>
            </w:pPr>
            <w:r w:rsidRPr="00660482">
              <w:rPr>
                <w:color w:val="000000"/>
                <w:sz w:val="18"/>
                <w:szCs w:val="18"/>
              </w:rPr>
              <w:t>Company Name</w:t>
            </w:r>
          </w:p>
        </w:tc>
        <w:tc>
          <w:tcPr>
            <w:tcW w:w="1659" w:type="pct"/>
            <w:tcBorders>
              <w:top w:val="single" w:sz="4" w:space="0" w:color="auto"/>
              <w:left w:val="nil"/>
              <w:bottom w:val="single" w:sz="4" w:space="0" w:color="auto"/>
              <w:right w:val="single" w:sz="4" w:space="0" w:color="auto"/>
            </w:tcBorders>
            <w:noWrap/>
            <w:vAlign w:val="bottom"/>
            <w:hideMark/>
          </w:tcPr>
          <w:p w14:paraId="7855E18F" w14:textId="77777777" w:rsidR="007D3934" w:rsidRPr="00660482" w:rsidRDefault="007D3934" w:rsidP="00AB016E">
            <w:pPr>
              <w:rPr>
                <w:color w:val="000000"/>
                <w:sz w:val="18"/>
                <w:szCs w:val="18"/>
              </w:rPr>
            </w:pPr>
            <w:r w:rsidRPr="00660482">
              <w:rPr>
                <w:color w:val="000000"/>
                <w:sz w:val="18"/>
                <w:szCs w:val="18"/>
              </w:rPr>
              <w:t>Type</w:t>
            </w:r>
          </w:p>
        </w:tc>
      </w:tr>
      <w:tr w:rsidR="007D3934" w:rsidRPr="00660482" w14:paraId="196D397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47908A8" w14:textId="77777777" w:rsidR="007D3934" w:rsidRPr="00660482" w:rsidRDefault="007D3934" w:rsidP="00AB016E">
            <w:pPr>
              <w:rPr>
                <w:color w:val="000000"/>
                <w:sz w:val="18"/>
                <w:szCs w:val="18"/>
              </w:rPr>
            </w:pPr>
            <w:r w:rsidRPr="00660482">
              <w:rPr>
                <w:color w:val="000000"/>
                <w:sz w:val="18"/>
                <w:szCs w:val="18"/>
              </w:rPr>
              <w:t>AAT</w:t>
            </w:r>
          </w:p>
        </w:tc>
        <w:tc>
          <w:tcPr>
            <w:tcW w:w="2837" w:type="pct"/>
            <w:tcBorders>
              <w:top w:val="nil"/>
              <w:left w:val="nil"/>
              <w:bottom w:val="single" w:sz="4" w:space="0" w:color="auto"/>
              <w:right w:val="single" w:sz="4" w:space="0" w:color="auto"/>
            </w:tcBorders>
            <w:noWrap/>
            <w:vAlign w:val="bottom"/>
            <w:hideMark/>
          </w:tcPr>
          <w:p w14:paraId="424DED26" w14:textId="77777777" w:rsidR="007D3934" w:rsidRPr="00660482" w:rsidRDefault="007D3934" w:rsidP="00AB016E">
            <w:pPr>
              <w:rPr>
                <w:color w:val="000000"/>
                <w:sz w:val="18"/>
                <w:szCs w:val="18"/>
              </w:rPr>
            </w:pPr>
            <w:r w:rsidRPr="00660482">
              <w:rPr>
                <w:color w:val="000000"/>
                <w:sz w:val="18"/>
                <w:szCs w:val="18"/>
              </w:rPr>
              <w:t>American Assets Trust, Inc. (NYSE:AAT)</w:t>
            </w:r>
          </w:p>
        </w:tc>
        <w:tc>
          <w:tcPr>
            <w:tcW w:w="1659" w:type="pct"/>
            <w:tcBorders>
              <w:top w:val="nil"/>
              <w:left w:val="nil"/>
              <w:bottom w:val="single" w:sz="4" w:space="0" w:color="auto"/>
              <w:right w:val="single" w:sz="4" w:space="0" w:color="auto"/>
            </w:tcBorders>
            <w:noWrap/>
            <w:vAlign w:val="bottom"/>
            <w:hideMark/>
          </w:tcPr>
          <w:p w14:paraId="428F95A9"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3682487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E42E94C" w14:textId="77777777" w:rsidR="007D3934" w:rsidRPr="00660482" w:rsidRDefault="007D3934" w:rsidP="00AB016E">
            <w:pPr>
              <w:rPr>
                <w:color w:val="000000"/>
                <w:sz w:val="18"/>
                <w:szCs w:val="18"/>
              </w:rPr>
            </w:pPr>
            <w:r w:rsidRPr="00660482">
              <w:rPr>
                <w:color w:val="000000"/>
                <w:sz w:val="18"/>
                <w:szCs w:val="18"/>
              </w:rPr>
              <w:t>AHH</w:t>
            </w:r>
          </w:p>
        </w:tc>
        <w:tc>
          <w:tcPr>
            <w:tcW w:w="2837" w:type="pct"/>
            <w:tcBorders>
              <w:top w:val="nil"/>
              <w:left w:val="nil"/>
              <w:bottom w:val="single" w:sz="4" w:space="0" w:color="auto"/>
              <w:right w:val="single" w:sz="4" w:space="0" w:color="auto"/>
            </w:tcBorders>
            <w:noWrap/>
            <w:vAlign w:val="bottom"/>
            <w:hideMark/>
          </w:tcPr>
          <w:p w14:paraId="37FCB245" w14:textId="77777777" w:rsidR="007D3934" w:rsidRPr="00660482" w:rsidRDefault="007D3934" w:rsidP="00AB016E">
            <w:pPr>
              <w:rPr>
                <w:color w:val="000000"/>
                <w:sz w:val="18"/>
                <w:szCs w:val="18"/>
              </w:rPr>
            </w:pPr>
            <w:r w:rsidRPr="00660482">
              <w:rPr>
                <w:color w:val="000000"/>
                <w:sz w:val="18"/>
                <w:szCs w:val="18"/>
              </w:rPr>
              <w:t>Armada Hoffler Properties, Inc. (NYSE:AHH)</w:t>
            </w:r>
          </w:p>
        </w:tc>
        <w:tc>
          <w:tcPr>
            <w:tcW w:w="1659" w:type="pct"/>
            <w:tcBorders>
              <w:top w:val="nil"/>
              <w:left w:val="nil"/>
              <w:bottom w:val="single" w:sz="4" w:space="0" w:color="auto"/>
              <w:right w:val="single" w:sz="4" w:space="0" w:color="auto"/>
            </w:tcBorders>
            <w:noWrap/>
            <w:vAlign w:val="bottom"/>
            <w:hideMark/>
          </w:tcPr>
          <w:p w14:paraId="744FDA9A"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6BB929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F230D9E" w14:textId="77777777" w:rsidR="007D3934" w:rsidRPr="00660482" w:rsidRDefault="007D3934" w:rsidP="00AB016E">
            <w:pPr>
              <w:rPr>
                <w:color w:val="000000"/>
                <w:sz w:val="18"/>
                <w:szCs w:val="18"/>
              </w:rPr>
            </w:pPr>
            <w:r w:rsidRPr="00660482">
              <w:rPr>
                <w:color w:val="000000"/>
                <w:sz w:val="18"/>
                <w:szCs w:val="18"/>
              </w:rPr>
              <w:t>ALEX</w:t>
            </w:r>
          </w:p>
        </w:tc>
        <w:tc>
          <w:tcPr>
            <w:tcW w:w="2837" w:type="pct"/>
            <w:tcBorders>
              <w:top w:val="nil"/>
              <w:left w:val="nil"/>
              <w:bottom w:val="single" w:sz="4" w:space="0" w:color="auto"/>
              <w:right w:val="single" w:sz="4" w:space="0" w:color="auto"/>
            </w:tcBorders>
            <w:noWrap/>
            <w:vAlign w:val="bottom"/>
            <w:hideMark/>
          </w:tcPr>
          <w:p w14:paraId="3ECE4110" w14:textId="77777777" w:rsidR="007D3934" w:rsidRPr="00660482" w:rsidRDefault="007D3934" w:rsidP="00AB016E">
            <w:pPr>
              <w:rPr>
                <w:color w:val="000000"/>
                <w:sz w:val="18"/>
                <w:szCs w:val="18"/>
              </w:rPr>
            </w:pPr>
            <w:r w:rsidRPr="00660482">
              <w:rPr>
                <w:color w:val="000000"/>
                <w:sz w:val="18"/>
                <w:szCs w:val="18"/>
              </w:rPr>
              <w:t>Alexander &amp; Baldwin, Inc. (NYSE:ALEX)</w:t>
            </w:r>
          </w:p>
        </w:tc>
        <w:tc>
          <w:tcPr>
            <w:tcW w:w="1659" w:type="pct"/>
            <w:tcBorders>
              <w:top w:val="nil"/>
              <w:left w:val="nil"/>
              <w:bottom w:val="single" w:sz="4" w:space="0" w:color="auto"/>
              <w:right w:val="single" w:sz="4" w:space="0" w:color="auto"/>
            </w:tcBorders>
            <w:noWrap/>
            <w:vAlign w:val="bottom"/>
            <w:hideMark/>
          </w:tcPr>
          <w:p w14:paraId="09A2D46A"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27BE1FE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4F29706" w14:textId="77777777" w:rsidR="007D3934" w:rsidRPr="00660482" w:rsidRDefault="007D3934" w:rsidP="00AB016E">
            <w:pPr>
              <w:rPr>
                <w:color w:val="000000"/>
                <w:sz w:val="18"/>
                <w:szCs w:val="18"/>
              </w:rPr>
            </w:pPr>
            <w:r w:rsidRPr="00660482">
              <w:rPr>
                <w:color w:val="000000"/>
                <w:sz w:val="18"/>
                <w:szCs w:val="18"/>
              </w:rPr>
              <w:t>BNL</w:t>
            </w:r>
          </w:p>
        </w:tc>
        <w:tc>
          <w:tcPr>
            <w:tcW w:w="2837" w:type="pct"/>
            <w:tcBorders>
              <w:top w:val="nil"/>
              <w:left w:val="nil"/>
              <w:bottom w:val="single" w:sz="4" w:space="0" w:color="auto"/>
              <w:right w:val="single" w:sz="4" w:space="0" w:color="auto"/>
            </w:tcBorders>
            <w:noWrap/>
            <w:vAlign w:val="bottom"/>
            <w:hideMark/>
          </w:tcPr>
          <w:p w14:paraId="09988C90" w14:textId="77777777" w:rsidR="007D3934" w:rsidRPr="00660482" w:rsidRDefault="007D3934" w:rsidP="00AB016E">
            <w:pPr>
              <w:rPr>
                <w:color w:val="000000"/>
                <w:sz w:val="18"/>
                <w:szCs w:val="18"/>
              </w:rPr>
            </w:pPr>
            <w:r w:rsidRPr="00660482">
              <w:rPr>
                <w:color w:val="000000"/>
                <w:sz w:val="18"/>
                <w:szCs w:val="18"/>
              </w:rPr>
              <w:t>Broadstone Net Lease, Inc. (NYSE:BNL)</w:t>
            </w:r>
          </w:p>
        </w:tc>
        <w:tc>
          <w:tcPr>
            <w:tcW w:w="1659" w:type="pct"/>
            <w:tcBorders>
              <w:top w:val="nil"/>
              <w:left w:val="nil"/>
              <w:bottom w:val="single" w:sz="4" w:space="0" w:color="auto"/>
              <w:right w:val="single" w:sz="4" w:space="0" w:color="auto"/>
            </w:tcBorders>
            <w:noWrap/>
            <w:vAlign w:val="bottom"/>
            <w:hideMark/>
          </w:tcPr>
          <w:p w14:paraId="3C551973"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54A25DE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3DAB390" w14:textId="77777777" w:rsidR="007D3934" w:rsidRPr="00660482" w:rsidRDefault="007D3934" w:rsidP="00AB016E">
            <w:pPr>
              <w:rPr>
                <w:color w:val="000000"/>
                <w:sz w:val="18"/>
                <w:szCs w:val="18"/>
              </w:rPr>
            </w:pPr>
            <w:r w:rsidRPr="00660482">
              <w:rPr>
                <w:color w:val="000000"/>
                <w:sz w:val="18"/>
                <w:szCs w:val="18"/>
              </w:rPr>
              <w:t>CTO</w:t>
            </w:r>
          </w:p>
        </w:tc>
        <w:tc>
          <w:tcPr>
            <w:tcW w:w="2837" w:type="pct"/>
            <w:tcBorders>
              <w:top w:val="nil"/>
              <w:left w:val="nil"/>
              <w:bottom w:val="single" w:sz="4" w:space="0" w:color="auto"/>
              <w:right w:val="single" w:sz="4" w:space="0" w:color="auto"/>
            </w:tcBorders>
            <w:noWrap/>
            <w:vAlign w:val="bottom"/>
            <w:hideMark/>
          </w:tcPr>
          <w:p w14:paraId="38278291" w14:textId="77777777" w:rsidR="007D3934" w:rsidRPr="00660482" w:rsidRDefault="007D3934" w:rsidP="00AB016E">
            <w:pPr>
              <w:rPr>
                <w:color w:val="000000"/>
                <w:sz w:val="18"/>
                <w:szCs w:val="18"/>
              </w:rPr>
            </w:pPr>
            <w:r w:rsidRPr="00660482">
              <w:rPr>
                <w:color w:val="000000"/>
                <w:sz w:val="18"/>
                <w:szCs w:val="18"/>
              </w:rPr>
              <w:t>CTO Realty Growth, Inc. (NYSE:CTO)</w:t>
            </w:r>
          </w:p>
        </w:tc>
        <w:tc>
          <w:tcPr>
            <w:tcW w:w="1659" w:type="pct"/>
            <w:tcBorders>
              <w:top w:val="nil"/>
              <w:left w:val="nil"/>
              <w:bottom w:val="single" w:sz="4" w:space="0" w:color="auto"/>
              <w:right w:val="single" w:sz="4" w:space="0" w:color="auto"/>
            </w:tcBorders>
            <w:noWrap/>
            <w:vAlign w:val="bottom"/>
            <w:hideMark/>
          </w:tcPr>
          <w:p w14:paraId="5EC8B3B0"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37A8447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3FA11A7" w14:textId="77777777" w:rsidR="007D3934" w:rsidRPr="00660482" w:rsidRDefault="007D3934" w:rsidP="00AB016E">
            <w:pPr>
              <w:rPr>
                <w:color w:val="000000"/>
                <w:sz w:val="18"/>
                <w:szCs w:val="18"/>
              </w:rPr>
            </w:pPr>
            <w:r w:rsidRPr="00660482">
              <w:rPr>
                <w:color w:val="000000"/>
                <w:sz w:val="18"/>
                <w:szCs w:val="18"/>
              </w:rPr>
              <w:t>EPRT</w:t>
            </w:r>
          </w:p>
        </w:tc>
        <w:tc>
          <w:tcPr>
            <w:tcW w:w="2837" w:type="pct"/>
            <w:tcBorders>
              <w:top w:val="nil"/>
              <w:left w:val="nil"/>
              <w:bottom w:val="single" w:sz="4" w:space="0" w:color="auto"/>
              <w:right w:val="single" w:sz="4" w:space="0" w:color="auto"/>
            </w:tcBorders>
            <w:noWrap/>
            <w:vAlign w:val="bottom"/>
            <w:hideMark/>
          </w:tcPr>
          <w:p w14:paraId="5B843B96" w14:textId="77777777" w:rsidR="007D3934" w:rsidRPr="00660482" w:rsidRDefault="007D3934" w:rsidP="00AB016E">
            <w:pPr>
              <w:rPr>
                <w:color w:val="000000"/>
                <w:sz w:val="18"/>
                <w:szCs w:val="18"/>
              </w:rPr>
            </w:pPr>
            <w:r w:rsidRPr="00660482">
              <w:rPr>
                <w:color w:val="000000"/>
                <w:sz w:val="18"/>
                <w:szCs w:val="18"/>
              </w:rPr>
              <w:t>Essential Properties Realty Trust, Inc. (NYSE:EPRT)</w:t>
            </w:r>
          </w:p>
        </w:tc>
        <w:tc>
          <w:tcPr>
            <w:tcW w:w="1659" w:type="pct"/>
            <w:tcBorders>
              <w:top w:val="nil"/>
              <w:left w:val="nil"/>
              <w:bottom w:val="single" w:sz="4" w:space="0" w:color="auto"/>
              <w:right w:val="single" w:sz="4" w:space="0" w:color="auto"/>
            </w:tcBorders>
            <w:noWrap/>
            <w:vAlign w:val="bottom"/>
            <w:hideMark/>
          </w:tcPr>
          <w:p w14:paraId="7AEED682"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97ABF2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D568FC5" w14:textId="77777777" w:rsidR="007D3934" w:rsidRPr="00660482" w:rsidRDefault="007D3934" w:rsidP="00AB016E">
            <w:pPr>
              <w:rPr>
                <w:color w:val="000000"/>
                <w:sz w:val="18"/>
                <w:szCs w:val="18"/>
              </w:rPr>
            </w:pPr>
            <w:r w:rsidRPr="00660482">
              <w:rPr>
                <w:color w:val="000000"/>
                <w:sz w:val="18"/>
                <w:szCs w:val="18"/>
              </w:rPr>
              <w:t>ESRT</w:t>
            </w:r>
          </w:p>
        </w:tc>
        <w:tc>
          <w:tcPr>
            <w:tcW w:w="2837" w:type="pct"/>
            <w:tcBorders>
              <w:top w:val="nil"/>
              <w:left w:val="nil"/>
              <w:bottom w:val="single" w:sz="4" w:space="0" w:color="auto"/>
              <w:right w:val="single" w:sz="4" w:space="0" w:color="auto"/>
            </w:tcBorders>
            <w:noWrap/>
            <w:vAlign w:val="bottom"/>
            <w:hideMark/>
          </w:tcPr>
          <w:p w14:paraId="0CD667EA" w14:textId="77777777" w:rsidR="007D3934" w:rsidRPr="00660482" w:rsidRDefault="007D3934" w:rsidP="00AB016E">
            <w:pPr>
              <w:rPr>
                <w:color w:val="000000"/>
                <w:sz w:val="18"/>
                <w:szCs w:val="18"/>
              </w:rPr>
            </w:pPr>
            <w:r w:rsidRPr="00660482">
              <w:rPr>
                <w:color w:val="000000"/>
                <w:sz w:val="18"/>
                <w:szCs w:val="18"/>
              </w:rPr>
              <w:t>Empire State Realty Trust, Inc. (NYSE:ESRT)</w:t>
            </w:r>
          </w:p>
        </w:tc>
        <w:tc>
          <w:tcPr>
            <w:tcW w:w="1659" w:type="pct"/>
            <w:tcBorders>
              <w:top w:val="nil"/>
              <w:left w:val="nil"/>
              <w:bottom w:val="single" w:sz="4" w:space="0" w:color="auto"/>
              <w:right w:val="single" w:sz="4" w:space="0" w:color="auto"/>
            </w:tcBorders>
            <w:noWrap/>
            <w:vAlign w:val="bottom"/>
            <w:hideMark/>
          </w:tcPr>
          <w:p w14:paraId="185D2C57"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3C0100B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50401D4" w14:textId="77777777" w:rsidR="007D3934" w:rsidRPr="00660482" w:rsidRDefault="007D3934" w:rsidP="00AB016E">
            <w:pPr>
              <w:rPr>
                <w:color w:val="000000"/>
                <w:sz w:val="18"/>
                <w:szCs w:val="18"/>
              </w:rPr>
            </w:pPr>
            <w:r w:rsidRPr="00660482">
              <w:rPr>
                <w:color w:val="000000"/>
                <w:sz w:val="18"/>
                <w:szCs w:val="18"/>
              </w:rPr>
              <w:t>GIPR</w:t>
            </w:r>
          </w:p>
        </w:tc>
        <w:tc>
          <w:tcPr>
            <w:tcW w:w="2837" w:type="pct"/>
            <w:tcBorders>
              <w:top w:val="nil"/>
              <w:left w:val="nil"/>
              <w:bottom w:val="single" w:sz="4" w:space="0" w:color="auto"/>
              <w:right w:val="single" w:sz="4" w:space="0" w:color="auto"/>
            </w:tcBorders>
            <w:noWrap/>
            <w:vAlign w:val="bottom"/>
            <w:hideMark/>
          </w:tcPr>
          <w:p w14:paraId="05C6E082" w14:textId="77777777" w:rsidR="007D3934" w:rsidRPr="00660482" w:rsidRDefault="007D3934" w:rsidP="00AB016E">
            <w:pPr>
              <w:rPr>
                <w:color w:val="000000"/>
                <w:sz w:val="18"/>
                <w:szCs w:val="18"/>
              </w:rPr>
            </w:pPr>
            <w:r w:rsidRPr="00660482">
              <w:rPr>
                <w:color w:val="000000"/>
                <w:sz w:val="18"/>
                <w:szCs w:val="18"/>
              </w:rPr>
              <w:t>Generation Income Properties, Inc. (NasdaqCM:GIPR)</w:t>
            </w:r>
          </w:p>
        </w:tc>
        <w:tc>
          <w:tcPr>
            <w:tcW w:w="1659" w:type="pct"/>
            <w:tcBorders>
              <w:top w:val="nil"/>
              <w:left w:val="nil"/>
              <w:bottom w:val="single" w:sz="4" w:space="0" w:color="auto"/>
              <w:right w:val="single" w:sz="4" w:space="0" w:color="auto"/>
            </w:tcBorders>
            <w:noWrap/>
            <w:vAlign w:val="bottom"/>
            <w:hideMark/>
          </w:tcPr>
          <w:p w14:paraId="399FA16F"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914984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D85E4DF" w14:textId="77777777" w:rsidR="007D3934" w:rsidRPr="00660482" w:rsidRDefault="007D3934" w:rsidP="00AB016E">
            <w:pPr>
              <w:rPr>
                <w:color w:val="000000"/>
                <w:sz w:val="18"/>
                <w:szCs w:val="18"/>
              </w:rPr>
            </w:pPr>
            <w:r w:rsidRPr="00660482">
              <w:rPr>
                <w:color w:val="000000"/>
                <w:sz w:val="18"/>
                <w:szCs w:val="18"/>
              </w:rPr>
              <w:t>GNL</w:t>
            </w:r>
          </w:p>
        </w:tc>
        <w:tc>
          <w:tcPr>
            <w:tcW w:w="2837" w:type="pct"/>
            <w:tcBorders>
              <w:top w:val="nil"/>
              <w:left w:val="nil"/>
              <w:bottom w:val="single" w:sz="4" w:space="0" w:color="auto"/>
              <w:right w:val="single" w:sz="4" w:space="0" w:color="auto"/>
            </w:tcBorders>
            <w:noWrap/>
            <w:vAlign w:val="bottom"/>
            <w:hideMark/>
          </w:tcPr>
          <w:p w14:paraId="64A9F7CE" w14:textId="77777777" w:rsidR="007D3934" w:rsidRPr="00660482" w:rsidRDefault="007D3934" w:rsidP="00AB016E">
            <w:pPr>
              <w:rPr>
                <w:color w:val="000000"/>
                <w:sz w:val="18"/>
                <w:szCs w:val="18"/>
              </w:rPr>
            </w:pPr>
            <w:r w:rsidRPr="00660482">
              <w:rPr>
                <w:color w:val="000000"/>
                <w:sz w:val="18"/>
                <w:szCs w:val="18"/>
              </w:rPr>
              <w:t>Global Net Lease, Inc. (NYSE:GNL)</w:t>
            </w:r>
          </w:p>
        </w:tc>
        <w:tc>
          <w:tcPr>
            <w:tcW w:w="1659" w:type="pct"/>
            <w:tcBorders>
              <w:top w:val="nil"/>
              <w:left w:val="nil"/>
              <w:bottom w:val="single" w:sz="4" w:space="0" w:color="auto"/>
              <w:right w:val="single" w:sz="4" w:space="0" w:color="auto"/>
            </w:tcBorders>
            <w:noWrap/>
            <w:vAlign w:val="bottom"/>
            <w:hideMark/>
          </w:tcPr>
          <w:p w14:paraId="67948DE6"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F23916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621DE70" w14:textId="77777777" w:rsidR="007D3934" w:rsidRPr="00660482" w:rsidRDefault="007D3934" w:rsidP="00AB016E">
            <w:pPr>
              <w:rPr>
                <w:color w:val="000000"/>
                <w:sz w:val="18"/>
                <w:szCs w:val="18"/>
              </w:rPr>
            </w:pPr>
            <w:r w:rsidRPr="00660482">
              <w:rPr>
                <w:color w:val="000000"/>
                <w:sz w:val="18"/>
                <w:szCs w:val="18"/>
              </w:rPr>
              <w:t>GOOD</w:t>
            </w:r>
          </w:p>
        </w:tc>
        <w:tc>
          <w:tcPr>
            <w:tcW w:w="2837" w:type="pct"/>
            <w:tcBorders>
              <w:top w:val="nil"/>
              <w:left w:val="nil"/>
              <w:bottom w:val="single" w:sz="4" w:space="0" w:color="auto"/>
              <w:right w:val="single" w:sz="4" w:space="0" w:color="auto"/>
            </w:tcBorders>
            <w:noWrap/>
            <w:vAlign w:val="bottom"/>
            <w:hideMark/>
          </w:tcPr>
          <w:p w14:paraId="4C5F4CF2" w14:textId="77777777" w:rsidR="007D3934" w:rsidRPr="00660482" w:rsidRDefault="007D3934" w:rsidP="00AB016E">
            <w:pPr>
              <w:rPr>
                <w:color w:val="000000"/>
                <w:sz w:val="18"/>
                <w:szCs w:val="18"/>
              </w:rPr>
            </w:pPr>
            <w:r w:rsidRPr="00660482">
              <w:rPr>
                <w:color w:val="000000"/>
                <w:sz w:val="18"/>
                <w:szCs w:val="18"/>
              </w:rPr>
              <w:t>Gladstone Commercial Corporation (NasdaqGS:GOOD)</w:t>
            </w:r>
          </w:p>
        </w:tc>
        <w:tc>
          <w:tcPr>
            <w:tcW w:w="1659" w:type="pct"/>
            <w:tcBorders>
              <w:top w:val="nil"/>
              <w:left w:val="nil"/>
              <w:bottom w:val="single" w:sz="4" w:space="0" w:color="auto"/>
              <w:right w:val="single" w:sz="4" w:space="0" w:color="auto"/>
            </w:tcBorders>
            <w:noWrap/>
            <w:vAlign w:val="bottom"/>
            <w:hideMark/>
          </w:tcPr>
          <w:p w14:paraId="7F17CD15"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2BFA168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28E9A34" w14:textId="77777777" w:rsidR="007D3934" w:rsidRPr="00660482" w:rsidRDefault="007D3934" w:rsidP="00AB016E">
            <w:pPr>
              <w:rPr>
                <w:color w:val="000000"/>
                <w:sz w:val="18"/>
                <w:szCs w:val="18"/>
              </w:rPr>
            </w:pPr>
            <w:r w:rsidRPr="00660482">
              <w:rPr>
                <w:color w:val="000000"/>
                <w:sz w:val="18"/>
                <w:szCs w:val="18"/>
              </w:rPr>
              <w:t>MDRR</w:t>
            </w:r>
          </w:p>
        </w:tc>
        <w:tc>
          <w:tcPr>
            <w:tcW w:w="2837" w:type="pct"/>
            <w:tcBorders>
              <w:top w:val="nil"/>
              <w:left w:val="nil"/>
              <w:bottom w:val="single" w:sz="4" w:space="0" w:color="auto"/>
              <w:right w:val="single" w:sz="4" w:space="0" w:color="auto"/>
            </w:tcBorders>
            <w:noWrap/>
            <w:vAlign w:val="bottom"/>
            <w:hideMark/>
          </w:tcPr>
          <w:p w14:paraId="53BE78AF" w14:textId="77777777" w:rsidR="007D3934" w:rsidRPr="00660482" w:rsidRDefault="007D3934" w:rsidP="00AB016E">
            <w:pPr>
              <w:rPr>
                <w:color w:val="000000"/>
                <w:sz w:val="18"/>
                <w:szCs w:val="18"/>
              </w:rPr>
            </w:pPr>
            <w:r w:rsidRPr="00660482">
              <w:rPr>
                <w:color w:val="000000"/>
                <w:sz w:val="18"/>
                <w:szCs w:val="18"/>
              </w:rPr>
              <w:t>Medalist Diversified REIT, Inc. (NasdaqCM:MDRR)</w:t>
            </w:r>
          </w:p>
        </w:tc>
        <w:tc>
          <w:tcPr>
            <w:tcW w:w="1659" w:type="pct"/>
            <w:tcBorders>
              <w:top w:val="nil"/>
              <w:left w:val="nil"/>
              <w:bottom w:val="single" w:sz="4" w:space="0" w:color="auto"/>
              <w:right w:val="single" w:sz="4" w:space="0" w:color="auto"/>
            </w:tcBorders>
            <w:noWrap/>
            <w:vAlign w:val="bottom"/>
            <w:hideMark/>
          </w:tcPr>
          <w:p w14:paraId="4D28A977"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3B8DB29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43FA3F2" w14:textId="77777777" w:rsidR="007D3934" w:rsidRPr="00660482" w:rsidRDefault="007D3934" w:rsidP="00AB016E">
            <w:pPr>
              <w:rPr>
                <w:color w:val="000000"/>
                <w:sz w:val="18"/>
                <w:szCs w:val="18"/>
              </w:rPr>
            </w:pPr>
            <w:r w:rsidRPr="00660482">
              <w:rPr>
                <w:color w:val="000000"/>
                <w:sz w:val="18"/>
                <w:szCs w:val="18"/>
              </w:rPr>
              <w:t>MDV</w:t>
            </w:r>
          </w:p>
        </w:tc>
        <w:tc>
          <w:tcPr>
            <w:tcW w:w="2837" w:type="pct"/>
            <w:tcBorders>
              <w:top w:val="nil"/>
              <w:left w:val="nil"/>
              <w:bottom w:val="single" w:sz="4" w:space="0" w:color="auto"/>
              <w:right w:val="single" w:sz="4" w:space="0" w:color="auto"/>
            </w:tcBorders>
            <w:noWrap/>
            <w:vAlign w:val="bottom"/>
            <w:hideMark/>
          </w:tcPr>
          <w:p w14:paraId="08813F67" w14:textId="77777777" w:rsidR="007D3934" w:rsidRPr="00660482" w:rsidRDefault="007D3934" w:rsidP="00AB016E">
            <w:pPr>
              <w:rPr>
                <w:color w:val="000000"/>
                <w:sz w:val="18"/>
                <w:szCs w:val="18"/>
              </w:rPr>
            </w:pPr>
            <w:r w:rsidRPr="00660482">
              <w:rPr>
                <w:color w:val="000000"/>
                <w:sz w:val="18"/>
                <w:szCs w:val="18"/>
              </w:rPr>
              <w:t>Modiv Industrial, Inc. (NYSE:MDV)</w:t>
            </w:r>
          </w:p>
        </w:tc>
        <w:tc>
          <w:tcPr>
            <w:tcW w:w="1659" w:type="pct"/>
            <w:tcBorders>
              <w:top w:val="nil"/>
              <w:left w:val="nil"/>
              <w:bottom w:val="single" w:sz="4" w:space="0" w:color="auto"/>
              <w:right w:val="single" w:sz="4" w:space="0" w:color="auto"/>
            </w:tcBorders>
            <w:noWrap/>
            <w:vAlign w:val="bottom"/>
            <w:hideMark/>
          </w:tcPr>
          <w:p w14:paraId="616A06A4"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637C331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6086195" w14:textId="77777777" w:rsidR="007D3934" w:rsidRPr="00660482" w:rsidRDefault="007D3934" w:rsidP="00AB016E">
            <w:pPr>
              <w:rPr>
                <w:color w:val="000000"/>
                <w:sz w:val="18"/>
                <w:szCs w:val="18"/>
              </w:rPr>
            </w:pPr>
            <w:r w:rsidRPr="00660482">
              <w:rPr>
                <w:color w:val="000000"/>
                <w:sz w:val="18"/>
                <w:szCs w:val="18"/>
              </w:rPr>
              <w:t>NXDT</w:t>
            </w:r>
          </w:p>
        </w:tc>
        <w:tc>
          <w:tcPr>
            <w:tcW w:w="2837" w:type="pct"/>
            <w:tcBorders>
              <w:top w:val="nil"/>
              <w:left w:val="nil"/>
              <w:bottom w:val="single" w:sz="4" w:space="0" w:color="auto"/>
              <w:right w:val="single" w:sz="4" w:space="0" w:color="auto"/>
            </w:tcBorders>
            <w:noWrap/>
            <w:vAlign w:val="bottom"/>
            <w:hideMark/>
          </w:tcPr>
          <w:p w14:paraId="4A94631A" w14:textId="77777777" w:rsidR="007D3934" w:rsidRPr="00660482" w:rsidRDefault="007D3934" w:rsidP="00AB016E">
            <w:pPr>
              <w:rPr>
                <w:color w:val="000000"/>
                <w:sz w:val="18"/>
                <w:szCs w:val="18"/>
              </w:rPr>
            </w:pPr>
            <w:r w:rsidRPr="00660482">
              <w:rPr>
                <w:color w:val="000000"/>
                <w:sz w:val="18"/>
                <w:szCs w:val="18"/>
              </w:rPr>
              <w:t>NexPoint Diversified Real Estate Trust (NYSE:NXDT)</w:t>
            </w:r>
          </w:p>
        </w:tc>
        <w:tc>
          <w:tcPr>
            <w:tcW w:w="1659" w:type="pct"/>
            <w:tcBorders>
              <w:top w:val="nil"/>
              <w:left w:val="nil"/>
              <w:bottom w:val="single" w:sz="4" w:space="0" w:color="auto"/>
              <w:right w:val="single" w:sz="4" w:space="0" w:color="auto"/>
            </w:tcBorders>
            <w:noWrap/>
            <w:vAlign w:val="bottom"/>
            <w:hideMark/>
          </w:tcPr>
          <w:p w14:paraId="39AAAB58"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2902A3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EC02D28" w14:textId="77777777" w:rsidR="007D3934" w:rsidRPr="00660482" w:rsidRDefault="007D3934" w:rsidP="00AB016E">
            <w:pPr>
              <w:rPr>
                <w:color w:val="000000"/>
                <w:sz w:val="18"/>
                <w:szCs w:val="18"/>
              </w:rPr>
            </w:pPr>
            <w:r w:rsidRPr="00660482">
              <w:rPr>
                <w:color w:val="000000"/>
                <w:sz w:val="18"/>
                <w:szCs w:val="18"/>
              </w:rPr>
              <w:t>OLP</w:t>
            </w:r>
          </w:p>
        </w:tc>
        <w:tc>
          <w:tcPr>
            <w:tcW w:w="2837" w:type="pct"/>
            <w:tcBorders>
              <w:top w:val="nil"/>
              <w:left w:val="nil"/>
              <w:bottom w:val="single" w:sz="4" w:space="0" w:color="auto"/>
              <w:right w:val="single" w:sz="4" w:space="0" w:color="auto"/>
            </w:tcBorders>
            <w:noWrap/>
            <w:vAlign w:val="bottom"/>
            <w:hideMark/>
          </w:tcPr>
          <w:p w14:paraId="1D91156D" w14:textId="77777777" w:rsidR="007D3934" w:rsidRPr="00660482" w:rsidRDefault="007D3934" w:rsidP="00AB016E">
            <w:pPr>
              <w:rPr>
                <w:color w:val="000000"/>
                <w:sz w:val="18"/>
                <w:szCs w:val="18"/>
              </w:rPr>
            </w:pPr>
            <w:r w:rsidRPr="00660482">
              <w:rPr>
                <w:color w:val="000000"/>
                <w:sz w:val="18"/>
                <w:szCs w:val="18"/>
              </w:rPr>
              <w:t>One Liberty Properties, Inc. (NYSE:OLP)</w:t>
            </w:r>
          </w:p>
        </w:tc>
        <w:tc>
          <w:tcPr>
            <w:tcW w:w="1659" w:type="pct"/>
            <w:tcBorders>
              <w:top w:val="nil"/>
              <w:left w:val="nil"/>
              <w:bottom w:val="single" w:sz="4" w:space="0" w:color="auto"/>
              <w:right w:val="single" w:sz="4" w:space="0" w:color="auto"/>
            </w:tcBorders>
            <w:noWrap/>
            <w:vAlign w:val="bottom"/>
            <w:hideMark/>
          </w:tcPr>
          <w:p w14:paraId="61EFAB6C"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0C3D10E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FB18ED3" w14:textId="77777777" w:rsidR="007D3934" w:rsidRPr="00660482" w:rsidRDefault="007D3934" w:rsidP="00AB016E">
            <w:pPr>
              <w:rPr>
                <w:color w:val="000000"/>
                <w:sz w:val="18"/>
                <w:szCs w:val="18"/>
              </w:rPr>
            </w:pPr>
            <w:r w:rsidRPr="00660482">
              <w:rPr>
                <w:color w:val="000000"/>
                <w:sz w:val="18"/>
                <w:szCs w:val="18"/>
              </w:rPr>
              <w:t>OZ</w:t>
            </w:r>
          </w:p>
        </w:tc>
        <w:tc>
          <w:tcPr>
            <w:tcW w:w="2837" w:type="pct"/>
            <w:tcBorders>
              <w:top w:val="nil"/>
              <w:left w:val="nil"/>
              <w:bottom w:val="single" w:sz="4" w:space="0" w:color="auto"/>
              <w:right w:val="single" w:sz="4" w:space="0" w:color="auto"/>
            </w:tcBorders>
            <w:noWrap/>
            <w:vAlign w:val="bottom"/>
            <w:hideMark/>
          </w:tcPr>
          <w:p w14:paraId="49C1099F" w14:textId="77777777" w:rsidR="007D3934" w:rsidRPr="00660482" w:rsidRDefault="007D3934" w:rsidP="00AB016E">
            <w:pPr>
              <w:rPr>
                <w:color w:val="000000"/>
                <w:sz w:val="18"/>
                <w:szCs w:val="18"/>
              </w:rPr>
            </w:pPr>
            <w:r w:rsidRPr="00660482">
              <w:rPr>
                <w:color w:val="000000"/>
                <w:sz w:val="18"/>
                <w:szCs w:val="18"/>
              </w:rPr>
              <w:t>Belpointe PREP, LLC (NYSEAM:OZ)</w:t>
            </w:r>
          </w:p>
        </w:tc>
        <w:tc>
          <w:tcPr>
            <w:tcW w:w="1659" w:type="pct"/>
            <w:tcBorders>
              <w:top w:val="nil"/>
              <w:left w:val="nil"/>
              <w:bottom w:val="single" w:sz="4" w:space="0" w:color="auto"/>
              <w:right w:val="single" w:sz="4" w:space="0" w:color="auto"/>
            </w:tcBorders>
            <w:noWrap/>
            <w:vAlign w:val="bottom"/>
            <w:hideMark/>
          </w:tcPr>
          <w:p w14:paraId="0D9AF1DB"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6AA5088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DBE96E2" w14:textId="77777777" w:rsidR="007D3934" w:rsidRPr="00660482" w:rsidRDefault="007D3934" w:rsidP="00AB016E">
            <w:pPr>
              <w:rPr>
                <w:color w:val="000000"/>
                <w:sz w:val="18"/>
                <w:szCs w:val="18"/>
              </w:rPr>
            </w:pPr>
            <w:r w:rsidRPr="00660482">
              <w:rPr>
                <w:color w:val="000000"/>
                <w:sz w:val="18"/>
                <w:szCs w:val="18"/>
              </w:rPr>
              <w:t>PINE</w:t>
            </w:r>
          </w:p>
        </w:tc>
        <w:tc>
          <w:tcPr>
            <w:tcW w:w="2837" w:type="pct"/>
            <w:tcBorders>
              <w:top w:val="nil"/>
              <w:left w:val="nil"/>
              <w:bottom w:val="single" w:sz="4" w:space="0" w:color="auto"/>
              <w:right w:val="single" w:sz="4" w:space="0" w:color="auto"/>
            </w:tcBorders>
            <w:noWrap/>
            <w:vAlign w:val="bottom"/>
            <w:hideMark/>
          </w:tcPr>
          <w:p w14:paraId="33AF2695" w14:textId="77777777" w:rsidR="007D3934" w:rsidRPr="00660482" w:rsidRDefault="007D3934" w:rsidP="00AB016E">
            <w:pPr>
              <w:rPr>
                <w:color w:val="000000"/>
                <w:sz w:val="18"/>
                <w:szCs w:val="18"/>
              </w:rPr>
            </w:pPr>
            <w:r w:rsidRPr="00660482">
              <w:rPr>
                <w:color w:val="000000"/>
                <w:sz w:val="18"/>
                <w:szCs w:val="18"/>
              </w:rPr>
              <w:t>Alpine Income Property Trust, Inc. (NYSE:PINE)</w:t>
            </w:r>
          </w:p>
        </w:tc>
        <w:tc>
          <w:tcPr>
            <w:tcW w:w="1659" w:type="pct"/>
            <w:tcBorders>
              <w:top w:val="nil"/>
              <w:left w:val="nil"/>
              <w:bottom w:val="single" w:sz="4" w:space="0" w:color="auto"/>
              <w:right w:val="single" w:sz="4" w:space="0" w:color="auto"/>
            </w:tcBorders>
            <w:noWrap/>
            <w:vAlign w:val="bottom"/>
            <w:hideMark/>
          </w:tcPr>
          <w:p w14:paraId="6167EABC"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165A3D1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84457BD" w14:textId="77777777" w:rsidR="007D3934" w:rsidRPr="00660482" w:rsidRDefault="007D3934" w:rsidP="00AB016E">
            <w:pPr>
              <w:rPr>
                <w:color w:val="000000"/>
                <w:sz w:val="18"/>
                <w:szCs w:val="18"/>
              </w:rPr>
            </w:pPr>
            <w:r w:rsidRPr="00660482">
              <w:rPr>
                <w:color w:val="000000"/>
                <w:sz w:val="18"/>
                <w:szCs w:val="18"/>
              </w:rPr>
              <w:t>SQFT</w:t>
            </w:r>
          </w:p>
        </w:tc>
        <w:tc>
          <w:tcPr>
            <w:tcW w:w="2837" w:type="pct"/>
            <w:tcBorders>
              <w:top w:val="nil"/>
              <w:left w:val="nil"/>
              <w:bottom w:val="single" w:sz="4" w:space="0" w:color="auto"/>
              <w:right w:val="single" w:sz="4" w:space="0" w:color="auto"/>
            </w:tcBorders>
            <w:noWrap/>
            <w:vAlign w:val="bottom"/>
            <w:hideMark/>
          </w:tcPr>
          <w:p w14:paraId="50E6D8CF" w14:textId="77777777" w:rsidR="007D3934" w:rsidRPr="00660482" w:rsidRDefault="007D3934" w:rsidP="00AB016E">
            <w:pPr>
              <w:rPr>
                <w:color w:val="000000"/>
                <w:sz w:val="18"/>
                <w:szCs w:val="18"/>
              </w:rPr>
            </w:pPr>
            <w:r w:rsidRPr="00660482">
              <w:rPr>
                <w:color w:val="000000"/>
                <w:sz w:val="18"/>
                <w:szCs w:val="18"/>
              </w:rPr>
              <w:t>Presidio Property Trust, Inc. (NasdaqCM:SQFT)</w:t>
            </w:r>
          </w:p>
        </w:tc>
        <w:tc>
          <w:tcPr>
            <w:tcW w:w="1659" w:type="pct"/>
            <w:tcBorders>
              <w:top w:val="nil"/>
              <w:left w:val="nil"/>
              <w:bottom w:val="single" w:sz="4" w:space="0" w:color="auto"/>
              <w:right w:val="single" w:sz="4" w:space="0" w:color="auto"/>
            </w:tcBorders>
            <w:noWrap/>
            <w:vAlign w:val="bottom"/>
            <w:hideMark/>
          </w:tcPr>
          <w:p w14:paraId="43184D4C"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49ADE76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EE77FF1" w14:textId="77777777" w:rsidR="007D3934" w:rsidRPr="00660482" w:rsidRDefault="007D3934" w:rsidP="00AB016E">
            <w:pPr>
              <w:rPr>
                <w:color w:val="000000"/>
                <w:sz w:val="18"/>
                <w:szCs w:val="18"/>
              </w:rPr>
            </w:pPr>
            <w:r w:rsidRPr="00660482">
              <w:rPr>
                <w:color w:val="000000"/>
                <w:sz w:val="18"/>
                <w:szCs w:val="18"/>
              </w:rPr>
              <w:t>STHO</w:t>
            </w:r>
          </w:p>
        </w:tc>
        <w:tc>
          <w:tcPr>
            <w:tcW w:w="2837" w:type="pct"/>
            <w:tcBorders>
              <w:top w:val="nil"/>
              <w:left w:val="nil"/>
              <w:bottom w:val="single" w:sz="4" w:space="0" w:color="auto"/>
              <w:right w:val="single" w:sz="4" w:space="0" w:color="auto"/>
            </w:tcBorders>
            <w:noWrap/>
            <w:vAlign w:val="bottom"/>
            <w:hideMark/>
          </w:tcPr>
          <w:p w14:paraId="32240470" w14:textId="77777777" w:rsidR="007D3934" w:rsidRPr="00660482" w:rsidRDefault="007D3934" w:rsidP="00AB016E">
            <w:pPr>
              <w:rPr>
                <w:color w:val="000000"/>
                <w:sz w:val="18"/>
                <w:szCs w:val="18"/>
              </w:rPr>
            </w:pPr>
            <w:r w:rsidRPr="00660482">
              <w:rPr>
                <w:color w:val="000000"/>
                <w:sz w:val="18"/>
                <w:szCs w:val="18"/>
              </w:rPr>
              <w:t>Star Holdings (NasdaqGM:STHO)</w:t>
            </w:r>
          </w:p>
        </w:tc>
        <w:tc>
          <w:tcPr>
            <w:tcW w:w="1659" w:type="pct"/>
            <w:tcBorders>
              <w:top w:val="nil"/>
              <w:left w:val="nil"/>
              <w:bottom w:val="single" w:sz="4" w:space="0" w:color="auto"/>
              <w:right w:val="single" w:sz="4" w:space="0" w:color="auto"/>
            </w:tcBorders>
            <w:noWrap/>
            <w:vAlign w:val="bottom"/>
            <w:hideMark/>
          </w:tcPr>
          <w:p w14:paraId="2ACB05E5"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6DFEEEC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F941425" w14:textId="77777777" w:rsidR="007D3934" w:rsidRPr="00660482" w:rsidRDefault="007D3934" w:rsidP="00AB016E">
            <w:pPr>
              <w:rPr>
                <w:color w:val="000000"/>
                <w:sz w:val="18"/>
                <w:szCs w:val="18"/>
              </w:rPr>
            </w:pPr>
            <w:r w:rsidRPr="00660482">
              <w:rPr>
                <w:color w:val="000000"/>
                <w:sz w:val="18"/>
                <w:szCs w:val="18"/>
              </w:rPr>
              <w:t>WPC</w:t>
            </w:r>
          </w:p>
        </w:tc>
        <w:tc>
          <w:tcPr>
            <w:tcW w:w="2837" w:type="pct"/>
            <w:tcBorders>
              <w:top w:val="nil"/>
              <w:left w:val="nil"/>
              <w:bottom w:val="single" w:sz="4" w:space="0" w:color="auto"/>
              <w:right w:val="single" w:sz="4" w:space="0" w:color="auto"/>
            </w:tcBorders>
            <w:noWrap/>
            <w:vAlign w:val="bottom"/>
            <w:hideMark/>
          </w:tcPr>
          <w:p w14:paraId="5ED59739" w14:textId="77777777" w:rsidR="007D3934" w:rsidRPr="00660482" w:rsidRDefault="007D3934" w:rsidP="00AB016E">
            <w:pPr>
              <w:rPr>
                <w:color w:val="000000"/>
                <w:sz w:val="18"/>
                <w:szCs w:val="18"/>
              </w:rPr>
            </w:pPr>
            <w:r w:rsidRPr="00660482">
              <w:rPr>
                <w:color w:val="000000"/>
                <w:sz w:val="18"/>
                <w:szCs w:val="18"/>
              </w:rPr>
              <w:t>W. P. Carey Inc. (NYSE:WPC)</w:t>
            </w:r>
          </w:p>
        </w:tc>
        <w:tc>
          <w:tcPr>
            <w:tcW w:w="1659" w:type="pct"/>
            <w:tcBorders>
              <w:top w:val="nil"/>
              <w:left w:val="nil"/>
              <w:bottom w:val="single" w:sz="4" w:space="0" w:color="auto"/>
              <w:right w:val="single" w:sz="4" w:space="0" w:color="auto"/>
            </w:tcBorders>
            <w:noWrap/>
            <w:vAlign w:val="bottom"/>
            <w:hideMark/>
          </w:tcPr>
          <w:p w14:paraId="43173FFF" w14:textId="77777777" w:rsidR="007D3934" w:rsidRPr="00660482" w:rsidRDefault="007D3934" w:rsidP="00AB016E">
            <w:pPr>
              <w:rPr>
                <w:color w:val="000000"/>
                <w:sz w:val="18"/>
                <w:szCs w:val="18"/>
              </w:rPr>
            </w:pPr>
            <w:r w:rsidRPr="00660482">
              <w:rPr>
                <w:color w:val="000000"/>
                <w:sz w:val="18"/>
                <w:szCs w:val="18"/>
              </w:rPr>
              <w:t>Diversified REITs (Primary)</w:t>
            </w:r>
          </w:p>
        </w:tc>
      </w:tr>
      <w:tr w:rsidR="007D3934" w:rsidRPr="00660482" w14:paraId="6A6094F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81A4923" w14:textId="77777777" w:rsidR="007D3934" w:rsidRPr="00660482" w:rsidRDefault="007D3934" w:rsidP="00AB016E">
            <w:pPr>
              <w:rPr>
                <w:color w:val="000000"/>
                <w:sz w:val="18"/>
                <w:szCs w:val="18"/>
              </w:rPr>
            </w:pPr>
            <w:r w:rsidRPr="00660482">
              <w:rPr>
                <w:color w:val="000000"/>
                <w:sz w:val="18"/>
                <w:szCs w:val="18"/>
              </w:rPr>
              <w:t>CHCT</w:t>
            </w:r>
          </w:p>
        </w:tc>
        <w:tc>
          <w:tcPr>
            <w:tcW w:w="2837" w:type="pct"/>
            <w:tcBorders>
              <w:top w:val="nil"/>
              <w:left w:val="nil"/>
              <w:bottom w:val="single" w:sz="4" w:space="0" w:color="auto"/>
              <w:right w:val="single" w:sz="4" w:space="0" w:color="auto"/>
            </w:tcBorders>
            <w:noWrap/>
            <w:vAlign w:val="bottom"/>
            <w:hideMark/>
          </w:tcPr>
          <w:p w14:paraId="5374BAA0" w14:textId="77777777" w:rsidR="007D3934" w:rsidRPr="00660482" w:rsidRDefault="007D3934" w:rsidP="00AB016E">
            <w:pPr>
              <w:rPr>
                <w:color w:val="000000"/>
                <w:sz w:val="18"/>
                <w:szCs w:val="18"/>
              </w:rPr>
            </w:pPr>
            <w:r w:rsidRPr="00660482">
              <w:rPr>
                <w:color w:val="000000"/>
                <w:sz w:val="18"/>
                <w:szCs w:val="18"/>
              </w:rPr>
              <w:t>Community Healthcare Trust Incorporated (NYSE:CHCT)</w:t>
            </w:r>
          </w:p>
        </w:tc>
        <w:tc>
          <w:tcPr>
            <w:tcW w:w="1659" w:type="pct"/>
            <w:tcBorders>
              <w:top w:val="nil"/>
              <w:left w:val="nil"/>
              <w:bottom w:val="single" w:sz="4" w:space="0" w:color="auto"/>
              <w:right w:val="single" w:sz="4" w:space="0" w:color="auto"/>
            </w:tcBorders>
            <w:noWrap/>
            <w:vAlign w:val="bottom"/>
            <w:hideMark/>
          </w:tcPr>
          <w:p w14:paraId="40287014"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2073070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63ECE0D" w14:textId="77777777" w:rsidR="007D3934" w:rsidRPr="00660482" w:rsidRDefault="007D3934" w:rsidP="00AB016E">
            <w:pPr>
              <w:rPr>
                <w:color w:val="000000"/>
                <w:sz w:val="18"/>
                <w:szCs w:val="18"/>
              </w:rPr>
            </w:pPr>
            <w:r w:rsidRPr="00660482">
              <w:rPr>
                <w:color w:val="000000"/>
                <w:sz w:val="18"/>
                <w:szCs w:val="18"/>
              </w:rPr>
              <w:t>CTRE</w:t>
            </w:r>
          </w:p>
        </w:tc>
        <w:tc>
          <w:tcPr>
            <w:tcW w:w="2837" w:type="pct"/>
            <w:tcBorders>
              <w:top w:val="nil"/>
              <w:left w:val="nil"/>
              <w:bottom w:val="single" w:sz="4" w:space="0" w:color="auto"/>
              <w:right w:val="single" w:sz="4" w:space="0" w:color="auto"/>
            </w:tcBorders>
            <w:noWrap/>
            <w:vAlign w:val="bottom"/>
            <w:hideMark/>
          </w:tcPr>
          <w:p w14:paraId="02737CCD" w14:textId="77777777" w:rsidR="007D3934" w:rsidRPr="00660482" w:rsidRDefault="007D3934" w:rsidP="00AB016E">
            <w:pPr>
              <w:rPr>
                <w:color w:val="000000"/>
                <w:sz w:val="18"/>
                <w:szCs w:val="18"/>
              </w:rPr>
            </w:pPr>
            <w:r w:rsidRPr="00660482">
              <w:rPr>
                <w:color w:val="000000"/>
                <w:sz w:val="18"/>
                <w:szCs w:val="18"/>
              </w:rPr>
              <w:t>CareTrust REIT, Inc. (NYSE:CTRE)</w:t>
            </w:r>
          </w:p>
        </w:tc>
        <w:tc>
          <w:tcPr>
            <w:tcW w:w="1659" w:type="pct"/>
            <w:tcBorders>
              <w:top w:val="nil"/>
              <w:left w:val="nil"/>
              <w:bottom w:val="single" w:sz="4" w:space="0" w:color="auto"/>
              <w:right w:val="single" w:sz="4" w:space="0" w:color="auto"/>
            </w:tcBorders>
            <w:noWrap/>
            <w:vAlign w:val="bottom"/>
            <w:hideMark/>
          </w:tcPr>
          <w:p w14:paraId="2387812B"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35B2887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7E21938" w14:textId="77777777" w:rsidR="007D3934" w:rsidRPr="00660482" w:rsidRDefault="007D3934" w:rsidP="00AB016E">
            <w:pPr>
              <w:rPr>
                <w:color w:val="000000"/>
                <w:sz w:val="18"/>
                <w:szCs w:val="18"/>
              </w:rPr>
            </w:pPr>
            <w:r w:rsidRPr="00660482">
              <w:rPr>
                <w:color w:val="000000"/>
                <w:sz w:val="18"/>
                <w:szCs w:val="18"/>
              </w:rPr>
              <w:t>DHC</w:t>
            </w:r>
          </w:p>
        </w:tc>
        <w:tc>
          <w:tcPr>
            <w:tcW w:w="2837" w:type="pct"/>
            <w:tcBorders>
              <w:top w:val="nil"/>
              <w:left w:val="nil"/>
              <w:bottom w:val="single" w:sz="4" w:space="0" w:color="auto"/>
              <w:right w:val="single" w:sz="4" w:space="0" w:color="auto"/>
            </w:tcBorders>
            <w:noWrap/>
            <w:vAlign w:val="bottom"/>
            <w:hideMark/>
          </w:tcPr>
          <w:p w14:paraId="37EE6C96" w14:textId="77777777" w:rsidR="007D3934" w:rsidRPr="00660482" w:rsidRDefault="007D3934" w:rsidP="00AB016E">
            <w:pPr>
              <w:rPr>
                <w:color w:val="000000"/>
                <w:sz w:val="18"/>
                <w:szCs w:val="18"/>
              </w:rPr>
            </w:pPr>
            <w:r w:rsidRPr="00660482">
              <w:rPr>
                <w:color w:val="000000"/>
                <w:sz w:val="18"/>
                <w:szCs w:val="18"/>
              </w:rPr>
              <w:t>Diversified Healthcare Trust (NasdaqGS:DHC)</w:t>
            </w:r>
          </w:p>
        </w:tc>
        <w:tc>
          <w:tcPr>
            <w:tcW w:w="1659" w:type="pct"/>
            <w:tcBorders>
              <w:top w:val="nil"/>
              <w:left w:val="nil"/>
              <w:bottom w:val="single" w:sz="4" w:space="0" w:color="auto"/>
              <w:right w:val="single" w:sz="4" w:space="0" w:color="auto"/>
            </w:tcBorders>
            <w:noWrap/>
            <w:vAlign w:val="bottom"/>
            <w:hideMark/>
          </w:tcPr>
          <w:p w14:paraId="50C8780E"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7E61520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D299C0A" w14:textId="77777777" w:rsidR="007D3934" w:rsidRPr="00660482" w:rsidRDefault="007D3934" w:rsidP="00AB016E">
            <w:pPr>
              <w:rPr>
                <w:color w:val="000000"/>
                <w:sz w:val="18"/>
                <w:szCs w:val="18"/>
              </w:rPr>
            </w:pPr>
            <w:r w:rsidRPr="00660482">
              <w:rPr>
                <w:color w:val="000000"/>
                <w:sz w:val="18"/>
                <w:szCs w:val="18"/>
              </w:rPr>
              <w:t>DOC</w:t>
            </w:r>
          </w:p>
        </w:tc>
        <w:tc>
          <w:tcPr>
            <w:tcW w:w="2837" w:type="pct"/>
            <w:tcBorders>
              <w:top w:val="nil"/>
              <w:left w:val="nil"/>
              <w:bottom w:val="single" w:sz="4" w:space="0" w:color="auto"/>
              <w:right w:val="single" w:sz="4" w:space="0" w:color="auto"/>
            </w:tcBorders>
            <w:noWrap/>
            <w:vAlign w:val="bottom"/>
            <w:hideMark/>
          </w:tcPr>
          <w:p w14:paraId="6053F390" w14:textId="77777777" w:rsidR="007D3934" w:rsidRPr="00660482" w:rsidRDefault="007D3934" w:rsidP="00AB016E">
            <w:pPr>
              <w:rPr>
                <w:color w:val="000000"/>
                <w:sz w:val="18"/>
                <w:szCs w:val="18"/>
              </w:rPr>
            </w:pPr>
            <w:r w:rsidRPr="00660482">
              <w:rPr>
                <w:color w:val="000000"/>
                <w:sz w:val="18"/>
                <w:szCs w:val="18"/>
              </w:rPr>
              <w:t>Physicians Realty Trust (NYSE:DOC)</w:t>
            </w:r>
          </w:p>
        </w:tc>
        <w:tc>
          <w:tcPr>
            <w:tcW w:w="1659" w:type="pct"/>
            <w:tcBorders>
              <w:top w:val="nil"/>
              <w:left w:val="nil"/>
              <w:bottom w:val="single" w:sz="4" w:space="0" w:color="auto"/>
              <w:right w:val="single" w:sz="4" w:space="0" w:color="auto"/>
            </w:tcBorders>
            <w:noWrap/>
            <w:vAlign w:val="bottom"/>
            <w:hideMark/>
          </w:tcPr>
          <w:p w14:paraId="0FB3C38B"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2240C5E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693FE80" w14:textId="77777777" w:rsidR="007D3934" w:rsidRPr="00660482" w:rsidRDefault="007D3934" w:rsidP="00AB016E">
            <w:pPr>
              <w:rPr>
                <w:color w:val="000000"/>
                <w:sz w:val="18"/>
                <w:szCs w:val="18"/>
              </w:rPr>
            </w:pPr>
            <w:r w:rsidRPr="00660482">
              <w:rPr>
                <w:color w:val="000000"/>
                <w:sz w:val="18"/>
                <w:szCs w:val="18"/>
              </w:rPr>
              <w:t>GMRE</w:t>
            </w:r>
          </w:p>
        </w:tc>
        <w:tc>
          <w:tcPr>
            <w:tcW w:w="2837" w:type="pct"/>
            <w:tcBorders>
              <w:top w:val="nil"/>
              <w:left w:val="nil"/>
              <w:bottom w:val="single" w:sz="4" w:space="0" w:color="auto"/>
              <w:right w:val="single" w:sz="4" w:space="0" w:color="auto"/>
            </w:tcBorders>
            <w:noWrap/>
            <w:vAlign w:val="bottom"/>
            <w:hideMark/>
          </w:tcPr>
          <w:p w14:paraId="2697645F" w14:textId="77777777" w:rsidR="007D3934" w:rsidRPr="00660482" w:rsidRDefault="007D3934" w:rsidP="00AB016E">
            <w:pPr>
              <w:rPr>
                <w:color w:val="000000"/>
                <w:sz w:val="18"/>
                <w:szCs w:val="18"/>
              </w:rPr>
            </w:pPr>
            <w:r w:rsidRPr="00660482">
              <w:rPr>
                <w:color w:val="000000"/>
                <w:sz w:val="18"/>
                <w:szCs w:val="18"/>
              </w:rPr>
              <w:t>Global Medical REIT Inc. (NYSE:GMRE)</w:t>
            </w:r>
          </w:p>
        </w:tc>
        <w:tc>
          <w:tcPr>
            <w:tcW w:w="1659" w:type="pct"/>
            <w:tcBorders>
              <w:top w:val="nil"/>
              <w:left w:val="nil"/>
              <w:bottom w:val="single" w:sz="4" w:space="0" w:color="auto"/>
              <w:right w:val="single" w:sz="4" w:space="0" w:color="auto"/>
            </w:tcBorders>
            <w:noWrap/>
            <w:vAlign w:val="bottom"/>
            <w:hideMark/>
          </w:tcPr>
          <w:p w14:paraId="18F24B55"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09AE4F1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9F540CE" w14:textId="77777777" w:rsidR="007D3934" w:rsidRPr="00660482" w:rsidRDefault="007D3934" w:rsidP="00AB016E">
            <w:pPr>
              <w:rPr>
                <w:color w:val="000000"/>
                <w:sz w:val="18"/>
                <w:szCs w:val="18"/>
              </w:rPr>
            </w:pPr>
            <w:r w:rsidRPr="00660482">
              <w:rPr>
                <w:color w:val="000000"/>
                <w:sz w:val="18"/>
                <w:szCs w:val="18"/>
              </w:rPr>
              <w:t>HR</w:t>
            </w:r>
          </w:p>
        </w:tc>
        <w:tc>
          <w:tcPr>
            <w:tcW w:w="2837" w:type="pct"/>
            <w:tcBorders>
              <w:top w:val="nil"/>
              <w:left w:val="nil"/>
              <w:bottom w:val="single" w:sz="4" w:space="0" w:color="auto"/>
              <w:right w:val="single" w:sz="4" w:space="0" w:color="auto"/>
            </w:tcBorders>
            <w:noWrap/>
            <w:vAlign w:val="bottom"/>
            <w:hideMark/>
          </w:tcPr>
          <w:p w14:paraId="40C3EB6A" w14:textId="77777777" w:rsidR="007D3934" w:rsidRPr="00660482" w:rsidRDefault="007D3934" w:rsidP="00AB016E">
            <w:pPr>
              <w:rPr>
                <w:color w:val="000000"/>
                <w:sz w:val="18"/>
                <w:szCs w:val="18"/>
              </w:rPr>
            </w:pPr>
            <w:r w:rsidRPr="00660482">
              <w:rPr>
                <w:color w:val="000000"/>
                <w:sz w:val="18"/>
                <w:szCs w:val="18"/>
              </w:rPr>
              <w:t>Healthcare Realty Trust Incorporated (NYSE:HR)</w:t>
            </w:r>
          </w:p>
        </w:tc>
        <w:tc>
          <w:tcPr>
            <w:tcW w:w="1659" w:type="pct"/>
            <w:tcBorders>
              <w:top w:val="nil"/>
              <w:left w:val="nil"/>
              <w:bottom w:val="single" w:sz="4" w:space="0" w:color="auto"/>
              <w:right w:val="single" w:sz="4" w:space="0" w:color="auto"/>
            </w:tcBorders>
            <w:noWrap/>
            <w:vAlign w:val="bottom"/>
            <w:hideMark/>
          </w:tcPr>
          <w:p w14:paraId="372B0D69"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2D90C58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F1BCB16" w14:textId="77777777" w:rsidR="007D3934" w:rsidRPr="00660482" w:rsidRDefault="007D3934" w:rsidP="00AB016E">
            <w:pPr>
              <w:rPr>
                <w:color w:val="000000"/>
                <w:sz w:val="18"/>
                <w:szCs w:val="18"/>
              </w:rPr>
            </w:pPr>
            <w:r w:rsidRPr="00660482">
              <w:rPr>
                <w:color w:val="000000"/>
                <w:sz w:val="18"/>
                <w:szCs w:val="18"/>
              </w:rPr>
              <w:t>LTC</w:t>
            </w:r>
          </w:p>
        </w:tc>
        <w:tc>
          <w:tcPr>
            <w:tcW w:w="2837" w:type="pct"/>
            <w:tcBorders>
              <w:top w:val="nil"/>
              <w:left w:val="nil"/>
              <w:bottom w:val="single" w:sz="4" w:space="0" w:color="auto"/>
              <w:right w:val="single" w:sz="4" w:space="0" w:color="auto"/>
            </w:tcBorders>
            <w:noWrap/>
            <w:vAlign w:val="bottom"/>
            <w:hideMark/>
          </w:tcPr>
          <w:p w14:paraId="684B069F" w14:textId="77777777" w:rsidR="007D3934" w:rsidRPr="00660482" w:rsidRDefault="007D3934" w:rsidP="00AB016E">
            <w:pPr>
              <w:rPr>
                <w:color w:val="000000"/>
                <w:sz w:val="18"/>
                <w:szCs w:val="18"/>
              </w:rPr>
            </w:pPr>
            <w:r w:rsidRPr="00660482">
              <w:rPr>
                <w:color w:val="000000"/>
                <w:sz w:val="18"/>
                <w:szCs w:val="18"/>
              </w:rPr>
              <w:t>LTC Properties, Inc. (NYSE:LTC)</w:t>
            </w:r>
          </w:p>
        </w:tc>
        <w:tc>
          <w:tcPr>
            <w:tcW w:w="1659" w:type="pct"/>
            <w:tcBorders>
              <w:top w:val="nil"/>
              <w:left w:val="nil"/>
              <w:bottom w:val="single" w:sz="4" w:space="0" w:color="auto"/>
              <w:right w:val="single" w:sz="4" w:space="0" w:color="auto"/>
            </w:tcBorders>
            <w:noWrap/>
            <w:vAlign w:val="bottom"/>
            <w:hideMark/>
          </w:tcPr>
          <w:p w14:paraId="2149F6E0"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3A147C8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5F73AFE" w14:textId="77777777" w:rsidR="007D3934" w:rsidRPr="00660482" w:rsidRDefault="007D3934" w:rsidP="00AB016E">
            <w:pPr>
              <w:rPr>
                <w:color w:val="000000"/>
                <w:sz w:val="18"/>
                <w:szCs w:val="18"/>
              </w:rPr>
            </w:pPr>
            <w:r w:rsidRPr="00660482">
              <w:rPr>
                <w:color w:val="000000"/>
                <w:sz w:val="18"/>
                <w:szCs w:val="18"/>
              </w:rPr>
              <w:t>MPW</w:t>
            </w:r>
          </w:p>
        </w:tc>
        <w:tc>
          <w:tcPr>
            <w:tcW w:w="2837" w:type="pct"/>
            <w:tcBorders>
              <w:top w:val="nil"/>
              <w:left w:val="nil"/>
              <w:bottom w:val="single" w:sz="4" w:space="0" w:color="auto"/>
              <w:right w:val="single" w:sz="4" w:space="0" w:color="auto"/>
            </w:tcBorders>
            <w:noWrap/>
            <w:vAlign w:val="bottom"/>
            <w:hideMark/>
          </w:tcPr>
          <w:p w14:paraId="189EDF6B" w14:textId="77777777" w:rsidR="007D3934" w:rsidRPr="00660482" w:rsidRDefault="007D3934" w:rsidP="00AB016E">
            <w:pPr>
              <w:rPr>
                <w:color w:val="000000"/>
                <w:sz w:val="18"/>
                <w:szCs w:val="18"/>
              </w:rPr>
            </w:pPr>
            <w:r w:rsidRPr="00660482">
              <w:rPr>
                <w:color w:val="000000"/>
                <w:sz w:val="18"/>
                <w:szCs w:val="18"/>
              </w:rPr>
              <w:t>Medical Properties Trust, Inc. (NYSE:MPW)</w:t>
            </w:r>
          </w:p>
        </w:tc>
        <w:tc>
          <w:tcPr>
            <w:tcW w:w="1659" w:type="pct"/>
            <w:tcBorders>
              <w:top w:val="nil"/>
              <w:left w:val="nil"/>
              <w:bottom w:val="single" w:sz="4" w:space="0" w:color="auto"/>
              <w:right w:val="single" w:sz="4" w:space="0" w:color="auto"/>
            </w:tcBorders>
            <w:noWrap/>
            <w:vAlign w:val="bottom"/>
            <w:hideMark/>
          </w:tcPr>
          <w:p w14:paraId="21EDC7BE"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3336BBE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EF9D282" w14:textId="77777777" w:rsidR="007D3934" w:rsidRPr="00660482" w:rsidRDefault="007D3934" w:rsidP="00AB016E">
            <w:pPr>
              <w:rPr>
                <w:color w:val="000000"/>
                <w:sz w:val="18"/>
                <w:szCs w:val="18"/>
              </w:rPr>
            </w:pPr>
            <w:r w:rsidRPr="00660482">
              <w:rPr>
                <w:color w:val="000000"/>
                <w:sz w:val="18"/>
                <w:szCs w:val="18"/>
              </w:rPr>
              <w:t>NHI</w:t>
            </w:r>
          </w:p>
        </w:tc>
        <w:tc>
          <w:tcPr>
            <w:tcW w:w="2837" w:type="pct"/>
            <w:tcBorders>
              <w:top w:val="nil"/>
              <w:left w:val="nil"/>
              <w:bottom w:val="single" w:sz="4" w:space="0" w:color="auto"/>
              <w:right w:val="single" w:sz="4" w:space="0" w:color="auto"/>
            </w:tcBorders>
            <w:noWrap/>
            <w:vAlign w:val="bottom"/>
            <w:hideMark/>
          </w:tcPr>
          <w:p w14:paraId="110D970D" w14:textId="77777777" w:rsidR="007D3934" w:rsidRPr="00660482" w:rsidRDefault="007D3934" w:rsidP="00AB016E">
            <w:pPr>
              <w:rPr>
                <w:color w:val="000000"/>
                <w:sz w:val="18"/>
                <w:szCs w:val="18"/>
              </w:rPr>
            </w:pPr>
            <w:r w:rsidRPr="00660482">
              <w:rPr>
                <w:color w:val="000000"/>
                <w:sz w:val="18"/>
                <w:szCs w:val="18"/>
              </w:rPr>
              <w:t>National Health Investors, Inc. (NYSE:NHI)</w:t>
            </w:r>
          </w:p>
        </w:tc>
        <w:tc>
          <w:tcPr>
            <w:tcW w:w="1659" w:type="pct"/>
            <w:tcBorders>
              <w:top w:val="nil"/>
              <w:left w:val="nil"/>
              <w:bottom w:val="single" w:sz="4" w:space="0" w:color="auto"/>
              <w:right w:val="single" w:sz="4" w:space="0" w:color="auto"/>
            </w:tcBorders>
            <w:noWrap/>
            <w:vAlign w:val="bottom"/>
            <w:hideMark/>
          </w:tcPr>
          <w:p w14:paraId="51688EAF"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258E106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5D4193C" w14:textId="77777777" w:rsidR="007D3934" w:rsidRPr="00660482" w:rsidRDefault="007D3934" w:rsidP="00AB016E">
            <w:pPr>
              <w:rPr>
                <w:color w:val="000000"/>
                <w:sz w:val="18"/>
                <w:szCs w:val="18"/>
              </w:rPr>
            </w:pPr>
            <w:r w:rsidRPr="00660482">
              <w:rPr>
                <w:color w:val="000000"/>
                <w:sz w:val="18"/>
                <w:szCs w:val="18"/>
              </w:rPr>
              <w:t>OHI</w:t>
            </w:r>
          </w:p>
        </w:tc>
        <w:tc>
          <w:tcPr>
            <w:tcW w:w="2837" w:type="pct"/>
            <w:tcBorders>
              <w:top w:val="nil"/>
              <w:left w:val="nil"/>
              <w:bottom w:val="single" w:sz="4" w:space="0" w:color="auto"/>
              <w:right w:val="single" w:sz="4" w:space="0" w:color="auto"/>
            </w:tcBorders>
            <w:noWrap/>
            <w:vAlign w:val="bottom"/>
            <w:hideMark/>
          </w:tcPr>
          <w:p w14:paraId="44D8FE18" w14:textId="77777777" w:rsidR="007D3934" w:rsidRPr="00660482" w:rsidRDefault="007D3934" w:rsidP="00AB016E">
            <w:pPr>
              <w:rPr>
                <w:color w:val="000000"/>
                <w:sz w:val="18"/>
                <w:szCs w:val="18"/>
              </w:rPr>
            </w:pPr>
            <w:r w:rsidRPr="00660482">
              <w:rPr>
                <w:color w:val="000000"/>
                <w:sz w:val="18"/>
                <w:szCs w:val="18"/>
              </w:rPr>
              <w:t>Omega Healthcare Investors, Inc. (NYSE:OHI)</w:t>
            </w:r>
          </w:p>
        </w:tc>
        <w:tc>
          <w:tcPr>
            <w:tcW w:w="1659" w:type="pct"/>
            <w:tcBorders>
              <w:top w:val="nil"/>
              <w:left w:val="nil"/>
              <w:bottom w:val="single" w:sz="4" w:space="0" w:color="auto"/>
              <w:right w:val="single" w:sz="4" w:space="0" w:color="auto"/>
            </w:tcBorders>
            <w:noWrap/>
            <w:vAlign w:val="bottom"/>
            <w:hideMark/>
          </w:tcPr>
          <w:p w14:paraId="5398BCC1"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7FD8782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6173207" w14:textId="77777777" w:rsidR="007D3934" w:rsidRPr="00660482" w:rsidRDefault="007D3934" w:rsidP="00AB016E">
            <w:pPr>
              <w:rPr>
                <w:color w:val="000000"/>
                <w:sz w:val="18"/>
                <w:szCs w:val="18"/>
              </w:rPr>
            </w:pPr>
            <w:r w:rsidRPr="00660482">
              <w:rPr>
                <w:color w:val="000000"/>
                <w:sz w:val="18"/>
                <w:szCs w:val="18"/>
              </w:rPr>
              <w:t>PEAK</w:t>
            </w:r>
          </w:p>
        </w:tc>
        <w:tc>
          <w:tcPr>
            <w:tcW w:w="2837" w:type="pct"/>
            <w:tcBorders>
              <w:top w:val="nil"/>
              <w:left w:val="nil"/>
              <w:bottom w:val="single" w:sz="4" w:space="0" w:color="auto"/>
              <w:right w:val="single" w:sz="4" w:space="0" w:color="auto"/>
            </w:tcBorders>
            <w:noWrap/>
            <w:vAlign w:val="bottom"/>
            <w:hideMark/>
          </w:tcPr>
          <w:p w14:paraId="52E719BF" w14:textId="77777777" w:rsidR="007D3934" w:rsidRPr="00660482" w:rsidRDefault="007D3934" w:rsidP="00AB016E">
            <w:pPr>
              <w:rPr>
                <w:color w:val="000000"/>
                <w:sz w:val="18"/>
                <w:szCs w:val="18"/>
              </w:rPr>
            </w:pPr>
            <w:r w:rsidRPr="00660482">
              <w:rPr>
                <w:color w:val="000000"/>
                <w:sz w:val="18"/>
                <w:szCs w:val="18"/>
              </w:rPr>
              <w:t>Healthpeak Properties, Inc. (NYSE:PEAK)</w:t>
            </w:r>
          </w:p>
        </w:tc>
        <w:tc>
          <w:tcPr>
            <w:tcW w:w="1659" w:type="pct"/>
            <w:tcBorders>
              <w:top w:val="nil"/>
              <w:left w:val="nil"/>
              <w:bottom w:val="single" w:sz="4" w:space="0" w:color="auto"/>
              <w:right w:val="single" w:sz="4" w:space="0" w:color="auto"/>
            </w:tcBorders>
            <w:noWrap/>
            <w:vAlign w:val="bottom"/>
            <w:hideMark/>
          </w:tcPr>
          <w:p w14:paraId="06D3A11D"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24057F0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E8646DD" w14:textId="77777777" w:rsidR="007D3934" w:rsidRPr="00660482" w:rsidRDefault="007D3934" w:rsidP="00AB016E">
            <w:pPr>
              <w:rPr>
                <w:color w:val="000000"/>
                <w:sz w:val="18"/>
                <w:szCs w:val="18"/>
              </w:rPr>
            </w:pPr>
            <w:r w:rsidRPr="00660482">
              <w:rPr>
                <w:color w:val="000000"/>
                <w:sz w:val="18"/>
                <w:szCs w:val="18"/>
              </w:rPr>
              <w:t>SBRA</w:t>
            </w:r>
          </w:p>
        </w:tc>
        <w:tc>
          <w:tcPr>
            <w:tcW w:w="2837" w:type="pct"/>
            <w:tcBorders>
              <w:top w:val="nil"/>
              <w:left w:val="nil"/>
              <w:bottom w:val="single" w:sz="4" w:space="0" w:color="auto"/>
              <w:right w:val="single" w:sz="4" w:space="0" w:color="auto"/>
            </w:tcBorders>
            <w:noWrap/>
            <w:vAlign w:val="bottom"/>
            <w:hideMark/>
          </w:tcPr>
          <w:p w14:paraId="705945E7" w14:textId="77777777" w:rsidR="007D3934" w:rsidRPr="00660482" w:rsidRDefault="007D3934" w:rsidP="00AB016E">
            <w:pPr>
              <w:rPr>
                <w:color w:val="000000"/>
                <w:sz w:val="18"/>
                <w:szCs w:val="18"/>
              </w:rPr>
            </w:pPr>
            <w:r w:rsidRPr="00660482">
              <w:rPr>
                <w:color w:val="000000"/>
                <w:sz w:val="18"/>
                <w:szCs w:val="18"/>
              </w:rPr>
              <w:t>Sabra Health Care REIT, Inc. (NasdaqGS:SBRA)</w:t>
            </w:r>
          </w:p>
        </w:tc>
        <w:tc>
          <w:tcPr>
            <w:tcW w:w="1659" w:type="pct"/>
            <w:tcBorders>
              <w:top w:val="nil"/>
              <w:left w:val="nil"/>
              <w:bottom w:val="single" w:sz="4" w:space="0" w:color="auto"/>
              <w:right w:val="single" w:sz="4" w:space="0" w:color="auto"/>
            </w:tcBorders>
            <w:noWrap/>
            <w:vAlign w:val="bottom"/>
            <w:hideMark/>
          </w:tcPr>
          <w:p w14:paraId="2BDBA2E9"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194D55F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1E6830A" w14:textId="77777777" w:rsidR="007D3934" w:rsidRPr="00660482" w:rsidRDefault="007D3934" w:rsidP="00AB016E">
            <w:pPr>
              <w:rPr>
                <w:color w:val="000000"/>
                <w:sz w:val="18"/>
                <w:szCs w:val="18"/>
              </w:rPr>
            </w:pPr>
            <w:r w:rsidRPr="00660482">
              <w:rPr>
                <w:color w:val="000000"/>
                <w:sz w:val="18"/>
                <w:szCs w:val="18"/>
              </w:rPr>
              <w:t>STRW</w:t>
            </w:r>
          </w:p>
        </w:tc>
        <w:tc>
          <w:tcPr>
            <w:tcW w:w="2837" w:type="pct"/>
            <w:tcBorders>
              <w:top w:val="nil"/>
              <w:left w:val="nil"/>
              <w:bottom w:val="single" w:sz="4" w:space="0" w:color="auto"/>
              <w:right w:val="single" w:sz="4" w:space="0" w:color="auto"/>
            </w:tcBorders>
            <w:noWrap/>
            <w:vAlign w:val="bottom"/>
            <w:hideMark/>
          </w:tcPr>
          <w:p w14:paraId="033DCE29" w14:textId="77777777" w:rsidR="007D3934" w:rsidRPr="00660482" w:rsidRDefault="007D3934" w:rsidP="00AB016E">
            <w:pPr>
              <w:rPr>
                <w:color w:val="000000"/>
                <w:sz w:val="18"/>
                <w:szCs w:val="18"/>
              </w:rPr>
            </w:pPr>
            <w:r w:rsidRPr="00660482">
              <w:rPr>
                <w:color w:val="000000"/>
                <w:sz w:val="18"/>
                <w:szCs w:val="18"/>
              </w:rPr>
              <w:t>Strawberry Fields REIT, Inc. (NYSEAM:STRW)</w:t>
            </w:r>
          </w:p>
        </w:tc>
        <w:tc>
          <w:tcPr>
            <w:tcW w:w="1659" w:type="pct"/>
            <w:tcBorders>
              <w:top w:val="nil"/>
              <w:left w:val="nil"/>
              <w:bottom w:val="single" w:sz="4" w:space="0" w:color="auto"/>
              <w:right w:val="single" w:sz="4" w:space="0" w:color="auto"/>
            </w:tcBorders>
            <w:noWrap/>
            <w:vAlign w:val="bottom"/>
            <w:hideMark/>
          </w:tcPr>
          <w:p w14:paraId="751A9EDC"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0871978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6E7438A" w14:textId="77777777" w:rsidR="007D3934" w:rsidRPr="00660482" w:rsidRDefault="007D3934" w:rsidP="00AB016E">
            <w:pPr>
              <w:rPr>
                <w:color w:val="000000"/>
                <w:sz w:val="18"/>
                <w:szCs w:val="18"/>
              </w:rPr>
            </w:pPr>
            <w:r w:rsidRPr="00660482">
              <w:rPr>
                <w:color w:val="000000"/>
                <w:sz w:val="18"/>
                <w:szCs w:val="18"/>
              </w:rPr>
              <w:t>UHT</w:t>
            </w:r>
          </w:p>
        </w:tc>
        <w:tc>
          <w:tcPr>
            <w:tcW w:w="2837" w:type="pct"/>
            <w:tcBorders>
              <w:top w:val="nil"/>
              <w:left w:val="nil"/>
              <w:bottom w:val="single" w:sz="4" w:space="0" w:color="auto"/>
              <w:right w:val="single" w:sz="4" w:space="0" w:color="auto"/>
            </w:tcBorders>
            <w:noWrap/>
            <w:vAlign w:val="bottom"/>
            <w:hideMark/>
          </w:tcPr>
          <w:p w14:paraId="3116CD11" w14:textId="77777777" w:rsidR="007D3934" w:rsidRPr="00660482" w:rsidRDefault="007D3934" w:rsidP="00AB016E">
            <w:pPr>
              <w:rPr>
                <w:color w:val="000000"/>
                <w:sz w:val="18"/>
                <w:szCs w:val="18"/>
              </w:rPr>
            </w:pPr>
            <w:r w:rsidRPr="00660482">
              <w:rPr>
                <w:color w:val="000000"/>
                <w:sz w:val="18"/>
                <w:szCs w:val="18"/>
              </w:rPr>
              <w:t>Universal Health Realty Income Trust (NYSE:UHT)</w:t>
            </w:r>
          </w:p>
        </w:tc>
        <w:tc>
          <w:tcPr>
            <w:tcW w:w="1659" w:type="pct"/>
            <w:tcBorders>
              <w:top w:val="nil"/>
              <w:left w:val="nil"/>
              <w:bottom w:val="single" w:sz="4" w:space="0" w:color="auto"/>
              <w:right w:val="single" w:sz="4" w:space="0" w:color="auto"/>
            </w:tcBorders>
            <w:noWrap/>
            <w:vAlign w:val="bottom"/>
            <w:hideMark/>
          </w:tcPr>
          <w:p w14:paraId="52C5C709"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6736B9B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8CE3E02" w14:textId="77777777" w:rsidR="007D3934" w:rsidRPr="00660482" w:rsidRDefault="007D3934" w:rsidP="00AB016E">
            <w:pPr>
              <w:rPr>
                <w:color w:val="000000"/>
                <w:sz w:val="18"/>
                <w:szCs w:val="18"/>
              </w:rPr>
            </w:pPr>
            <w:r w:rsidRPr="00660482">
              <w:rPr>
                <w:color w:val="000000"/>
                <w:sz w:val="18"/>
                <w:szCs w:val="18"/>
              </w:rPr>
              <w:t>VTR</w:t>
            </w:r>
          </w:p>
        </w:tc>
        <w:tc>
          <w:tcPr>
            <w:tcW w:w="2837" w:type="pct"/>
            <w:tcBorders>
              <w:top w:val="nil"/>
              <w:left w:val="nil"/>
              <w:bottom w:val="single" w:sz="4" w:space="0" w:color="auto"/>
              <w:right w:val="single" w:sz="4" w:space="0" w:color="auto"/>
            </w:tcBorders>
            <w:noWrap/>
            <w:vAlign w:val="bottom"/>
            <w:hideMark/>
          </w:tcPr>
          <w:p w14:paraId="6B2D75CA" w14:textId="77777777" w:rsidR="007D3934" w:rsidRPr="00660482" w:rsidRDefault="007D3934" w:rsidP="00AB016E">
            <w:pPr>
              <w:rPr>
                <w:color w:val="000000"/>
                <w:sz w:val="18"/>
                <w:szCs w:val="18"/>
              </w:rPr>
            </w:pPr>
            <w:r w:rsidRPr="00660482">
              <w:rPr>
                <w:color w:val="000000"/>
                <w:sz w:val="18"/>
                <w:szCs w:val="18"/>
              </w:rPr>
              <w:t>Ventas, Inc. (NYSE:VTR)</w:t>
            </w:r>
          </w:p>
        </w:tc>
        <w:tc>
          <w:tcPr>
            <w:tcW w:w="1659" w:type="pct"/>
            <w:tcBorders>
              <w:top w:val="nil"/>
              <w:left w:val="nil"/>
              <w:bottom w:val="single" w:sz="4" w:space="0" w:color="auto"/>
              <w:right w:val="single" w:sz="4" w:space="0" w:color="auto"/>
            </w:tcBorders>
            <w:noWrap/>
            <w:vAlign w:val="bottom"/>
            <w:hideMark/>
          </w:tcPr>
          <w:p w14:paraId="4A0CC6E2" w14:textId="77777777" w:rsidR="007D3934" w:rsidRPr="00660482" w:rsidRDefault="007D3934" w:rsidP="00AB016E">
            <w:pPr>
              <w:rPr>
                <w:color w:val="000000"/>
                <w:sz w:val="18"/>
                <w:szCs w:val="18"/>
              </w:rPr>
            </w:pPr>
            <w:r w:rsidRPr="00660482">
              <w:rPr>
                <w:color w:val="000000"/>
                <w:sz w:val="18"/>
                <w:szCs w:val="18"/>
              </w:rPr>
              <w:t>Health Care REITs (Primary)</w:t>
            </w:r>
          </w:p>
        </w:tc>
      </w:tr>
      <w:tr w:rsidR="007D3934" w:rsidRPr="00660482" w14:paraId="0533D8D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97FBE15" w14:textId="77777777" w:rsidR="007D3934" w:rsidRPr="00660482" w:rsidRDefault="007D3934" w:rsidP="00AB016E">
            <w:pPr>
              <w:rPr>
                <w:color w:val="000000"/>
                <w:sz w:val="18"/>
                <w:szCs w:val="18"/>
              </w:rPr>
            </w:pPr>
            <w:r w:rsidRPr="00660482">
              <w:rPr>
                <w:color w:val="000000"/>
                <w:sz w:val="18"/>
                <w:szCs w:val="18"/>
              </w:rPr>
              <w:t>AHT</w:t>
            </w:r>
          </w:p>
        </w:tc>
        <w:tc>
          <w:tcPr>
            <w:tcW w:w="2837" w:type="pct"/>
            <w:tcBorders>
              <w:top w:val="nil"/>
              <w:left w:val="nil"/>
              <w:bottom w:val="single" w:sz="4" w:space="0" w:color="auto"/>
              <w:right w:val="single" w:sz="4" w:space="0" w:color="auto"/>
            </w:tcBorders>
            <w:noWrap/>
            <w:vAlign w:val="bottom"/>
            <w:hideMark/>
          </w:tcPr>
          <w:p w14:paraId="74ABF73B" w14:textId="77777777" w:rsidR="007D3934" w:rsidRPr="00660482" w:rsidRDefault="007D3934" w:rsidP="00AB016E">
            <w:pPr>
              <w:rPr>
                <w:color w:val="000000"/>
                <w:sz w:val="18"/>
                <w:szCs w:val="18"/>
              </w:rPr>
            </w:pPr>
            <w:r w:rsidRPr="00660482">
              <w:rPr>
                <w:color w:val="000000"/>
                <w:sz w:val="18"/>
                <w:szCs w:val="18"/>
              </w:rPr>
              <w:t>Ashford Hospitality Trust, Inc. (NYSE:AHT)</w:t>
            </w:r>
          </w:p>
        </w:tc>
        <w:tc>
          <w:tcPr>
            <w:tcW w:w="1659" w:type="pct"/>
            <w:tcBorders>
              <w:top w:val="nil"/>
              <w:left w:val="nil"/>
              <w:bottom w:val="single" w:sz="4" w:space="0" w:color="auto"/>
              <w:right w:val="single" w:sz="4" w:space="0" w:color="auto"/>
            </w:tcBorders>
            <w:noWrap/>
            <w:vAlign w:val="bottom"/>
            <w:hideMark/>
          </w:tcPr>
          <w:p w14:paraId="043876D7"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7302739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113906B" w14:textId="77777777" w:rsidR="007D3934" w:rsidRPr="00660482" w:rsidRDefault="007D3934" w:rsidP="00AB016E">
            <w:pPr>
              <w:rPr>
                <w:color w:val="000000"/>
                <w:sz w:val="18"/>
                <w:szCs w:val="18"/>
              </w:rPr>
            </w:pPr>
            <w:r w:rsidRPr="00660482">
              <w:rPr>
                <w:color w:val="000000"/>
                <w:sz w:val="18"/>
                <w:szCs w:val="18"/>
              </w:rPr>
              <w:t>APLE</w:t>
            </w:r>
          </w:p>
        </w:tc>
        <w:tc>
          <w:tcPr>
            <w:tcW w:w="2837" w:type="pct"/>
            <w:tcBorders>
              <w:top w:val="nil"/>
              <w:left w:val="nil"/>
              <w:bottom w:val="single" w:sz="4" w:space="0" w:color="auto"/>
              <w:right w:val="single" w:sz="4" w:space="0" w:color="auto"/>
            </w:tcBorders>
            <w:noWrap/>
            <w:vAlign w:val="bottom"/>
            <w:hideMark/>
          </w:tcPr>
          <w:p w14:paraId="5698358E" w14:textId="77777777" w:rsidR="007D3934" w:rsidRPr="00660482" w:rsidRDefault="007D3934" w:rsidP="00AB016E">
            <w:pPr>
              <w:rPr>
                <w:color w:val="000000"/>
                <w:sz w:val="18"/>
                <w:szCs w:val="18"/>
              </w:rPr>
            </w:pPr>
            <w:r w:rsidRPr="00660482">
              <w:rPr>
                <w:color w:val="000000"/>
                <w:sz w:val="18"/>
                <w:szCs w:val="18"/>
              </w:rPr>
              <w:t>Apple Hospitality REIT, Inc. (NYSE:APLE)</w:t>
            </w:r>
          </w:p>
        </w:tc>
        <w:tc>
          <w:tcPr>
            <w:tcW w:w="1659" w:type="pct"/>
            <w:tcBorders>
              <w:top w:val="nil"/>
              <w:left w:val="nil"/>
              <w:bottom w:val="single" w:sz="4" w:space="0" w:color="auto"/>
              <w:right w:val="single" w:sz="4" w:space="0" w:color="auto"/>
            </w:tcBorders>
            <w:noWrap/>
            <w:vAlign w:val="bottom"/>
            <w:hideMark/>
          </w:tcPr>
          <w:p w14:paraId="284B7CE0"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4C1335A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01A50DC" w14:textId="77777777" w:rsidR="007D3934" w:rsidRPr="00660482" w:rsidRDefault="007D3934" w:rsidP="00AB016E">
            <w:pPr>
              <w:rPr>
                <w:color w:val="000000"/>
                <w:sz w:val="18"/>
                <w:szCs w:val="18"/>
              </w:rPr>
            </w:pPr>
            <w:r w:rsidRPr="00660482">
              <w:rPr>
                <w:color w:val="000000"/>
                <w:sz w:val="18"/>
                <w:szCs w:val="18"/>
              </w:rPr>
              <w:t>BHR</w:t>
            </w:r>
          </w:p>
        </w:tc>
        <w:tc>
          <w:tcPr>
            <w:tcW w:w="2837" w:type="pct"/>
            <w:tcBorders>
              <w:top w:val="nil"/>
              <w:left w:val="nil"/>
              <w:bottom w:val="single" w:sz="4" w:space="0" w:color="auto"/>
              <w:right w:val="single" w:sz="4" w:space="0" w:color="auto"/>
            </w:tcBorders>
            <w:noWrap/>
            <w:vAlign w:val="bottom"/>
            <w:hideMark/>
          </w:tcPr>
          <w:p w14:paraId="4C9CE774" w14:textId="77777777" w:rsidR="007D3934" w:rsidRPr="00660482" w:rsidRDefault="007D3934" w:rsidP="00AB016E">
            <w:pPr>
              <w:rPr>
                <w:color w:val="000000"/>
                <w:sz w:val="18"/>
                <w:szCs w:val="18"/>
              </w:rPr>
            </w:pPr>
            <w:r w:rsidRPr="00660482">
              <w:rPr>
                <w:color w:val="000000"/>
                <w:sz w:val="18"/>
                <w:szCs w:val="18"/>
              </w:rPr>
              <w:t>Braemar Hotels &amp; Resorts Inc. (NYSE:BHR)</w:t>
            </w:r>
          </w:p>
        </w:tc>
        <w:tc>
          <w:tcPr>
            <w:tcW w:w="1659" w:type="pct"/>
            <w:tcBorders>
              <w:top w:val="nil"/>
              <w:left w:val="nil"/>
              <w:bottom w:val="single" w:sz="4" w:space="0" w:color="auto"/>
              <w:right w:val="single" w:sz="4" w:space="0" w:color="auto"/>
            </w:tcBorders>
            <w:noWrap/>
            <w:vAlign w:val="bottom"/>
            <w:hideMark/>
          </w:tcPr>
          <w:p w14:paraId="3A683DAF"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570B900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7FECBD2" w14:textId="77777777" w:rsidR="007D3934" w:rsidRPr="00660482" w:rsidRDefault="007D3934" w:rsidP="00AB016E">
            <w:pPr>
              <w:rPr>
                <w:color w:val="000000"/>
                <w:sz w:val="18"/>
                <w:szCs w:val="18"/>
              </w:rPr>
            </w:pPr>
            <w:r w:rsidRPr="00660482">
              <w:rPr>
                <w:color w:val="000000"/>
                <w:sz w:val="18"/>
                <w:szCs w:val="18"/>
              </w:rPr>
              <w:t>CLDT</w:t>
            </w:r>
          </w:p>
        </w:tc>
        <w:tc>
          <w:tcPr>
            <w:tcW w:w="2837" w:type="pct"/>
            <w:tcBorders>
              <w:top w:val="nil"/>
              <w:left w:val="nil"/>
              <w:bottom w:val="single" w:sz="4" w:space="0" w:color="auto"/>
              <w:right w:val="single" w:sz="4" w:space="0" w:color="auto"/>
            </w:tcBorders>
            <w:noWrap/>
            <w:vAlign w:val="bottom"/>
            <w:hideMark/>
          </w:tcPr>
          <w:p w14:paraId="24DE03F1" w14:textId="77777777" w:rsidR="007D3934" w:rsidRPr="00660482" w:rsidRDefault="007D3934" w:rsidP="00AB016E">
            <w:pPr>
              <w:rPr>
                <w:color w:val="000000"/>
                <w:sz w:val="18"/>
                <w:szCs w:val="18"/>
              </w:rPr>
            </w:pPr>
            <w:r w:rsidRPr="00660482">
              <w:rPr>
                <w:color w:val="000000"/>
                <w:sz w:val="18"/>
                <w:szCs w:val="18"/>
              </w:rPr>
              <w:t>Chatham Lodging Trust (NYSE:CLDT)</w:t>
            </w:r>
          </w:p>
        </w:tc>
        <w:tc>
          <w:tcPr>
            <w:tcW w:w="1659" w:type="pct"/>
            <w:tcBorders>
              <w:top w:val="nil"/>
              <w:left w:val="nil"/>
              <w:bottom w:val="single" w:sz="4" w:space="0" w:color="auto"/>
              <w:right w:val="single" w:sz="4" w:space="0" w:color="auto"/>
            </w:tcBorders>
            <w:noWrap/>
            <w:vAlign w:val="bottom"/>
            <w:hideMark/>
          </w:tcPr>
          <w:p w14:paraId="744A076B"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4A9AB97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1A135A1" w14:textId="77777777" w:rsidR="007D3934" w:rsidRPr="00660482" w:rsidRDefault="007D3934" w:rsidP="00AB016E">
            <w:pPr>
              <w:rPr>
                <w:color w:val="000000"/>
                <w:sz w:val="18"/>
                <w:szCs w:val="18"/>
              </w:rPr>
            </w:pPr>
            <w:r w:rsidRPr="00660482">
              <w:rPr>
                <w:color w:val="000000"/>
                <w:sz w:val="18"/>
                <w:szCs w:val="18"/>
              </w:rPr>
              <w:t>DRH</w:t>
            </w:r>
          </w:p>
        </w:tc>
        <w:tc>
          <w:tcPr>
            <w:tcW w:w="2837" w:type="pct"/>
            <w:tcBorders>
              <w:top w:val="nil"/>
              <w:left w:val="nil"/>
              <w:bottom w:val="single" w:sz="4" w:space="0" w:color="auto"/>
              <w:right w:val="single" w:sz="4" w:space="0" w:color="auto"/>
            </w:tcBorders>
            <w:noWrap/>
            <w:vAlign w:val="bottom"/>
            <w:hideMark/>
          </w:tcPr>
          <w:p w14:paraId="50936091" w14:textId="77777777" w:rsidR="007D3934" w:rsidRPr="00660482" w:rsidRDefault="007D3934" w:rsidP="00AB016E">
            <w:pPr>
              <w:rPr>
                <w:color w:val="000000"/>
                <w:sz w:val="18"/>
                <w:szCs w:val="18"/>
              </w:rPr>
            </w:pPr>
            <w:r w:rsidRPr="00660482">
              <w:rPr>
                <w:color w:val="000000"/>
                <w:sz w:val="18"/>
                <w:szCs w:val="18"/>
              </w:rPr>
              <w:t>DiamondRock Hospitality Company (NYSE:DRH)</w:t>
            </w:r>
          </w:p>
        </w:tc>
        <w:tc>
          <w:tcPr>
            <w:tcW w:w="1659" w:type="pct"/>
            <w:tcBorders>
              <w:top w:val="nil"/>
              <w:left w:val="nil"/>
              <w:bottom w:val="single" w:sz="4" w:space="0" w:color="auto"/>
              <w:right w:val="single" w:sz="4" w:space="0" w:color="auto"/>
            </w:tcBorders>
            <w:noWrap/>
            <w:vAlign w:val="bottom"/>
            <w:hideMark/>
          </w:tcPr>
          <w:p w14:paraId="40EC76EA"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6055204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CCAB904" w14:textId="77777777" w:rsidR="007D3934" w:rsidRPr="00660482" w:rsidRDefault="007D3934" w:rsidP="00AB016E">
            <w:pPr>
              <w:rPr>
                <w:color w:val="000000"/>
                <w:sz w:val="18"/>
                <w:szCs w:val="18"/>
              </w:rPr>
            </w:pPr>
            <w:r w:rsidRPr="00660482">
              <w:rPr>
                <w:color w:val="000000"/>
                <w:sz w:val="18"/>
                <w:szCs w:val="18"/>
              </w:rPr>
              <w:t>HST</w:t>
            </w:r>
          </w:p>
        </w:tc>
        <w:tc>
          <w:tcPr>
            <w:tcW w:w="2837" w:type="pct"/>
            <w:tcBorders>
              <w:top w:val="nil"/>
              <w:left w:val="nil"/>
              <w:bottom w:val="single" w:sz="4" w:space="0" w:color="auto"/>
              <w:right w:val="single" w:sz="4" w:space="0" w:color="auto"/>
            </w:tcBorders>
            <w:noWrap/>
            <w:vAlign w:val="bottom"/>
            <w:hideMark/>
          </w:tcPr>
          <w:p w14:paraId="7828A8AA" w14:textId="77777777" w:rsidR="007D3934" w:rsidRPr="00660482" w:rsidRDefault="007D3934" w:rsidP="00AB016E">
            <w:pPr>
              <w:rPr>
                <w:color w:val="000000"/>
                <w:sz w:val="18"/>
                <w:szCs w:val="18"/>
              </w:rPr>
            </w:pPr>
            <w:r w:rsidRPr="00660482">
              <w:rPr>
                <w:color w:val="000000"/>
                <w:sz w:val="18"/>
                <w:szCs w:val="18"/>
              </w:rPr>
              <w:t>Host Hotels &amp; Resorts, Inc. (NasdaqGS:HST)</w:t>
            </w:r>
          </w:p>
        </w:tc>
        <w:tc>
          <w:tcPr>
            <w:tcW w:w="1659" w:type="pct"/>
            <w:tcBorders>
              <w:top w:val="nil"/>
              <w:left w:val="nil"/>
              <w:bottom w:val="single" w:sz="4" w:space="0" w:color="auto"/>
              <w:right w:val="single" w:sz="4" w:space="0" w:color="auto"/>
            </w:tcBorders>
            <w:noWrap/>
            <w:vAlign w:val="bottom"/>
            <w:hideMark/>
          </w:tcPr>
          <w:p w14:paraId="4ADB7645"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1187FFB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CC48DF3" w14:textId="77777777" w:rsidR="007D3934" w:rsidRPr="00660482" w:rsidRDefault="007D3934" w:rsidP="00AB016E">
            <w:pPr>
              <w:rPr>
                <w:color w:val="000000"/>
                <w:sz w:val="18"/>
                <w:szCs w:val="18"/>
              </w:rPr>
            </w:pPr>
            <w:r w:rsidRPr="00660482">
              <w:rPr>
                <w:color w:val="000000"/>
                <w:sz w:val="18"/>
                <w:szCs w:val="18"/>
              </w:rPr>
              <w:t>IHT</w:t>
            </w:r>
          </w:p>
        </w:tc>
        <w:tc>
          <w:tcPr>
            <w:tcW w:w="2837" w:type="pct"/>
            <w:tcBorders>
              <w:top w:val="nil"/>
              <w:left w:val="nil"/>
              <w:bottom w:val="single" w:sz="4" w:space="0" w:color="auto"/>
              <w:right w:val="single" w:sz="4" w:space="0" w:color="auto"/>
            </w:tcBorders>
            <w:noWrap/>
            <w:vAlign w:val="bottom"/>
            <w:hideMark/>
          </w:tcPr>
          <w:p w14:paraId="5B867FAA" w14:textId="77777777" w:rsidR="007D3934" w:rsidRPr="00660482" w:rsidRDefault="007D3934" w:rsidP="00AB016E">
            <w:pPr>
              <w:rPr>
                <w:color w:val="000000"/>
                <w:sz w:val="18"/>
                <w:szCs w:val="18"/>
              </w:rPr>
            </w:pPr>
            <w:r w:rsidRPr="00660482">
              <w:rPr>
                <w:color w:val="000000"/>
                <w:sz w:val="18"/>
                <w:szCs w:val="18"/>
              </w:rPr>
              <w:t>InnSuites Hospitality Trust (NYSEAM:IHT)</w:t>
            </w:r>
          </w:p>
        </w:tc>
        <w:tc>
          <w:tcPr>
            <w:tcW w:w="1659" w:type="pct"/>
            <w:tcBorders>
              <w:top w:val="nil"/>
              <w:left w:val="nil"/>
              <w:bottom w:val="single" w:sz="4" w:space="0" w:color="auto"/>
              <w:right w:val="single" w:sz="4" w:space="0" w:color="auto"/>
            </w:tcBorders>
            <w:noWrap/>
            <w:vAlign w:val="bottom"/>
            <w:hideMark/>
          </w:tcPr>
          <w:p w14:paraId="51DC752C"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22F5256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969C415" w14:textId="77777777" w:rsidR="007D3934" w:rsidRPr="00660482" w:rsidRDefault="007D3934" w:rsidP="00AB016E">
            <w:pPr>
              <w:rPr>
                <w:color w:val="000000"/>
                <w:sz w:val="18"/>
                <w:szCs w:val="18"/>
              </w:rPr>
            </w:pPr>
            <w:r w:rsidRPr="00660482">
              <w:rPr>
                <w:color w:val="000000"/>
                <w:sz w:val="18"/>
                <w:szCs w:val="18"/>
              </w:rPr>
              <w:t>INN</w:t>
            </w:r>
          </w:p>
        </w:tc>
        <w:tc>
          <w:tcPr>
            <w:tcW w:w="2837" w:type="pct"/>
            <w:tcBorders>
              <w:top w:val="nil"/>
              <w:left w:val="nil"/>
              <w:bottom w:val="single" w:sz="4" w:space="0" w:color="auto"/>
              <w:right w:val="single" w:sz="4" w:space="0" w:color="auto"/>
            </w:tcBorders>
            <w:noWrap/>
            <w:vAlign w:val="bottom"/>
            <w:hideMark/>
          </w:tcPr>
          <w:p w14:paraId="599420BC" w14:textId="77777777" w:rsidR="007D3934" w:rsidRPr="00660482" w:rsidRDefault="007D3934" w:rsidP="00AB016E">
            <w:pPr>
              <w:rPr>
                <w:color w:val="000000"/>
                <w:sz w:val="18"/>
                <w:szCs w:val="18"/>
              </w:rPr>
            </w:pPr>
            <w:r w:rsidRPr="00660482">
              <w:rPr>
                <w:color w:val="000000"/>
                <w:sz w:val="18"/>
                <w:szCs w:val="18"/>
              </w:rPr>
              <w:t>Summit Hotel Properties, Inc. (NYSE:INN)</w:t>
            </w:r>
          </w:p>
        </w:tc>
        <w:tc>
          <w:tcPr>
            <w:tcW w:w="1659" w:type="pct"/>
            <w:tcBorders>
              <w:top w:val="nil"/>
              <w:left w:val="nil"/>
              <w:bottom w:val="single" w:sz="4" w:space="0" w:color="auto"/>
              <w:right w:val="single" w:sz="4" w:space="0" w:color="auto"/>
            </w:tcBorders>
            <w:noWrap/>
            <w:vAlign w:val="bottom"/>
            <w:hideMark/>
          </w:tcPr>
          <w:p w14:paraId="22B8B499"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0031E85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1A9AA41" w14:textId="77777777" w:rsidR="007D3934" w:rsidRPr="00660482" w:rsidRDefault="007D3934" w:rsidP="00AB016E">
            <w:pPr>
              <w:rPr>
                <w:color w:val="000000"/>
                <w:sz w:val="18"/>
                <w:szCs w:val="18"/>
              </w:rPr>
            </w:pPr>
            <w:r w:rsidRPr="00660482">
              <w:rPr>
                <w:color w:val="000000"/>
                <w:sz w:val="18"/>
                <w:szCs w:val="18"/>
              </w:rPr>
              <w:t>PEB</w:t>
            </w:r>
          </w:p>
        </w:tc>
        <w:tc>
          <w:tcPr>
            <w:tcW w:w="2837" w:type="pct"/>
            <w:tcBorders>
              <w:top w:val="nil"/>
              <w:left w:val="nil"/>
              <w:bottom w:val="single" w:sz="4" w:space="0" w:color="auto"/>
              <w:right w:val="single" w:sz="4" w:space="0" w:color="auto"/>
            </w:tcBorders>
            <w:noWrap/>
            <w:vAlign w:val="bottom"/>
            <w:hideMark/>
          </w:tcPr>
          <w:p w14:paraId="54F5496B" w14:textId="77777777" w:rsidR="007D3934" w:rsidRPr="00660482" w:rsidRDefault="007D3934" w:rsidP="00AB016E">
            <w:pPr>
              <w:rPr>
                <w:color w:val="000000"/>
                <w:sz w:val="18"/>
                <w:szCs w:val="18"/>
              </w:rPr>
            </w:pPr>
            <w:r w:rsidRPr="00660482">
              <w:rPr>
                <w:color w:val="000000"/>
                <w:sz w:val="18"/>
                <w:szCs w:val="18"/>
              </w:rPr>
              <w:t>Pebblebrook Hotel Trust (NYSE:PEB)</w:t>
            </w:r>
          </w:p>
        </w:tc>
        <w:tc>
          <w:tcPr>
            <w:tcW w:w="1659" w:type="pct"/>
            <w:tcBorders>
              <w:top w:val="nil"/>
              <w:left w:val="nil"/>
              <w:bottom w:val="single" w:sz="4" w:space="0" w:color="auto"/>
              <w:right w:val="single" w:sz="4" w:space="0" w:color="auto"/>
            </w:tcBorders>
            <w:noWrap/>
            <w:vAlign w:val="bottom"/>
            <w:hideMark/>
          </w:tcPr>
          <w:p w14:paraId="610E647D"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588992D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5AB8F7A" w14:textId="77777777" w:rsidR="007D3934" w:rsidRPr="00660482" w:rsidRDefault="007D3934" w:rsidP="00AB016E">
            <w:pPr>
              <w:rPr>
                <w:color w:val="000000"/>
                <w:sz w:val="18"/>
                <w:szCs w:val="18"/>
              </w:rPr>
            </w:pPr>
            <w:r w:rsidRPr="00660482">
              <w:rPr>
                <w:color w:val="000000"/>
                <w:sz w:val="18"/>
                <w:szCs w:val="18"/>
              </w:rPr>
              <w:t>PK</w:t>
            </w:r>
          </w:p>
        </w:tc>
        <w:tc>
          <w:tcPr>
            <w:tcW w:w="2837" w:type="pct"/>
            <w:tcBorders>
              <w:top w:val="nil"/>
              <w:left w:val="nil"/>
              <w:bottom w:val="single" w:sz="4" w:space="0" w:color="auto"/>
              <w:right w:val="single" w:sz="4" w:space="0" w:color="auto"/>
            </w:tcBorders>
            <w:noWrap/>
            <w:vAlign w:val="bottom"/>
            <w:hideMark/>
          </w:tcPr>
          <w:p w14:paraId="71ABF96F" w14:textId="77777777" w:rsidR="007D3934" w:rsidRPr="00660482" w:rsidRDefault="007D3934" w:rsidP="00AB016E">
            <w:pPr>
              <w:rPr>
                <w:color w:val="000000"/>
                <w:sz w:val="18"/>
                <w:szCs w:val="18"/>
              </w:rPr>
            </w:pPr>
            <w:r w:rsidRPr="00660482">
              <w:rPr>
                <w:color w:val="000000"/>
                <w:sz w:val="18"/>
                <w:szCs w:val="18"/>
              </w:rPr>
              <w:t>Park Hotels &amp; Resorts Inc. (NYSE:PK)</w:t>
            </w:r>
          </w:p>
        </w:tc>
        <w:tc>
          <w:tcPr>
            <w:tcW w:w="1659" w:type="pct"/>
            <w:tcBorders>
              <w:top w:val="nil"/>
              <w:left w:val="nil"/>
              <w:bottom w:val="single" w:sz="4" w:space="0" w:color="auto"/>
              <w:right w:val="single" w:sz="4" w:space="0" w:color="auto"/>
            </w:tcBorders>
            <w:noWrap/>
            <w:vAlign w:val="bottom"/>
            <w:hideMark/>
          </w:tcPr>
          <w:p w14:paraId="6D8D15C8"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234FAAD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0D22AD4" w14:textId="77777777" w:rsidR="007D3934" w:rsidRPr="00660482" w:rsidRDefault="007D3934" w:rsidP="00AB016E">
            <w:pPr>
              <w:rPr>
                <w:color w:val="000000"/>
                <w:sz w:val="18"/>
                <w:szCs w:val="18"/>
              </w:rPr>
            </w:pPr>
            <w:r w:rsidRPr="00660482">
              <w:rPr>
                <w:color w:val="000000"/>
                <w:sz w:val="18"/>
                <w:szCs w:val="18"/>
              </w:rPr>
              <w:t>RHP</w:t>
            </w:r>
          </w:p>
        </w:tc>
        <w:tc>
          <w:tcPr>
            <w:tcW w:w="2837" w:type="pct"/>
            <w:tcBorders>
              <w:top w:val="nil"/>
              <w:left w:val="nil"/>
              <w:bottom w:val="single" w:sz="4" w:space="0" w:color="auto"/>
              <w:right w:val="single" w:sz="4" w:space="0" w:color="auto"/>
            </w:tcBorders>
            <w:noWrap/>
            <w:vAlign w:val="bottom"/>
            <w:hideMark/>
          </w:tcPr>
          <w:p w14:paraId="09C1C4C3" w14:textId="77777777" w:rsidR="007D3934" w:rsidRPr="00660482" w:rsidRDefault="007D3934" w:rsidP="00AB016E">
            <w:pPr>
              <w:rPr>
                <w:color w:val="000000"/>
                <w:sz w:val="18"/>
                <w:szCs w:val="18"/>
              </w:rPr>
            </w:pPr>
            <w:r w:rsidRPr="00660482">
              <w:rPr>
                <w:color w:val="000000"/>
                <w:sz w:val="18"/>
                <w:szCs w:val="18"/>
              </w:rPr>
              <w:t>Ryman Hospitality Properties, Inc. (NYSE:RHP)</w:t>
            </w:r>
          </w:p>
        </w:tc>
        <w:tc>
          <w:tcPr>
            <w:tcW w:w="1659" w:type="pct"/>
            <w:tcBorders>
              <w:top w:val="nil"/>
              <w:left w:val="nil"/>
              <w:bottom w:val="single" w:sz="4" w:space="0" w:color="auto"/>
              <w:right w:val="single" w:sz="4" w:space="0" w:color="auto"/>
            </w:tcBorders>
            <w:noWrap/>
            <w:vAlign w:val="bottom"/>
            <w:hideMark/>
          </w:tcPr>
          <w:p w14:paraId="69A613BA"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30D573C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2593BD7" w14:textId="77777777" w:rsidR="007D3934" w:rsidRPr="00660482" w:rsidRDefault="007D3934" w:rsidP="00AB016E">
            <w:pPr>
              <w:rPr>
                <w:color w:val="000000"/>
                <w:sz w:val="18"/>
                <w:szCs w:val="18"/>
              </w:rPr>
            </w:pPr>
            <w:r w:rsidRPr="00660482">
              <w:rPr>
                <w:color w:val="000000"/>
                <w:sz w:val="18"/>
                <w:szCs w:val="18"/>
              </w:rPr>
              <w:t>RLJ</w:t>
            </w:r>
          </w:p>
        </w:tc>
        <w:tc>
          <w:tcPr>
            <w:tcW w:w="2837" w:type="pct"/>
            <w:tcBorders>
              <w:top w:val="nil"/>
              <w:left w:val="nil"/>
              <w:bottom w:val="single" w:sz="4" w:space="0" w:color="auto"/>
              <w:right w:val="single" w:sz="4" w:space="0" w:color="auto"/>
            </w:tcBorders>
            <w:noWrap/>
            <w:vAlign w:val="bottom"/>
            <w:hideMark/>
          </w:tcPr>
          <w:p w14:paraId="7459831D" w14:textId="77777777" w:rsidR="007D3934" w:rsidRPr="00660482" w:rsidRDefault="007D3934" w:rsidP="00AB016E">
            <w:pPr>
              <w:rPr>
                <w:color w:val="000000"/>
                <w:sz w:val="18"/>
                <w:szCs w:val="18"/>
              </w:rPr>
            </w:pPr>
            <w:r w:rsidRPr="00660482">
              <w:rPr>
                <w:color w:val="000000"/>
                <w:sz w:val="18"/>
                <w:szCs w:val="18"/>
              </w:rPr>
              <w:t>RLJ Lodging Trust (NYSE:RLJ)</w:t>
            </w:r>
          </w:p>
        </w:tc>
        <w:tc>
          <w:tcPr>
            <w:tcW w:w="1659" w:type="pct"/>
            <w:tcBorders>
              <w:top w:val="nil"/>
              <w:left w:val="nil"/>
              <w:bottom w:val="single" w:sz="4" w:space="0" w:color="auto"/>
              <w:right w:val="single" w:sz="4" w:space="0" w:color="auto"/>
            </w:tcBorders>
            <w:noWrap/>
            <w:vAlign w:val="bottom"/>
            <w:hideMark/>
          </w:tcPr>
          <w:p w14:paraId="2907F1D6"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0F09DBB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7C7C615" w14:textId="77777777" w:rsidR="007D3934" w:rsidRPr="00660482" w:rsidRDefault="007D3934" w:rsidP="00AB016E">
            <w:pPr>
              <w:rPr>
                <w:color w:val="000000"/>
                <w:sz w:val="18"/>
                <w:szCs w:val="18"/>
              </w:rPr>
            </w:pPr>
            <w:r w:rsidRPr="00660482">
              <w:rPr>
                <w:color w:val="000000"/>
                <w:sz w:val="18"/>
                <w:szCs w:val="18"/>
              </w:rPr>
              <w:t>SHO</w:t>
            </w:r>
          </w:p>
        </w:tc>
        <w:tc>
          <w:tcPr>
            <w:tcW w:w="2837" w:type="pct"/>
            <w:tcBorders>
              <w:top w:val="nil"/>
              <w:left w:val="nil"/>
              <w:bottom w:val="single" w:sz="4" w:space="0" w:color="auto"/>
              <w:right w:val="single" w:sz="4" w:space="0" w:color="auto"/>
            </w:tcBorders>
            <w:noWrap/>
            <w:vAlign w:val="bottom"/>
            <w:hideMark/>
          </w:tcPr>
          <w:p w14:paraId="1606C1DD" w14:textId="77777777" w:rsidR="007D3934" w:rsidRPr="00660482" w:rsidRDefault="007D3934" w:rsidP="00AB016E">
            <w:pPr>
              <w:rPr>
                <w:color w:val="000000"/>
                <w:sz w:val="18"/>
                <w:szCs w:val="18"/>
              </w:rPr>
            </w:pPr>
            <w:r w:rsidRPr="00660482">
              <w:rPr>
                <w:color w:val="000000"/>
                <w:sz w:val="18"/>
                <w:szCs w:val="18"/>
              </w:rPr>
              <w:t>Sunstone Hotel Investors, Inc. (NYSE:SHO)</w:t>
            </w:r>
          </w:p>
        </w:tc>
        <w:tc>
          <w:tcPr>
            <w:tcW w:w="1659" w:type="pct"/>
            <w:tcBorders>
              <w:top w:val="nil"/>
              <w:left w:val="nil"/>
              <w:bottom w:val="single" w:sz="4" w:space="0" w:color="auto"/>
              <w:right w:val="single" w:sz="4" w:space="0" w:color="auto"/>
            </w:tcBorders>
            <w:noWrap/>
            <w:vAlign w:val="bottom"/>
            <w:hideMark/>
          </w:tcPr>
          <w:p w14:paraId="1C47F189"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219CDF1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83F48F0" w14:textId="77777777" w:rsidR="007D3934" w:rsidRPr="00660482" w:rsidRDefault="007D3934" w:rsidP="00AB016E">
            <w:pPr>
              <w:rPr>
                <w:color w:val="000000"/>
                <w:sz w:val="18"/>
                <w:szCs w:val="18"/>
              </w:rPr>
            </w:pPr>
            <w:r w:rsidRPr="00660482">
              <w:rPr>
                <w:color w:val="000000"/>
                <w:sz w:val="18"/>
                <w:szCs w:val="18"/>
              </w:rPr>
              <w:t>SOHO</w:t>
            </w:r>
          </w:p>
        </w:tc>
        <w:tc>
          <w:tcPr>
            <w:tcW w:w="2837" w:type="pct"/>
            <w:tcBorders>
              <w:top w:val="nil"/>
              <w:left w:val="nil"/>
              <w:bottom w:val="single" w:sz="4" w:space="0" w:color="auto"/>
              <w:right w:val="single" w:sz="4" w:space="0" w:color="auto"/>
            </w:tcBorders>
            <w:noWrap/>
            <w:vAlign w:val="bottom"/>
            <w:hideMark/>
          </w:tcPr>
          <w:p w14:paraId="7EDDD4E8" w14:textId="77777777" w:rsidR="007D3934" w:rsidRPr="00660482" w:rsidRDefault="007D3934" w:rsidP="00AB016E">
            <w:pPr>
              <w:rPr>
                <w:color w:val="000000"/>
                <w:sz w:val="18"/>
                <w:szCs w:val="18"/>
              </w:rPr>
            </w:pPr>
            <w:r w:rsidRPr="00660482">
              <w:rPr>
                <w:color w:val="000000"/>
                <w:sz w:val="18"/>
                <w:szCs w:val="18"/>
              </w:rPr>
              <w:t>Sotherly Hotels Inc. (NasdaqGM:SOHO)</w:t>
            </w:r>
          </w:p>
        </w:tc>
        <w:tc>
          <w:tcPr>
            <w:tcW w:w="1659" w:type="pct"/>
            <w:tcBorders>
              <w:top w:val="nil"/>
              <w:left w:val="nil"/>
              <w:bottom w:val="single" w:sz="4" w:space="0" w:color="auto"/>
              <w:right w:val="single" w:sz="4" w:space="0" w:color="auto"/>
            </w:tcBorders>
            <w:noWrap/>
            <w:vAlign w:val="bottom"/>
            <w:hideMark/>
          </w:tcPr>
          <w:p w14:paraId="1F3DD18D"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21673F7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A268F02" w14:textId="77777777" w:rsidR="007D3934" w:rsidRPr="00660482" w:rsidRDefault="007D3934" w:rsidP="00AB016E">
            <w:pPr>
              <w:rPr>
                <w:color w:val="000000"/>
                <w:sz w:val="18"/>
                <w:szCs w:val="18"/>
              </w:rPr>
            </w:pPr>
            <w:r w:rsidRPr="00660482">
              <w:rPr>
                <w:color w:val="000000"/>
                <w:sz w:val="18"/>
                <w:szCs w:val="18"/>
              </w:rPr>
              <w:t>SVC</w:t>
            </w:r>
          </w:p>
        </w:tc>
        <w:tc>
          <w:tcPr>
            <w:tcW w:w="2837" w:type="pct"/>
            <w:tcBorders>
              <w:top w:val="nil"/>
              <w:left w:val="nil"/>
              <w:bottom w:val="single" w:sz="4" w:space="0" w:color="auto"/>
              <w:right w:val="single" w:sz="4" w:space="0" w:color="auto"/>
            </w:tcBorders>
            <w:noWrap/>
            <w:vAlign w:val="bottom"/>
            <w:hideMark/>
          </w:tcPr>
          <w:p w14:paraId="5448EE8E" w14:textId="77777777" w:rsidR="007D3934" w:rsidRPr="00660482" w:rsidRDefault="007D3934" w:rsidP="00AB016E">
            <w:pPr>
              <w:rPr>
                <w:color w:val="000000"/>
                <w:sz w:val="18"/>
                <w:szCs w:val="18"/>
              </w:rPr>
            </w:pPr>
            <w:r w:rsidRPr="00660482">
              <w:rPr>
                <w:color w:val="000000"/>
                <w:sz w:val="18"/>
                <w:szCs w:val="18"/>
              </w:rPr>
              <w:t>Service Properties Trust (NasdaqGS:SVC)</w:t>
            </w:r>
          </w:p>
        </w:tc>
        <w:tc>
          <w:tcPr>
            <w:tcW w:w="1659" w:type="pct"/>
            <w:tcBorders>
              <w:top w:val="nil"/>
              <w:left w:val="nil"/>
              <w:bottom w:val="single" w:sz="4" w:space="0" w:color="auto"/>
              <w:right w:val="single" w:sz="4" w:space="0" w:color="auto"/>
            </w:tcBorders>
            <w:noWrap/>
            <w:vAlign w:val="bottom"/>
            <w:hideMark/>
          </w:tcPr>
          <w:p w14:paraId="0CF4AB96"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278A7EC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0FB2F0C" w14:textId="77777777" w:rsidR="007D3934" w:rsidRPr="00660482" w:rsidRDefault="007D3934" w:rsidP="00AB016E">
            <w:pPr>
              <w:rPr>
                <w:color w:val="000000"/>
                <w:sz w:val="18"/>
                <w:szCs w:val="18"/>
              </w:rPr>
            </w:pPr>
            <w:r w:rsidRPr="00660482">
              <w:rPr>
                <w:color w:val="000000"/>
                <w:sz w:val="18"/>
                <w:szCs w:val="18"/>
              </w:rPr>
              <w:t>XHR</w:t>
            </w:r>
          </w:p>
        </w:tc>
        <w:tc>
          <w:tcPr>
            <w:tcW w:w="2837" w:type="pct"/>
            <w:tcBorders>
              <w:top w:val="nil"/>
              <w:left w:val="nil"/>
              <w:bottom w:val="single" w:sz="4" w:space="0" w:color="auto"/>
              <w:right w:val="single" w:sz="4" w:space="0" w:color="auto"/>
            </w:tcBorders>
            <w:noWrap/>
            <w:vAlign w:val="bottom"/>
            <w:hideMark/>
          </w:tcPr>
          <w:p w14:paraId="0F489F47" w14:textId="77777777" w:rsidR="007D3934" w:rsidRPr="00660482" w:rsidRDefault="007D3934" w:rsidP="00AB016E">
            <w:pPr>
              <w:rPr>
                <w:color w:val="000000"/>
                <w:sz w:val="18"/>
                <w:szCs w:val="18"/>
              </w:rPr>
            </w:pPr>
            <w:r w:rsidRPr="00660482">
              <w:rPr>
                <w:color w:val="000000"/>
                <w:sz w:val="18"/>
                <w:szCs w:val="18"/>
              </w:rPr>
              <w:t>Xenia Hotels &amp; Resorts, Inc. (NYSE:XHR)</w:t>
            </w:r>
          </w:p>
        </w:tc>
        <w:tc>
          <w:tcPr>
            <w:tcW w:w="1659" w:type="pct"/>
            <w:tcBorders>
              <w:top w:val="nil"/>
              <w:left w:val="nil"/>
              <w:bottom w:val="single" w:sz="4" w:space="0" w:color="auto"/>
              <w:right w:val="single" w:sz="4" w:space="0" w:color="auto"/>
            </w:tcBorders>
            <w:noWrap/>
            <w:vAlign w:val="bottom"/>
            <w:hideMark/>
          </w:tcPr>
          <w:p w14:paraId="701317F1" w14:textId="77777777" w:rsidR="007D3934" w:rsidRPr="00660482" w:rsidRDefault="007D3934" w:rsidP="00AB016E">
            <w:pPr>
              <w:rPr>
                <w:color w:val="000000"/>
                <w:sz w:val="18"/>
                <w:szCs w:val="18"/>
              </w:rPr>
            </w:pPr>
            <w:r w:rsidRPr="00660482">
              <w:rPr>
                <w:color w:val="000000"/>
                <w:sz w:val="18"/>
                <w:szCs w:val="18"/>
              </w:rPr>
              <w:t>Hotel and Resort REITs (Primary)</w:t>
            </w:r>
          </w:p>
        </w:tc>
      </w:tr>
      <w:tr w:rsidR="007D3934" w:rsidRPr="00660482" w14:paraId="4526291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72D4B85" w14:textId="77777777" w:rsidR="007D3934" w:rsidRPr="00660482" w:rsidRDefault="007D3934" w:rsidP="00AB016E">
            <w:pPr>
              <w:rPr>
                <w:color w:val="000000"/>
                <w:sz w:val="18"/>
                <w:szCs w:val="18"/>
              </w:rPr>
            </w:pPr>
            <w:r w:rsidRPr="00660482">
              <w:rPr>
                <w:color w:val="000000"/>
                <w:sz w:val="18"/>
                <w:szCs w:val="18"/>
              </w:rPr>
              <w:t>COLD</w:t>
            </w:r>
          </w:p>
        </w:tc>
        <w:tc>
          <w:tcPr>
            <w:tcW w:w="2837" w:type="pct"/>
            <w:tcBorders>
              <w:top w:val="nil"/>
              <w:left w:val="nil"/>
              <w:bottom w:val="single" w:sz="4" w:space="0" w:color="auto"/>
              <w:right w:val="single" w:sz="4" w:space="0" w:color="auto"/>
            </w:tcBorders>
            <w:noWrap/>
            <w:vAlign w:val="bottom"/>
            <w:hideMark/>
          </w:tcPr>
          <w:p w14:paraId="6FB6D088" w14:textId="77777777" w:rsidR="007D3934" w:rsidRPr="00660482" w:rsidRDefault="007D3934" w:rsidP="00AB016E">
            <w:pPr>
              <w:rPr>
                <w:color w:val="000000"/>
                <w:sz w:val="18"/>
                <w:szCs w:val="18"/>
              </w:rPr>
            </w:pPr>
            <w:r w:rsidRPr="00660482">
              <w:rPr>
                <w:color w:val="000000"/>
                <w:sz w:val="18"/>
                <w:szCs w:val="18"/>
              </w:rPr>
              <w:t>Americold Realty Trust, Inc. (NYSE:COLD)</w:t>
            </w:r>
          </w:p>
        </w:tc>
        <w:tc>
          <w:tcPr>
            <w:tcW w:w="1659" w:type="pct"/>
            <w:tcBorders>
              <w:top w:val="nil"/>
              <w:left w:val="nil"/>
              <w:bottom w:val="single" w:sz="4" w:space="0" w:color="auto"/>
              <w:right w:val="single" w:sz="4" w:space="0" w:color="auto"/>
            </w:tcBorders>
            <w:noWrap/>
            <w:vAlign w:val="bottom"/>
            <w:hideMark/>
          </w:tcPr>
          <w:p w14:paraId="536AD97B"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6AD4E1E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4021B6F" w14:textId="77777777" w:rsidR="007D3934" w:rsidRPr="00660482" w:rsidRDefault="007D3934" w:rsidP="00AB016E">
            <w:pPr>
              <w:rPr>
                <w:color w:val="000000"/>
                <w:sz w:val="18"/>
                <w:szCs w:val="18"/>
              </w:rPr>
            </w:pPr>
            <w:r w:rsidRPr="00660482">
              <w:rPr>
                <w:color w:val="000000"/>
                <w:sz w:val="18"/>
                <w:szCs w:val="18"/>
              </w:rPr>
              <w:t>EGP</w:t>
            </w:r>
          </w:p>
        </w:tc>
        <w:tc>
          <w:tcPr>
            <w:tcW w:w="2837" w:type="pct"/>
            <w:tcBorders>
              <w:top w:val="nil"/>
              <w:left w:val="nil"/>
              <w:bottom w:val="single" w:sz="4" w:space="0" w:color="auto"/>
              <w:right w:val="single" w:sz="4" w:space="0" w:color="auto"/>
            </w:tcBorders>
            <w:noWrap/>
            <w:vAlign w:val="bottom"/>
            <w:hideMark/>
          </w:tcPr>
          <w:p w14:paraId="3FE35C3F" w14:textId="77777777" w:rsidR="007D3934" w:rsidRPr="00660482" w:rsidRDefault="007D3934" w:rsidP="00AB016E">
            <w:pPr>
              <w:rPr>
                <w:color w:val="000000"/>
                <w:sz w:val="18"/>
                <w:szCs w:val="18"/>
              </w:rPr>
            </w:pPr>
            <w:r w:rsidRPr="00660482">
              <w:rPr>
                <w:color w:val="000000"/>
                <w:sz w:val="18"/>
                <w:szCs w:val="18"/>
              </w:rPr>
              <w:t>EastGroup Properties, Inc. (NYSE:EGP)</w:t>
            </w:r>
          </w:p>
        </w:tc>
        <w:tc>
          <w:tcPr>
            <w:tcW w:w="1659" w:type="pct"/>
            <w:tcBorders>
              <w:top w:val="nil"/>
              <w:left w:val="nil"/>
              <w:bottom w:val="single" w:sz="4" w:space="0" w:color="auto"/>
              <w:right w:val="single" w:sz="4" w:space="0" w:color="auto"/>
            </w:tcBorders>
            <w:noWrap/>
            <w:vAlign w:val="bottom"/>
            <w:hideMark/>
          </w:tcPr>
          <w:p w14:paraId="1056BE72"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3964A29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3EBF1A8" w14:textId="77777777" w:rsidR="007D3934" w:rsidRPr="00660482" w:rsidRDefault="007D3934" w:rsidP="00AB016E">
            <w:pPr>
              <w:rPr>
                <w:color w:val="000000"/>
                <w:sz w:val="18"/>
                <w:szCs w:val="18"/>
              </w:rPr>
            </w:pPr>
            <w:r w:rsidRPr="00660482">
              <w:rPr>
                <w:color w:val="000000"/>
                <w:sz w:val="18"/>
                <w:szCs w:val="18"/>
              </w:rPr>
              <w:t>FR</w:t>
            </w:r>
          </w:p>
        </w:tc>
        <w:tc>
          <w:tcPr>
            <w:tcW w:w="2837" w:type="pct"/>
            <w:tcBorders>
              <w:top w:val="nil"/>
              <w:left w:val="nil"/>
              <w:bottom w:val="single" w:sz="4" w:space="0" w:color="auto"/>
              <w:right w:val="single" w:sz="4" w:space="0" w:color="auto"/>
            </w:tcBorders>
            <w:noWrap/>
            <w:vAlign w:val="bottom"/>
            <w:hideMark/>
          </w:tcPr>
          <w:p w14:paraId="0DA2621F" w14:textId="77777777" w:rsidR="007D3934" w:rsidRPr="00660482" w:rsidRDefault="007D3934" w:rsidP="00AB016E">
            <w:pPr>
              <w:rPr>
                <w:color w:val="000000"/>
                <w:sz w:val="18"/>
                <w:szCs w:val="18"/>
              </w:rPr>
            </w:pPr>
            <w:r w:rsidRPr="00660482">
              <w:rPr>
                <w:color w:val="000000"/>
                <w:sz w:val="18"/>
                <w:szCs w:val="18"/>
              </w:rPr>
              <w:t>First Industrial Realty Trust, Inc. (NYSE:FR)</w:t>
            </w:r>
          </w:p>
        </w:tc>
        <w:tc>
          <w:tcPr>
            <w:tcW w:w="1659" w:type="pct"/>
            <w:tcBorders>
              <w:top w:val="nil"/>
              <w:left w:val="nil"/>
              <w:bottom w:val="single" w:sz="4" w:space="0" w:color="auto"/>
              <w:right w:val="single" w:sz="4" w:space="0" w:color="auto"/>
            </w:tcBorders>
            <w:noWrap/>
            <w:vAlign w:val="bottom"/>
            <w:hideMark/>
          </w:tcPr>
          <w:p w14:paraId="299AF98F"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61E1427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4BD5051" w14:textId="77777777" w:rsidR="007D3934" w:rsidRPr="00660482" w:rsidRDefault="007D3934" w:rsidP="00AB016E">
            <w:pPr>
              <w:rPr>
                <w:color w:val="000000"/>
                <w:sz w:val="18"/>
                <w:szCs w:val="18"/>
              </w:rPr>
            </w:pPr>
            <w:r w:rsidRPr="00660482">
              <w:rPr>
                <w:color w:val="000000"/>
                <w:sz w:val="18"/>
                <w:szCs w:val="18"/>
              </w:rPr>
              <w:t>IIPR</w:t>
            </w:r>
          </w:p>
        </w:tc>
        <w:tc>
          <w:tcPr>
            <w:tcW w:w="2837" w:type="pct"/>
            <w:tcBorders>
              <w:top w:val="nil"/>
              <w:left w:val="nil"/>
              <w:bottom w:val="single" w:sz="4" w:space="0" w:color="auto"/>
              <w:right w:val="single" w:sz="4" w:space="0" w:color="auto"/>
            </w:tcBorders>
            <w:noWrap/>
            <w:vAlign w:val="bottom"/>
            <w:hideMark/>
          </w:tcPr>
          <w:p w14:paraId="4DBF23BE" w14:textId="77777777" w:rsidR="007D3934" w:rsidRPr="00660482" w:rsidRDefault="007D3934" w:rsidP="00AB016E">
            <w:pPr>
              <w:rPr>
                <w:color w:val="000000"/>
                <w:sz w:val="18"/>
                <w:szCs w:val="18"/>
              </w:rPr>
            </w:pPr>
            <w:r w:rsidRPr="00660482">
              <w:rPr>
                <w:color w:val="000000"/>
                <w:sz w:val="18"/>
                <w:szCs w:val="18"/>
              </w:rPr>
              <w:t>Innovative Industrial Properties, Inc. (NYSE:IIPR)</w:t>
            </w:r>
          </w:p>
        </w:tc>
        <w:tc>
          <w:tcPr>
            <w:tcW w:w="1659" w:type="pct"/>
            <w:tcBorders>
              <w:top w:val="nil"/>
              <w:left w:val="nil"/>
              <w:bottom w:val="single" w:sz="4" w:space="0" w:color="auto"/>
              <w:right w:val="single" w:sz="4" w:space="0" w:color="auto"/>
            </w:tcBorders>
            <w:noWrap/>
            <w:vAlign w:val="bottom"/>
            <w:hideMark/>
          </w:tcPr>
          <w:p w14:paraId="38CB1494"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4EE7C23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9BF9AC3" w14:textId="77777777" w:rsidR="007D3934" w:rsidRPr="00660482" w:rsidRDefault="007D3934" w:rsidP="00AB016E">
            <w:pPr>
              <w:rPr>
                <w:color w:val="000000"/>
                <w:sz w:val="18"/>
                <w:szCs w:val="18"/>
              </w:rPr>
            </w:pPr>
            <w:r w:rsidRPr="00660482">
              <w:rPr>
                <w:color w:val="000000"/>
                <w:sz w:val="18"/>
                <w:szCs w:val="18"/>
              </w:rPr>
              <w:t>ILPT</w:t>
            </w:r>
          </w:p>
        </w:tc>
        <w:tc>
          <w:tcPr>
            <w:tcW w:w="2837" w:type="pct"/>
            <w:tcBorders>
              <w:top w:val="nil"/>
              <w:left w:val="nil"/>
              <w:bottom w:val="single" w:sz="4" w:space="0" w:color="auto"/>
              <w:right w:val="single" w:sz="4" w:space="0" w:color="auto"/>
            </w:tcBorders>
            <w:noWrap/>
            <w:vAlign w:val="bottom"/>
            <w:hideMark/>
          </w:tcPr>
          <w:p w14:paraId="66A0E1E9" w14:textId="77777777" w:rsidR="007D3934" w:rsidRPr="00660482" w:rsidRDefault="007D3934" w:rsidP="00AB016E">
            <w:pPr>
              <w:rPr>
                <w:color w:val="000000"/>
                <w:sz w:val="18"/>
                <w:szCs w:val="18"/>
              </w:rPr>
            </w:pPr>
            <w:r w:rsidRPr="00660482">
              <w:rPr>
                <w:color w:val="000000"/>
                <w:sz w:val="18"/>
                <w:szCs w:val="18"/>
              </w:rPr>
              <w:t>Industrial Logistics Properties Trust (NasdaqGS:ILPT)</w:t>
            </w:r>
          </w:p>
        </w:tc>
        <w:tc>
          <w:tcPr>
            <w:tcW w:w="1659" w:type="pct"/>
            <w:tcBorders>
              <w:top w:val="nil"/>
              <w:left w:val="nil"/>
              <w:bottom w:val="single" w:sz="4" w:space="0" w:color="auto"/>
              <w:right w:val="single" w:sz="4" w:space="0" w:color="auto"/>
            </w:tcBorders>
            <w:noWrap/>
            <w:vAlign w:val="bottom"/>
            <w:hideMark/>
          </w:tcPr>
          <w:p w14:paraId="450794E4"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062395B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C12E4EB" w14:textId="77777777" w:rsidR="007D3934" w:rsidRPr="00660482" w:rsidRDefault="007D3934" w:rsidP="00AB016E">
            <w:pPr>
              <w:rPr>
                <w:color w:val="000000"/>
                <w:sz w:val="18"/>
                <w:szCs w:val="18"/>
              </w:rPr>
            </w:pPr>
            <w:r w:rsidRPr="00660482">
              <w:rPr>
                <w:color w:val="000000"/>
                <w:sz w:val="18"/>
                <w:szCs w:val="18"/>
              </w:rPr>
              <w:t>LXP</w:t>
            </w:r>
          </w:p>
        </w:tc>
        <w:tc>
          <w:tcPr>
            <w:tcW w:w="2837" w:type="pct"/>
            <w:tcBorders>
              <w:top w:val="nil"/>
              <w:left w:val="nil"/>
              <w:bottom w:val="single" w:sz="4" w:space="0" w:color="auto"/>
              <w:right w:val="single" w:sz="4" w:space="0" w:color="auto"/>
            </w:tcBorders>
            <w:noWrap/>
            <w:vAlign w:val="bottom"/>
            <w:hideMark/>
          </w:tcPr>
          <w:p w14:paraId="6BE4C789" w14:textId="77777777" w:rsidR="007D3934" w:rsidRPr="00660482" w:rsidRDefault="007D3934" w:rsidP="00AB016E">
            <w:pPr>
              <w:rPr>
                <w:color w:val="000000"/>
                <w:sz w:val="18"/>
                <w:szCs w:val="18"/>
              </w:rPr>
            </w:pPr>
            <w:r w:rsidRPr="00660482">
              <w:rPr>
                <w:color w:val="000000"/>
                <w:sz w:val="18"/>
                <w:szCs w:val="18"/>
              </w:rPr>
              <w:t>LXP Industrial Trust (NYSE:LXP)</w:t>
            </w:r>
          </w:p>
        </w:tc>
        <w:tc>
          <w:tcPr>
            <w:tcW w:w="1659" w:type="pct"/>
            <w:tcBorders>
              <w:top w:val="nil"/>
              <w:left w:val="nil"/>
              <w:bottom w:val="single" w:sz="4" w:space="0" w:color="auto"/>
              <w:right w:val="single" w:sz="4" w:space="0" w:color="auto"/>
            </w:tcBorders>
            <w:noWrap/>
            <w:vAlign w:val="bottom"/>
            <w:hideMark/>
          </w:tcPr>
          <w:p w14:paraId="42C7CD81"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759FBC1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E33951A" w14:textId="77777777" w:rsidR="007D3934" w:rsidRPr="00660482" w:rsidRDefault="007D3934" w:rsidP="00AB016E">
            <w:pPr>
              <w:rPr>
                <w:color w:val="000000"/>
                <w:sz w:val="18"/>
                <w:szCs w:val="18"/>
              </w:rPr>
            </w:pPr>
            <w:r w:rsidRPr="00660482">
              <w:rPr>
                <w:color w:val="000000"/>
                <w:sz w:val="18"/>
                <w:szCs w:val="18"/>
              </w:rPr>
              <w:t>PLD</w:t>
            </w:r>
          </w:p>
        </w:tc>
        <w:tc>
          <w:tcPr>
            <w:tcW w:w="2837" w:type="pct"/>
            <w:tcBorders>
              <w:top w:val="nil"/>
              <w:left w:val="nil"/>
              <w:bottom w:val="single" w:sz="4" w:space="0" w:color="auto"/>
              <w:right w:val="single" w:sz="4" w:space="0" w:color="auto"/>
            </w:tcBorders>
            <w:noWrap/>
            <w:vAlign w:val="bottom"/>
            <w:hideMark/>
          </w:tcPr>
          <w:p w14:paraId="3BEBD772" w14:textId="77777777" w:rsidR="007D3934" w:rsidRPr="00660482" w:rsidRDefault="007D3934" w:rsidP="00AB016E">
            <w:pPr>
              <w:rPr>
                <w:color w:val="000000"/>
                <w:sz w:val="18"/>
                <w:szCs w:val="18"/>
              </w:rPr>
            </w:pPr>
            <w:r w:rsidRPr="00660482">
              <w:rPr>
                <w:color w:val="000000"/>
                <w:sz w:val="18"/>
                <w:szCs w:val="18"/>
              </w:rPr>
              <w:t>Prologis, Inc. (NYSE:PLD)</w:t>
            </w:r>
          </w:p>
        </w:tc>
        <w:tc>
          <w:tcPr>
            <w:tcW w:w="1659" w:type="pct"/>
            <w:tcBorders>
              <w:top w:val="nil"/>
              <w:left w:val="nil"/>
              <w:bottom w:val="single" w:sz="4" w:space="0" w:color="auto"/>
              <w:right w:val="single" w:sz="4" w:space="0" w:color="auto"/>
            </w:tcBorders>
            <w:noWrap/>
            <w:vAlign w:val="bottom"/>
            <w:hideMark/>
          </w:tcPr>
          <w:p w14:paraId="61B4F173"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7F0080E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BFFAD1A" w14:textId="77777777" w:rsidR="007D3934" w:rsidRPr="00660482" w:rsidRDefault="007D3934" w:rsidP="00AB016E">
            <w:pPr>
              <w:rPr>
                <w:color w:val="000000"/>
                <w:sz w:val="18"/>
                <w:szCs w:val="18"/>
              </w:rPr>
            </w:pPr>
            <w:r w:rsidRPr="00660482">
              <w:rPr>
                <w:color w:val="000000"/>
                <w:sz w:val="18"/>
                <w:szCs w:val="18"/>
              </w:rPr>
              <w:t>PLYM</w:t>
            </w:r>
          </w:p>
        </w:tc>
        <w:tc>
          <w:tcPr>
            <w:tcW w:w="2837" w:type="pct"/>
            <w:tcBorders>
              <w:top w:val="nil"/>
              <w:left w:val="nil"/>
              <w:bottom w:val="single" w:sz="4" w:space="0" w:color="auto"/>
              <w:right w:val="single" w:sz="4" w:space="0" w:color="auto"/>
            </w:tcBorders>
            <w:noWrap/>
            <w:vAlign w:val="bottom"/>
            <w:hideMark/>
          </w:tcPr>
          <w:p w14:paraId="6AA083E7" w14:textId="77777777" w:rsidR="007D3934" w:rsidRPr="00660482" w:rsidRDefault="007D3934" w:rsidP="00AB016E">
            <w:pPr>
              <w:rPr>
                <w:color w:val="000000"/>
                <w:sz w:val="18"/>
                <w:szCs w:val="18"/>
              </w:rPr>
            </w:pPr>
            <w:r w:rsidRPr="00660482">
              <w:rPr>
                <w:color w:val="000000"/>
                <w:sz w:val="18"/>
                <w:szCs w:val="18"/>
              </w:rPr>
              <w:t>Plymouth Industrial REIT, Inc. (NYSE:PLYM)</w:t>
            </w:r>
          </w:p>
        </w:tc>
        <w:tc>
          <w:tcPr>
            <w:tcW w:w="1659" w:type="pct"/>
            <w:tcBorders>
              <w:top w:val="nil"/>
              <w:left w:val="nil"/>
              <w:bottom w:val="single" w:sz="4" w:space="0" w:color="auto"/>
              <w:right w:val="single" w:sz="4" w:space="0" w:color="auto"/>
            </w:tcBorders>
            <w:noWrap/>
            <w:vAlign w:val="bottom"/>
            <w:hideMark/>
          </w:tcPr>
          <w:p w14:paraId="2AF11D5F"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151E0D5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15F05DF" w14:textId="77777777" w:rsidR="007D3934" w:rsidRPr="00660482" w:rsidRDefault="007D3934" w:rsidP="00AB016E">
            <w:pPr>
              <w:rPr>
                <w:color w:val="000000"/>
                <w:sz w:val="18"/>
                <w:szCs w:val="18"/>
              </w:rPr>
            </w:pPr>
            <w:r w:rsidRPr="00660482">
              <w:rPr>
                <w:color w:val="000000"/>
                <w:sz w:val="18"/>
                <w:szCs w:val="18"/>
              </w:rPr>
              <w:t>REXR</w:t>
            </w:r>
          </w:p>
        </w:tc>
        <w:tc>
          <w:tcPr>
            <w:tcW w:w="2837" w:type="pct"/>
            <w:tcBorders>
              <w:top w:val="nil"/>
              <w:left w:val="nil"/>
              <w:bottom w:val="single" w:sz="4" w:space="0" w:color="auto"/>
              <w:right w:val="single" w:sz="4" w:space="0" w:color="auto"/>
            </w:tcBorders>
            <w:noWrap/>
            <w:vAlign w:val="bottom"/>
            <w:hideMark/>
          </w:tcPr>
          <w:p w14:paraId="45712CEE" w14:textId="77777777" w:rsidR="007D3934" w:rsidRPr="00660482" w:rsidRDefault="007D3934" w:rsidP="00AB016E">
            <w:pPr>
              <w:rPr>
                <w:color w:val="000000"/>
                <w:sz w:val="18"/>
                <w:szCs w:val="18"/>
              </w:rPr>
            </w:pPr>
            <w:r w:rsidRPr="00660482">
              <w:rPr>
                <w:color w:val="000000"/>
                <w:sz w:val="18"/>
                <w:szCs w:val="18"/>
              </w:rPr>
              <w:t>Rexford Industrial Realty, Inc. (NYSE:REXR)</w:t>
            </w:r>
          </w:p>
        </w:tc>
        <w:tc>
          <w:tcPr>
            <w:tcW w:w="1659" w:type="pct"/>
            <w:tcBorders>
              <w:top w:val="nil"/>
              <w:left w:val="nil"/>
              <w:bottom w:val="single" w:sz="4" w:space="0" w:color="auto"/>
              <w:right w:val="single" w:sz="4" w:space="0" w:color="auto"/>
            </w:tcBorders>
            <w:noWrap/>
            <w:vAlign w:val="bottom"/>
            <w:hideMark/>
          </w:tcPr>
          <w:p w14:paraId="21D57609"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7CD87A1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CF3774F" w14:textId="77777777" w:rsidR="007D3934" w:rsidRPr="00660482" w:rsidRDefault="007D3934" w:rsidP="00AB016E">
            <w:pPr>
              <w:rPr>
                <w:color w:val="000000"/>
                <w:sz w:val="18"/>
                <w:szCs w:val="18"/>
              </w:rPr>
            </w:pPr>
            <w:r w:rsidRPr="00660482">
              <w:rPr>
                <w:color w:val="000000"/>
                <w:sz w:val="18"/>
                <w:szCs w:val="18"/>
              </w:rPr>
              <w:t>STAG</w:t>
            </w:r>
          </w:p>
        </w:tc>
        <w:tc>
          <w:tcPr>
            <w:tcW w:w="2837" w:type="pct"/>
            <w:tcBorders>
              <w:top w:val="nil"/>
              <w:left w:val="nil"/>
              <w:bottom w:val="single" w:sz="4" w:space="0" w:color="auto"/>
              <w:right w:val="single" w:sz="4" w:space="0" w:color="auto"/>
            </w:tcBorders>
            <w:noWrap/>
            <w:vAlign w:val="bottom"/>
            <w:hideMark/>
          </w:tcPr>
          <w:p w14:paraId="6334F953" w14:textId="77777777" w:rsidR="007D3934" w:rsidRPr="00660482" w:rsidRDefault="007D3934" w:rsidP="00AB016E">
            <w:pPr>
              <w:rPr>
                <w:color w:val="000000"/>
                <w:sz w:val="18"/>
                <w:szCs w:val="18"/>
              </w:rPr>
            </w:pPr>
            <w:r w:rsidRPr="00660482">
              <w:rPr>
                <w:color w:val="000000"/>
                <w:sz w:val="18"/>
                <w:szCs w:val="18"/>
              </w:rPr>
              <w:t>STAG Industrial, Inc. (NYSE:STAG)</w:t>
            </w:r>
          </w:p>
        </w:tc>
        <w:tc>
          <w:tcPr>
            <w:tcW w:w="1659" w:type="pct"/>
            <w:tcBorders>
              <w:top w:val="nil"/>
              <w:left w:val="nil"/>
              <w:bottom w:val="single" w:sz="4" w:space="0" w:color="auto"/>
              <w:right w:val="single" w:sz="4" w:space="0" w:color="auto"/>
            </w:tcBorders>
            <w:noWrap/>
            <w:vAlign w:val="bottom"/>
            <w:hideMark/>
          </w:tcPr>
          <w:p w14:paraId="024DC703"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55B1AB7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7D14A9C" w14:textId="77777777" w:rsidR="007D3934" w:rsidRPr="00660482" w:rsidRDefault="007D3934" w:rsidP="00AB016E">
            <w:pPr>
              <w:rPr>
                <w:color w:val="000000"/>
                <w:sz w:val="18"/>
                <w:szCs w:val="18"/>
              </w:rPr>
            </w:pPr>
            <w:r w:rsidRPr="00660482">
              <w:rPr>
                <w:color w:val="000000"/>
                <w:sz w:val="18"/>
                <w:szCs w:val="18"/>
              </w:rPr>
              <w:t>TRNO</w:t>
            </w:r>
          </w:p>
        </w:tc>
        <w:tc>
          <w:tcPr>
            <w:tcW w:w="2837" w:type="pct"/>
            <w:tcBorders>
              <w:top w:val="nil"/>
              <w:left w:val="nil"/>
              <w:bottom w:val="single" w:sz="4" w:space="0" w:color="auto"/>
              <w:right w:val="single" w:sz="4" w:space="0" w:color="auto"/>
            </w:tcBorders>
            <w:noWrap/>
            <w:vAlign w:val="bottom"/>
            <w:hideMark/>
          </w:tcPr>
          <w:p w14:paraId="53280356" w14:textId="77777777" w:rsidR="007D3934" w:rsidRPr="00660482" w:rsidRDefault="007D3934" w:rsidP="00AB016E">
            <w:pPr>
              <w:rPr>
                <w:color w:val="000000"/>
                <w:sz w:val="18"/>
                <w:szCs w:val="18"/>
              </w:rPr>
            </w:pPr>
            <w:r w:rsidRPr="00660482">
              <w:rPr>
                <w:color w:val="000000"/>
                <w:sz w:val="18"/>
                <w:szCs w:val="18"/>
              </w:rPr>
              <w:t>Terreno Realty Corporation (NYSE:TRNO)</w:t>
            </w:r>
          </w:p>
        </w:tc>
        <w:tc>
          <w:tcPr>
            <w:tcW w:w="1659" w:type="pct"/>
            <w:tcBorders>
              <w:top w:val="nil"/>
              <w:left w:val="nil"/>
              <w:bottom w:val="single" w:sz="4" w:space="0" w:color="auto"/>
              <w:right w:val="single" w:sz="4" w:space="0" w:color="auto"/>
            </w:tcBorders>
            <w:noWrap/>
            <w:vAlign w:val="bottom"/>
            <w:hideMark/>
          </w:tcPr>
          <w:p w14:paraId="4114CAB7" w14:textId="77777777" w:rsidR="007D3934" w:rsidRPr="00660482" w:rsidRDefault="007D3934" w:rsidP="00AB016E">
            <w:pPr>
              <w:rPr>
                <w:color w:val="000000"/>
                <w:sz w:val="18"/>
                <w:szCs w:val="18"/>
              </w:rPr>
            </w:pPr>
            <w:r w:rsidRPr="00660482">
              <w:rPr>
                <w:color w:val="000000"/>
                <w:sz w:val="18"/>
                <w:szCs w:val="18"/>
              </w:rPr>
              <w:t>Industrial REITs (Primary)</w:t>
            </w:r>
          </w:p>
        </w:tc>
      </w:tr>
      <w:tr w:rsidR="007D3934" w:rsidRPr="00660482" w14:paraId="0ABB0D2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C0BDE08" w14:textId="77777777" w:rsidR="007D3934" w:rsidRPr="00660482" w:rsidRDefault="007D3934" w:rsidP="00AB016E">
            <w:pPr>
              <w:rPr>
                <w:color w:val="000000"/>
                <w:sz w:val="18"/>
                <w:szCs w:val="18"/>
              </w:rPr>
            </w:pPr>
            <w:r w:rsidRPr="00660482">
              <w:rPr>
                <w:color w:val="000000"/>
                <w:sz w:val="18"/>
                <w:szCs w:val="18"/>
              </w:rPr>
              <w:t>ARE</w:t>
            </w:r>
          </w:p>
        </w:tc>
        <w:tc>
          <w:tcPr>
            <w:tcW w:w="2837" w:type="pct"/>
            <w:tcBorders>
              <w:top w:val="nil"/>
              <w:left w:val="nil"/>
              <w:bottom w:val="single" w:sz="4" w:space="0" w:color="auto"/>
              <w:right w:val="single" w:sz="4" w:space="0" w:color="auto"/>
            </w:tcBorders>
            <w:noWrap/>
            <w:vAlign w:val="bottom"/>
            <w:hideMark/>
          </w:tcPr>
          <w:p w14:paraId="0E519EAB" w14:textId="77777777" w:rsidR="007D3934" w:rsidRPr="00660482" w:rsidRDefault="007D3934" w:rsidP="00AB016E">
            <w:pPr>
              <w:rPr>
                <w:color w:val="000000"/>
                <w:sz w:val="18"/>
                <w:szCs w:val="18"/>
              </w:rPr>
            </w:pPr>
            <w:r w:rsidRPr="00660482">
              <w:rPr>
                <w:color w:val="000000"/>
                <w:sz w:val="18"/>
                <w:szCs w:val="18"/>
              </w:rPr>
              <w:t>Alexandria Real Estate Equities, Inc. (NYSE:ARE)</w:t>
            </w:r>
          </w:p>
        </w:tc>
        <w:tc>
          <w:tcPr>
            <w:tcW w:w="1659" w:type="pct"/>
            <w:tcBorders>
              <w:top w:val="nil"/>
              <w:left w:val="nil"/>
              <w:bottom w:val="single" w:sz="4" w:space="0" w:color="auto"/>
              <w:right w:val="single" w:sz="4" w:space="0" w:color="auto"/>
            </w:tcBorders>
            <w:noWrap/>
            <w:vAlign w:val="bottom"/>
            <w:hideMark/>
          </w:tcPr>
          <w:p w14:paraId="6C40BDB7"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2DD6D3B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4F3FB10" w14:textId="77777777" w:rsidR="007D3934" w:rsidRPr="00660482" w:rsidRDefault="007D3934" w:rsidP="00AB016E">
            <w:pPr>
              <w:rPr>
                <w:color w:val="000000"/>
                <w:sz w:val="18"/>
                <w:szCs w:val="18"/>
              </w:rPr>
            </w:pPr>
            <w:r w:rsidRPr="00660482">
              <w:rPr>
                <w:color w:val="000000"/>
                <w:sz w:val="18"/>
                <w:szCs w:val="18"/>
              </w:rPr>
              <w:t>BDN</w:t>
            </w:r>
          </w:p>
        </w:tc>
        <w:tc>
          <w:tcPr>
            <w:tcW w:w="2837" w:type="pct"/>
            <w:tcBorders>
              <w:top w:val="nil"/>
              <w:left w:val="nil"/>
              <w:bottom w:val="single" w:sz="4" w:space="0" w:color="auto"/>
              <w:right w:val="single" w:sz="4" w:space="0" w:color="auto"/>
            </w:tcBorders>
            <w:noWrap/>
            <w:vAlign w:val="bottom"/>
            <w:hideMark/>
          </w:tcPr>
          <w:p w14:paraId="5EF37E9C" w14:textId="77777777" w:rsidR="007D3934" w:rsidRPr="00660482" w:rsidRDefault="007D3934" w:rsidP="00AB016E">
            <w:pPr>
              <w:rPr>
                <w:color w:val="000000"/>
                <w:sz w:val="18"/>
                <w:szCs w:val="18"/>
              </w:rPr>
            </w:pPr>
            <w:r w:rsidRPr="00660482">
              <w:rPr>
                <w:color w:val="000000"/>
                <w:sz w:val="18"/>
                <w:szCs w:val="18"/>
              </w:rPr>
              <w:t>Brandywine Realty Trust (NYSE:BDN)</w:t>
            </w:r>
          </w:p>
        </w:tc>
        <w:tc>
          <w:tcPr>
            <w:tcW w:w="1659" w:type="pct"/>
            <w:tcBorders>
              <w:top w:val="nil"/>
              <w:left w:val="nil"/>
              <w:bottom w:val="single" w:sz="4" w:space="0" w:color="auto"/>
              <w:right w:val="single" w:sz="4" w:space="0" w:color="auto"/>
            </w:tcBorders>
            <w:noWrap/>
            <w:vAlign w:val="bottom"/>
            <w:hideMark/>
          </w:tcPr>
          <w:p w14:paraId="3E4D12CB"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3487678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584980E" w14:textId="77777777" w:rsidR="007D3934" w:rsidRPr="00660482" w:rsidRDefault="007D3934" w:rsidP="00AB016E">
            <w:pPr>
              <w:rPr>
                <w:color w:val="000000"/>
                <w:sz w:val="18"/>
                <w:szCs w:val="18"/>
              </w:rPr>
            </w:pPr>
            <w:r w:rsidRPr="00660482">
              <w:rPr>
                <w:color w:val="000000"/>
                <w:sz w:val="18"/>
                <w:szCs w:val="18"/>
              </w:rPr>
              <w:t>BXP</w:t>
            </w:r>
          </w:p>
        </w:tc>
        <w:tc>
          <w:tcPr>
            <w:tcW w:w="2837" w:type="pct"/>
            <w:tcBorders>
              <w:top w:val="nil"/>
              <w:left w:val="nil"/>
              <w:bottom w:val="single" w:sz="4" w:space="0" w:color="auto"/>
              <w:right w:val="single" w:sz="4" w:space="0" w:color="auto"/>
            </w:tcBorders>
            <w:noWrap/>
            <w:vAlign w:val="bottom"/>
            <w:hideMark/>
          </w:tcPr>
          <w:p w14:paraId="6ACA07A2" w14:textId="77777777" w:rsidR="007D3934" w:rsidRPr="00660482" w:rsidRDefault="007D3934" w:rsidP="00AB016E">
            <w:pPr>
              <w:rPr>
                <w:color w:val="000000"/>
                <w:sz w:val="18"/>
                <w:szCs w:val="18"/>
              </w:rPr>
            </w:pPr>
            <w:r w:rsidRPr="00660482">
              <w:rPr>
                <w:color w:val="000000"/>
                <w:sz w:val="18"/>
                <w:szCs w:val="18"/>
              </w:rPr>
              <w:t>Boston Properties, Inc. (NYSE:BXP)</w:t>
            </w:r>
          </w:p>
        </w:tc>
        <w:tc>
          <w:tcPr>
            <w:tcW w:w="1659" w:type="pct"/>
            <w:tcBorders>
              <w:top w:val="nil"/>
              <w:left w:val="nil"/>
              <w:bottom w:val="single" w:sz="4" w:space="0" w:color="auto"/>
              <w:right w:val="single" w:sz="4" w:space="0" w:color="auto"/>
            </w:tcBorders>
            <w:noWrap/>
            <w:vAlign w:val="bottom"/>
            <w:hideMark/>
          </w:tcPr>
          <w:p w14:paraId="6393B4AE"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1906180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99B8A99" w14:textId="77777777" w:rsidR="007D3934" w:rsidRPr="00660482" w:rsidRDefault="007D3934" w:rsidP="00AB016E">
            <w:pPr>
              <w:rPr>
                <w:color w:val="000000"/>
                <w:sz w:val="18"/>
                <w:szCs w:val="18"/>
              </w:rPr>
            </w:pPr>
            <w:r w:rsidRPr="00660482">
              <w:rPr>
                <w:color w:val="000000"/>
                <w:sz w:val="18"/>
                <w:szCs w:val="18"/>
              </w:rPr>
              <w:t>CDP</w:t>
            </w:r>
          </w:p>
        </w:tc>
        <w:tc>
          <w:tcPr>
            <w:tcW w:w="2837" w:type="pct"/>
            <w:tcBorders>
              <w:top w:val="nil"/>
              <w:left w:val="nil"/>
              <w:bottom w:val="single" w:sz="4" w:space="0" w:color="auto"/>
              <w:right w:val="single" w:sz="4" w:space="0" w:color="auto"/>
            </w:tcBorders>
            <w:noWrap/>
            <w:vAlign w:val="bottom"/>
            <w:hideMark/>
          </w:tcPr>
          <w:p w14:paraId="6F20E047" w14:textId="77777777" w:rsidR="007D3934" w:rsidRPr="00660482" w:rsidRDefault="007D3934" w:rsidP="00AB016E">
            <w:pPr>
              <w:rPr>
                <w:color w:val="000000"/>
                <w:sz w:val="18"/>
                <w:szCs w:val="18"/>
              </w:rPr>
            </w:pPr>
            <w:r w:rsidRPr="00660482">
              <w:rPr>
                <w:color w:val="000000"/>
                <w:sz w:val="18"/>
                <w:szCs w:val="18"/>
              </w:rPr>
              <w:t>COPT Defense Properties (NYSE:CDP)</w:t>
            </w:r>
          </w:p>
        </w:tc>
        <w:tc>
          <w:tcPr>
            <w:tcW w:w="1659" w:type="pct"/>
            <w:tcBorders>
              <w:top w:val="nil"/>
              <w:left w:val="nil"/>
              <w:bottom w:val="single" w:sz="4" w:space="0" w:color="auto"/>
              <w:right w:val="single" w:sz="4" w:space="0" w:color="auto"/>
            </w:tcBorders>
            <w:noWrap/>
            <w:vAlign w:val="bottom"/>
            <w:hideMark/>
          </w:tcPr>
          <w:p w14:paraId="5B48F5AF"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70EA00F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9D3F1FA" w14:textId="77777777" w:rsidR="007D3934" w:rsidRPr="00660482" w:rsidRDefault="007D3934" w:rsidP="00AB016E">
            <w:pPr>
              <w:rPr>
                <w:color w:val="000000"/>
                <w:sz w:val="18"/>
                <w:szCs w:val="18"/>
              </w:rPr>
            </w:pPr>
            <w:r w:rsidRPr="00660482">
              <w:rPr>
                <w:color w:val="000000"/>
                <w:sz w:val="18"/>
                <w:szCs w:val="18"/>
              </w:rPr>
              <w:t>CIO</w:t>
            </w:r>
          </w:p>
        </w:tc>
        <w:tc>
          <w:tcPr>
            <w:tcW w:w="2837" w:type="pct"/>
            <w:tcBorders>
              <w:top w:val="nil"/>
              <w:left w:val="nil"/>
              <w:bottom w:val="single" w:sz="4" w:space="0" w:color="auto"/>
              <w:right w:val="single" w:sz="4" w:space="0" w:color="auto"/>
            </w:tcBorders>
            <w:noWrap/>
            <w:vAlign w:val="bottom"/>
            <w:hideMark/>
          </w:tcPr>
          <w:p w14:paraId="72F6B0D9" w14:textId="77777777" w:rsidR="007D3934" w:rsidRPr="00660482" w:rsidRDefault="007D3934" w:rsidP="00AB016E">
            <w:pPr>
              <w:rPr>
                <w:color w:val="000000"/>
                <w:sz w:val="18"/>
                <w:szCs w:val="18"/>
              </w:rPr>
            </w:pPr>
            <w:r w:rsidRPr="00660482">
              <w:rPr>
                <w:color w:val="000000"/>
                <w:sz w:val="18"/>
                <w:szCs w:val="18"/>
              </w:rPr>
              <w:t>City Office REIT, Inc. (NYSE:CIO)</w:t>
            </w:r>
          </w:p>
        </w:tc>
        <w:tc>
          <w:tcPr>
            <w:tcW w:w="1659" w:type="pct"/>
            <w:tcBorders>
              <w:top w:val="nil"/>
              <w:left w:val="nil"/>
              <w:bottom w:val="single" w:sz="4" w:space="0" w:color="auto"/>
              <w:right w:val="single" w:sz="4" w:space="0" w:color="auto"/>
            </w:tcBorders>
            <w:noWrap/>
            <w:vAlign w:val="bottom"/>
            <w:hideMark/>
          </w:tcPr>
          <w:p w14:paraId="7CEB7B66"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3DEEDB7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C333EB8" w14:textId="77777777" w:rsidR="007D3934" w:rsidRPr="00660482" w:rsidRDefault="007D3934" w:rsidP="00AB016E">
            <w:pPr>
              <w:rPr>
                <w:color w:val="000000"/>
                <w:sz w:val="18"/>
                <w:szCs w:val="18"/>
              </w:rPr>
            </w:pPr>
            <w:r w:rsidRPr="00660482">
              <w:rPr>
                <w:color w:val="000000"/>
                <w:sz w:val="18"/>
                <w:szCs w:val="18"/>
              </w:rPr>
              <w:t>CMCT</w:t>
            </w:r>
          </w:p>
        </w:tc>
        <w:tc>
          <w:tcPr>
            <w:tcW w:w="2837" w:type="pct"/>
            <w:tcBorders>
              <w:top w:val="nil"/>
              <w:left w:val="nil"/>
              <w:bottom w:val="single" w:sz="4" w:space="0" w:color="auto"/>
              <w:right w:val="single" w:sz="4" w:space="0" w:color="auto"/>
            </w:tcBorders>
            <w:noWrap/>
            <w:vAlign w:val="bottom"/>
            <w:hideMark/>
          </w:tcPr>
          <w:p w14:paraId="34FA0DF5" w14:textId="77777777" w:rsidR="007D3934" w:rsidRPr="00660482" w:rsidRDefault="007D3934" w:rsidP="00AB016E">
            <w:pPr>
              <w:rPr>
                <w:color w:val="000000"/>
                <w:sz w:val="18"/>
                <w:szCs w:val="18"/>
              </w:rPr>
            </w:pPr>
            <w:r w:rsidRPr="00660482">
              <w:rPr>
                <w:color w:val="000000"/>
                <w:sz w:val="18"/>
                <w:szCs w:val="18"/>
              </w:rPr>
              <w:t>Creative Media &amp; Community Trust Corporation (NasdaqGM:CMCT)</w:t>
            </w:r>
          </w:p>
        </w:tc>
        <w:tc>
          <w:tcPr>
            <w:tcW w:w="1659" w:type="pct"/>
            <w:tcBorders>
              <w:top w:val="nil"/>
              <w:left w:val="nil"/>
              <w:bottom w:val="single" w:sz="4" w:space="0" w:color="auto"/>
              <w:right w:val="single" w:sz="4" w:space="0" w:color="auto"/>
            </w:tcBorders>
            <w:noWrap/>
            <w:vAlign w:val="bottom"/>
            <w:hideMark/>
          </w:tcPr>
          <w:p w14:paraId="77F6462B"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7B2273D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F66BAE7" w14:textId="77777777" w:rsidR="007D3934" w:rsidRPr="00660482" w:rsidRDefault="007D3934" w:rsidP="00AB016E">
            <w:pPr>
              <w:rPr>
                <w:color w:val="000000"/>
                <w:sz w:val="18"/>
                <w:szCs w:val="18"/>
              </w:rPr>
            </w:pPr>
            <w:r w:rsidRPr="00660482">
              <w:rPr>
                <w:color w:val="000000"/>
                <w:sz w:val="18"/>
                <w:szCs w:val="18"/>
              </w:rPr>
              <w:t>CUZ</w:t>
            </w:r>
          </w:p>
        </w:tc>
        <w:tc>
          <w:tcPr>
            <w:tcW w:w="2837" w:type="pct"/>
            <w:tcBorders>
              <w:top w:val="nil"/>
              <w:left w:val="nil"/>
              <w:bottom w:val="single" w:sz="4" w:space="0" w:color="auto"/>
              <w:right w:val="single" w:sz="4" w:space="0" w:color="auto"/>
            </w:tcBorders>
            <w:noWrap/>
            <w:vAlign w:val="bottom"/>
            <w:hideMark/>
          </w:tcPr>
          <w:p w14:paraId="731CF2C0" w14:textId="77777777" w:rsidR="007D3934" w:rsidRPr="00660482" w:rsidRDefault="007D3934" w:rsidP="00AB016E">
            <w:pPr>
              <w:rPr>
                <w:color w:val="000000"/>
                <w:sz w:val="18"/>
                <w:szCs w:val="18"/>
              </w:rPr>
            </w:pPr>
            <w:r w:rsidRPr="00660482">
              <w:rPr>
                <w:color w:val="000000"/>
                <w:sz w:val="18"/>
                <w:szCs w:val="18"/>
              </w:rPr>
              <w:t>Cousins Properties Incorporated (NYSE:CUZ)</w:t>
            </w:r>
          </w:p>
        </w:tc>
        <w:tc>
          <w:tcPr>
            <w:tcW w:w="1659" w:type="pct"/>
            <w:tcBorders>
              <w:top w:val="nil"/>
              <w:left w:val="nil"/>
              <w:bottom w:val="single" w:sz="4" w:space="0" w:color="auto"/>
              <w:right w:val="single" w:sz="4" w:space="0" w:color="auto"/>
            </w:tcBorders>
            <w:noWrap/>
            <w:vAlign w:val="bottom"/>
            <w:hideMark/>
          </w:tcPr>
          <w:p w14:paraId="3899B0DA"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74AEB7C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3C2AE02" w14:textId="77777777" w:rsidR="007D3934" w:rsidRPr="00660482" w:rsidRDefault="007D3934" w:rsidP="00AB016E">
            <w:pPr>
              <w:rPr>
                <w:color w:val="000000"/>
                <w:sz w:val="18"/>
                <w:szCs w:val="18"/>
              </w:rPr>
            </w:pPr>
            <w:r w:rsidRPr="00660482">
              <w:rPr>
                <w:color w:val="000000"/>
                <w:sz w:val="18"/>
                <w:szCs w:val="18"/>
              </w:rPr>
              <w:t>DEA</w:t>
            </w:r>
          </w:p>
        </w:tc>
        <w:tc>
          <w:tcPr>
            <w:tcW w:w="2837" w:type="pct"/>
            <w:tcBorders>
              <w:top w:val="nil"/>
              <w:left w:val="nil"/>
              <w:bottom w:val="single" w:sz="4" w:space="0" w:color="auto"/>
              <w:right w:val="single" w:sz="4" w:space="0" w:color="auto"/>
            </w:tcBorders>
            <w:noWrap/>
            <w:vAlign w:val="bottom"/>
            <w:hideMark/>
          </w:tcPr>
          <w:p w14:paraId="0E9A77D8" w14:textId="77777777" w:rsidR="007D3934" w:rsidRPr="00660482" w:rsidRDefault="007D3934" w:rsidP="00AB016E">
            <w:pPr>
              <w:rPr>
                <w:color w:val="000000"/>
                <w:sz w:val="18"/>
                <w:szCs w:val="18"/>
              </w:rPr>
            </w:pPr>
            <w:r w:rsidRPr="00660482">
              <w:rPr>
                <w:color w:val="000000"/>
                <w:sz w:val="18"/>
                <w:szCs w:val="18"/>
              </w:rPr>
              <w:t>Easterly Government Properties, Inc. (NYSE:DEA)</w:t>
            </w:r>
          </w:p>
        </w:tc>
        <w:tc>
          <w:tcPr>
            <w:tcW w:w="1659" w:type="pct"/>
            <w:tcBorders>
              <w:top w:val="nil"/>
              <w:left w:val="nil"/>
              <w:bottom w:val="single" w:sz="4" w:space="0" w:color="auto"/>
              <w:right w:val="single" w:sz="4" w:space="0" w:color="auto"/>
            </w:tcBorders>
            <w:noWrap/>
            <w:vAlign w:val="bottom"/>
            <w:hideMark/>
          </w:tcPr>
          <w:p w14:paraId="56F44959"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5FA1A74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DCDC621" w14:textId="77777777" w:rsidR="007D3934" w:rsidRPr="00660482" w:rsidRDefault="007D3934" w:rsidP="00AB016E">
            <w:pPr>
              <w:rPr>
                <w:color w:val="000000"/>
                <w:sz w:val="18"/>
                <w:szCs w:val="18"/>
              </w:rPr>
            </w:pPr>
            <w:r w:rsidRPr="00660482">
              <w:rPr>
                <w:color w:val="000000"/>
                <w:sz w:val="18"/>
                <w:szCs w:val="18"/>
              </w:rPr>
              <w:t>DEI</w:t>
            </w:r>
          </w:p>
        </w:tc>
        <w:tc>
          <w:tcPr>
            <w:tcW w:w="2837" w:type="pct"/>
            <w:tcBorders>
              <w:top w:val="nil"/>
              <w:left w:val="nil"/>
              <w:bottom w:val="single" w:sz="4" w:space="0" w:color="auto"/>
              <w:right w:val="single" w:sz="4" w:space="0" w:color="auto"/>
            </w:tcBorders>
            <w:noWrap/>
            <w:vAlign w:val="bottom"/>
            <w:hideMark/>
          </w:tcPr>
          <w:p w14:paraId="0A36C2AC" w14:textId="77777777" w:rsidR="007D3934" w:rsidRPr="00660482" w:rsidRDefault="007D3934" w:rsidP="00AB016E">
            <w:pPr>
              <w:rPr>
                <w:color w:val="000000"/>
                <w:sz w:val="18"/>
                <w:szCs w:val="18"/>
              </w:rPr>
            </w:pPr>
            <w:r w:rsidRPr="00660482">
              <w:rPr>
                <w:color w:val="000000"/>
                <w:sz w:val="18"/>
                <w:szCs w:val="18"/>
              </w:rPr>
              <w:t>Douglas Emmett, Inc. (NYSE:DEI)</w:t>
            </w:r>
          </w:p>
        </w:tc>
        <w:tc>
          <w:tcPr>
            <w:tcW w:w="1659" w:type="pct"/>
            <w:tcBorders>
              <w:top w:val="nil"/>
              <w:left w:val="nil"/>
              <w:bottom w:val="single" w:sz="4" w:space="0" w:color="auto"/>
              <w:right w:val="single" w:sz="4" w:space="0" w:color="auto"/>
            </w:tcBorders>
            <w:noWrap/>
            <w:vAlign w:val="bottom"/>
            <w:hideMark/>
          </w:tcPr>
          <w:p w14:paraId="71D6FC80"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2142431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79BDE8F" w14:textId="77777777" w:rsidR="007D3934" w:rsidRPr="00660482" w:rsidRDefault="007D3934" w:rsidP="00AB016E">
            <w:pPr>
              <w:rPr>
                <w:color w:val="000000"/>
                <w:sz w:val="18"/>
                <w:szCs w:val="18"/>
              </w:rPr>
            </w:pPr>
            <w:r w:rsidRPr="00660482">
              <w:rPr>
                <w:color w:val="000000"/>
                <w:sz w:val="18"/>
                <w:szCs w:val="18"/>
              </w:rPr>
              <w:t>EQC</w:t>
            </w:r>
          </w:p>
        </w:tc>
        <w:tc>
          <w:tcPr>
            <w:tcW w:w="2837" w:type="pct"/>
            <w:tcBorders>
              <w:top w:val="nil"/>
              <w:left w:val="nil"/>
              <w:bottom w:val="single" w:sz="4" w:space="0" w:color="auto"/>
              <w:right w:val="single" w:sz="4" w:space="0" w:color="auto"/>
            </w:tcBorders>
            <w:noWrap/>
            <w:vAlign w:val="bottom"/>
            <w:hideMark/>
          </w:tcPr>
          <w:p w14:paraId="11B5E686" w14:textId="77777777" w:rsidR="007D3934" w:rsidRPr="00660482" w:rsidRDefault="007D3934" w:rsidP="00AB016E">
            <w:pPr>
              <w:rPr>
                <w:color w:val="000000"/>
                <w:sz w:val="18"/>
                <w:szCs w:val="18"/>
              </w:rPr>
            </w:pPr>
            <w:r w:rsidRPr="00660482">
              <w:rPr>
                <w:color w:val="000000"/>
                <w:sz w:val="18"/>
                <w:szCs w:val="18"/>
              </w:rPr>
              <w:t>Equity Commonwealth (NYSE:EQC)</w:t>
            </w:r>
          </w:p>
        </w:tc>
        <w:tc>
          <w:tcPr>
            <w:tcW w:w="1659" w:type="pct"/>
            <w:tcBorders>
              <w:top w:val="nil"/>
              <w:left w:val="nil"/>
              <w:bottom w:val="single" w:sz="4" w:space="0" w:color="auto"/>
              <w:right w:val="single" w:sz="4" w:space="0" w:color="auto"/>
            </w:tcBorders>
            <w:noWrap/>
            <w:vAlign w:val="bottom"/>
            <w:hideMark/>
          </w:tcPr>
          <w:p w14:paraId="0A595C9A"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16E091F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6144CE2" w14:textId="77777777" w:rsidR="007D3934" w:rsidRPr="00660482" w:rsidRDefault="007D3934" w:rsidP="00AB016E">
            <w:pPr>
              <w:rPr>
                <w:color w:val="000000"/>
                <w:sz w:val="18"/>
                <w:szCs w:val="18"/>
              </w:rPr>
            </w:pPr>
            <w:r w:rsidRPr="00660482">
              <w:rPr>
                <w:color w:val="000000"/>
                <w:sz w:val="18"/>
                <w:szCs w:val="18"/>
              </w:rPr>
              <w:t>FSP</w:t>
            </w:r>
          </w:p>
        </w:tc>
        <w:tc>
          <w:tcPr>
            <w:tcW w:w="2837" w:type="pct"/>
            <w:tcBorders>
              <w:top w:val="nil"/>
              <w:left w:val="nil"/>
              <w:bottom w:val="single" w:sz="4" w:space="0" w:color="auto"/>
              <w:right w:val="single" w:sz="4" w:space="0" w:color="auto"/>
            </w:tcBorders>
            <w:noWrap/>
            <w:vAlign w:val="bottom"/>
            <w:hideMark/>
          </w:tcPr>
          <w:p w14:paraId="53D61BD2" w14:textId="77777777" w:rsidR="007D3934" w:rsidRPr="00660482" w:rsidRDefault="007D3934" w:rsidP="00AB016E">
            <w:pPr>
              <w:rPr>
                <w:color w:val="000000"/>
                <w:sz w:val="18"/>
                <w:szCs w:val="18"/>
              </w:rPr>
            </w:pPr>
            <w:r w:rsidRPr="00660482">
              <w:rPr>
                <w:color w:val="000000"/>
                <w:sz w:val="18"/>
                <w:szCs w:val="18"/>
              </w:rPr>
              <w:t>Franklin Street Properties Corp. (NYSEAM:FSP)</w:t>
            </w:r>
          </w:p>
        </w:tc>
        <w:tc>
          <w:tcPr>
            <w:tcW w:w="1659" w:type="pct"/>
            <w:tcBorders>
              <w:top w:val="nil"/>
              <w:left w:val="nil"/>
              <w:bottom w:val="single" w:sz="4" w:space="0" w:color="auto"/>
              <w:right w:val="single" w:sz="4" w:space="0" w:color="auto"/>
            </w:tcBorders>
            <w:noWrap/>
            <w:vAlign w:val="bottom"/>
            <w:hideMark/>
          </w:tcPr>
          <w:p w14:paraId="57F61716"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0C73D72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04D7F6F" w14:textId="77777777" w:rsidR="007D3934" w:rsidRPr="00660482" w:rsidRDefault="007D3934" w:rsidP="00AB016E">
            <w:pPr>
              <w:rPr>
                <w:color w:val="000000"/>
                <w:sz w:val="18"/>
                <w:szCs w:val="18"/>
              </w:rPr>
            </w:pPr>
            <w:r w:rsidRPr="00660482">
              <w:rPr>
                <w:color w:val="000000"/>
                <w:sz w:val="18"/>
                <w:szCs w:val="18"/>
              </w:rPr>
              <w:t>HIW</w:t>
            </w:r>
          </w:p>
        </w:tc>
        <w:tc>
          <w:tcPr>
            <w:tcW w:w="2837" w:type="pct"/>
            <w:tcBorders>
              <w:top w:val="nil"/>
              <w:left w:val="nil"/>
              <w:bottom w:val="single" w:sz="4" w:space="0" w:color="auto"/>
              <w:right w:val="single" w:sz="4" w:space="0" w:color="auto"/>
            </w:tcBorders>
            <w:noWrap/>
            <w:vAlign w:val="bottom"/>
            <w:hideMark/>
          </w:tcPr>
          <w:p w14:paraId="781EAE12" w14:textId="77777777" w:rsidR="007D3934" w:rsidRPr="00660482" w:rsidRDefault="007D3934" w:rsidP="00AB016E">
            <w:pPr>
              <w:rPr>
                <w:color w:val="000000"/>
                <w:sz w:val="18"/>
                <w:szCs w:val="18"/>
              </w:rPr>
            </w:pPr>
            <w:r w:rsidRPr="00660482">
              <w:rPr>
                <w:color w:val="000000"/>
                <w:sz w:val="18"/>
                <w:szCs w:val="18"/>
              </w:rPr>
              <w:t>Highwoods Properties, Inc. (NYSE:HIW)</w:t>
            </w:r>
          </w:p>
        </w:tc>
        <w:tc>
          <w:tcPr>
            <w:tcW w:w="1659" w:type="pct"/>
            <w:tcBorders>
              <w:top w:val="nil"/>
              <w:left w:val="nil"/>
              <w:bottom w:val="single" w:sz="4" w:space="0" w:color="auto"/>
              <w:right w:val="single" w:sz="4" w:space="0" w:color="auto"/>
            </w:tcBorders>
            <w:noWrap/>
            <w:vAlign w:val="bottom"/>
            <w:hideMark/>
          </w:tcPr>
          <w:p w14:paraId="4C08E632"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24B6E97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3125FA4" w14:textId="77777777" w:rsidR="007D3934" w:rsidRPr="00660482" w:rsidRDefault="007D3934" w:rsidP="00AB016E">
            <w:pPr>
              <w:rPr>
                <w:color w:val="000000"/>
                <w:sz w:val="18"/>
                <w:szCs w:val="18"/>
              </w:rPr>
            </w:pPr>
            <w:r w:rsidRPr="00660482">
              <w:rPr>
                <w:color w:val="000000"/>
                <w:sz w:val="18"/>
                <w:szCs w:val="18"/>
              </w:rPr>
              <w:t>HPP</w:t>
            </w:r>
          </w:p>
        </w:tc>
        <w:tc>
          <w:tcPr>
            <w:tcW w:w="2837" w:type="pct"/>
            <w:tcBorders>
              <w:top w:val="nil"/>
              <w:left w:val="nil"/>
              <w:bottom w:val="single" w:sz="4" w:space="0" w:color="auto"/>
              <w:right w:val="single" w:sz="4" w:space="0" w:color="auto"/>
            </w:tcBorders>
            <w:noWrap/>
            <w:vAlign w:val="bottom"/>
            <w:hideMark/>
          </w:tcPr>
          <w:p w14:paraId="02EBFA50" w14:textId="77777777" w:rsidR="007D3934" w:rsidRPr="00660482" w:rsidRDefault="007D3934" w:rsidP="00AB016E">
            <w:pPr>
              <w:rPr>
                <w:color w:val="000000"/>
                <w:sz w:val="18"/>
                <w:szCs w:val="18"/>
              </w:rPr>
            </w:pPr>
            <w:r w:rsidRPr="00660482">
              <w:rPr>
                <w:color w:val="000000"/>
                <w:sz w:val="18"/>
                <w:szCs w:val="18"/>
              </w:rPr>
              <w:t>Hudson Pacific Properties, Inc. (NYSE:HPP)</w:t>
            </w:r>
          </w:p>
        </w:tc>
        <w:tc>
          <w:tcPr>
            <w:tcW w:w="1659" w:type="pct"/>
            <w:tcBorders>
              <w:top w:val="nil"/>
              <w:left w:val="nil"/>
              <w:bottom w:val="single" w:sz="4" w:space="0" w:color="auto"/>
              <w:right w:val="single" w:sz="4" w:space="0" w:color="auto"/>
            </w:tcBorders>
            <w:noWrap/>
            <w:vAlign w:val="bottom"/>
            <w:hideMark/>
          </w:tcPr>
          <w:p w14:paraId="31EE7979"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3F02B55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826F776" w14:textId="77777777" w:rsidR="007D3934" w:rsidRPr="00660482" w:rsidRDefault="007D3934" w:rsidP="00AB016E">
            <w:pPr>
              <w:rPr>
                <w:color w:val="000000"/>
                <w:sz w:val="18"/>
                <w:szCs w:val="18"/>
              </w:rPr>
            </w:pPr>
            <w:r w:rsidRPr="00660482">
              <w:rPr>
                <w:color w:val="000000"/>
                <w:sz w:val="18"/>
                <w:szCs w:val="18"/>
              </w:rPr>
              <w:t>JBGS</w:t>
            </w:r>
          </w:p>
        </w:tc>
        <w:tc>
          <w:tcPr>
            <w:tcW w:w="2837" w:type="pct"/>
            <w:tcBorders>
              <w:top w:val="nil"/>
              <w:left w:val="nil"/>
              <w:bottom w:val="single" w:sz="4" w:space="0" w:color="auto"/>
              <w:right w:val="single" w:sz="4" w:space="0" w:color="auto"/>
            </w:tcBorders>
            <w:noWrap/>
            <w:vAlign w:val="bottom"/>
            <w:hideMark/>
          </w:tcPr>
          <w:p w14:paraId="29F0280F" w14:textId="77777777" w:rsidR="007D3934" w:rsidRPr="00660482" w:rsidRDefault="007D3934" w:rsidP="00AB016E">
            <w:pPr>
              <w:rPr>
                <w:color w:val="000000"/>
                <w:sz w:val="18"/>
                <w:szCs w:val="18"/>
              </w:rPr>
            </w:pPr>
            <w:r w:rsidRPr="00660482">
              <w:rPr>
                <w:color w:val="000000"/>
                <w:sz w:val="18"/>
                <w:szCs w:val="18"/>
              </w:rPr>
              <w:t>JBG SMITH Properties (NYSE:JBGS)</w:t>
            </w:r>
          </w:p>
        </w:tc>
        <w:tc>
          <w:tcPr>
            <w:tcW w:w="1659" w:type="pct"/>
            <w:tcBorders>
              <w:top w:val="nil"/>
              <w:left w:val="nil"/>
              <w:bottom w:val="single" w:sz="4" w:space="0" w:color="auto"/>
              <w:right w:val="single" w:sz="4" w:space="0" w:color="auto"/>
            </w:tcBorders>
            <w:noWrap/>
            <w:vAlign w:val="bottom"/>
            <w:hideMark/>
          </w:tcPr>
          <w:p w14:paraId="7D3D9825"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7B6CBBE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5F35B50" w14:textId="77777777" w:rsidR="007D3934" w:rsidRPr="00660482" w:rsidRDefault="007D3934" w:rsidP="00AB016E">
            <w:pPr>
              <w:rPr>
                <w:color w:val="000000"/>
                <w:sz w:val="18"/>
                <w:szCs w:val="18"/>
              </w:rPr>
            </w:pPr>
            <w:r w:rsidRPr="00660482">
              <w:rPr>
                <w:color w:val="000000"/>
                <w:sz w:val="18"/>
                <w:szCs w:val="18"/>
              </w:rPr>
              <w:t>KRC</w:t>
            </w:r>
          </w:p>
        </w:tc>
        <w:tc>
          <w:tcPr>
            <w:tcW w:w="2837" w:type="pct"/>
            <w:tcBorders>
              <w:top w:val="nil"/>
              <w:left w:val="nil"/>
              <w:bottom w:val="single" w:sz="4" w:space="0" w:color="auto"/>
              <w:right w:val="single" w:sz="4" w:space="0" w:color="auto"/>
            </w:tcBorders>
            <w:noWrap/>
            <w:vAlign w:val="bottom"/>
            <w:hideMark/>
          </w:tcPr>
          <w:p w14:paraId="4402F94F" w14:textId="77777777" w:rsidR="007D3934" w:rsidRPr="00660482" w:rsidRDefault="007D3934" w:rsidP="00AB016E">
            <w:pPr>
              <w:rPr>
                <w:color w:val="000000"/>
                <w:sz w:val="18"/>
                <w:szCs w:val="18"/>
              </w:rPr>
            </w:pPr>
            <w:r w:rsidRPr="00660482">
              <w:rPr>
                <w:color w:val="000000"/>
                <w:sz w:val="18"/>
                <w:szCs w:val="18"/>
              </w:rPr>
              <w:t>Kilroy Realty Corporation (NYSE:KRC)</w:t>
            </w:r>
          </w:p>
        </w:tc>
        <w:tc>
          <w:tcPr>
            <w:tcW w:w="1659" w:type="pct"/>
            <w:tcBorders>
              <w:top w:val="nil"/>
              <w:left w:val="nil"/>
              <w:bottom w:val="single" w:sz="4" w:space="0" w:color="auto"/>
              <w:right w:val="single" w:sz="4" w:space="0" w:color="auto"/>
            </w:tcBorders>
            <w:noWrap/>
            <w:vAlign w:val="bottom"/>
            <w:hideMark/>
          </w:tcPr>
          <w:p w14:paraId="41231F18"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242EFDB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57255A2" w14:textId="77777777" w:rsidR="007D3934" w:rsidRPr="00660482" w:rsidRDefault="007D3934" w:rsidP="00AB016E">
            <w:pPr>
              <w:rPr>
                <w:color w:val="000000"/>
                <w:sz w:val="18"/>
                <w:szCs w:val="18"/>
              </w:rPr>
            </w:pPr>
            <w:r w:rsidRPr="00660482">
              <w:rPr>
                <w:color w:val="000000"/>
                <w:sz w:val="18"/>
                <w:szCs w:val="18"/>
              </w:rPr>
              <w:t>ONL</w:t>
            </w:r>
          </w:p>
        </w:tc>
        <w:tc>
          <w:tcPr>
            <w:tcW w:w="2837" w:type="pct"/>
            <w:tcBorders>
              <w:top w:val="nil"/>
              <w:left w:val="nil"/>
              <w:bottom w:val="single" w:sz="4" w:space="0" w:color="auto"/>
              <w:right w:val="single" w:sz="4" w:space="0" w:color="auto"/>
            </w:tcBorders>
            <w:noWrap/>
            <w:vAlign w:val="bottom"/>
            <w:hideMark/>
          </w:tcPr>
          <w:p w14:paraId="5E4BD5EE" w14:textId="77777777" w:rsidR="007D3934" w:rsidRPr="00660482" w:rsidRDefault="007D3934" w:rsidP="00AB016E">
            <w:pPr>
              <w:rPr>
                <w:color w:val="000000"/>
                <w:sz w:val="18"/>
                <w:szCs w:val="18"/>
              </w:rPr>
            </w:pPr>
            <w:r w:rsidRPr="00660482">
              <w:rPr>
                <w:color w:val="000000"/>
                <w:sz w:val="18"/>
                <w:szCs w:val="18"/>
              </w:rPr>
              <w:t>Orion Office REIT Inc. (NYSE:ONL)</w:t>
            </w:r>
          </w:p>
        </w:tc>
        <w:tc>
          <w:tcPr>
            <w:tcW w:w="1659" w:type="pct"/>
            <w:tcBorders>
              <w:top w:val="nil"/>
              <w:left w:val="nil"/>
              <w:bottom w:val="single" w:sz="4" w:space="0" w:color="auto"/>
              <w:right w:val="single" w:sz="4" w:space="0" w:color="auto"/>
            </w:tcBorders>
            <w:noWrap/>
            <w:vAlign w:val="bottom"/>
            <w:hideMark/>
          </w:tcPr>
          <w:p w14:paraId="1E5B0080"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483DA85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9C795A4" w14:textId="77777777" w:rsidR="007D3934" w:rsidRPr="00660482" w:rsidRDefault="007D3934" w:rsidP="00AB016E">
            <w:pPr>
              <w:rPr>
                <w:color w:val="000000"/>
                <w:sz w:val="18"/>
                <w:szCs w:val="18"/>
              </w:rPr>
            </w:pPr>
            <w:r w:rsidRPr="00660482">
              <w:rPr>
                <w:color w:val="000000"/>
                <w:sz w:val="18"/>
                <w:szCs w:val="18"/>
              </w:rPr>
              <w:t>OPI</w:t>
            </w:r>
          </w:p>
        </w:tc>
        <w:tc>
          <w:tcPr>
            <w:tcW w:w="2837" w:type="pct"/>
            <w:tcBorders>
              <w:top w:val="nil"/>
              <w:left w:val="nil"/>
              <w:bottom w:val="single" w:sz="4" w:space="0" w:color="auto"/>
              <w:right w:val="single" w:sz="4" w:space="0" w:color="auto"/>
            </w:tcBorders>
            <w:noWrap/>
            <w:vAlign w:val="bottom"/>
            <w:hideMark/>
          </w:tcPr>
          <w:p w14:paraId="38C497B6" w14:textId="77777777" w:rsidR="007D3934" w:rsidRPr="00660482" w:rsidRDefault="007D3934" w:rsidP="00AB016E">
            <w:pPr>
              <w:rPr>
                <w:color w:val="000000"/>
                <w:sz w:val="18"/>
                <w:szCs w:val="18"/>
              </w:rPr>
            </w:pPr>
            <w:r w:rsidRPr="00660482">
              <w:rPr>
                <w:color w:val="000000"/>
                <w:sz w:val="18"/>
                <w:szCs w:val="18"/>
              </w:rPr>
              <w:t>Office Properties Income Trust (NasdaqGS:OPI)</w:t>
            </w:r>
          </w:p>
        </w:tc>
        <w:tc>
          <w:tcPr>
            <w:tcW w:w="1659" w:type="pct"/>
            <w:tcBorders>
              <w:top w:val="nil"/>
              <w:left w:val="nil"/>
              <w:bottom w:val="single" w:sz="4" w:space="0" w:color="auto"/>
              <w:right w:val="single" w:sz="4" w:space="0" w:color="auto"/>
            </w:tcBorders>
            <w:noWrap/>
            <w:vAlign w:val="bottom"/>
            <w:hideMark/>
          </w:tcPr>
          <w:p w14:paraId="68FCE081"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4A5FFF5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06F74D6" w14:textId="77777777" w:rsidR="007D3934" w:rsidRPr="00660482" w:rsidRDefault="007D3934" w:rsidP="00AB016E">
            <w:pPr>
              <w:rPr>
                <w:color w:val="000000"/>
                <w:sz w:val="18"/>
                <w:szCs w:val="18"/>
              </w:rPr>
            </w:pPr>
            <w:r w:rsidRPr="00660482">
              <w:rPr>
                <w:color w:val="000000"/>
                <w:sz w:val="18"/>
                <w:szCs w:val="18"/>
              </w:rPr>
              <w:t>PDM</w:t>
            </w:r>
          </w:p>
        </w:tc>
        <w:tc>
          <w:tcPr>
            <w:tcW w:w="2837" w:type="pct"/>
            <w:tcBorders>
              <w:top w:val="nil"/>
              <w:left w:val="nil"/>
              <w:bottom w:val="single" w:sz="4" w:space="0" w:color="auto"/>
              <w:right w:val="single" w:sz="4" w:space="0" w:color="auto"/>
            </w:tcBorders>
            <w:noWrap/>
            <w:vAlign w:val="bottom"/>
            <w:hideMark/>
          </w:tcPr>
          <w:p w14:paraId="4EE1F2CF" w14:textId="77777777" w:rsidR="007D3934" w:rsidRPr="00660482" w:rsidRDefault="007D3934" w:rsidP="00AB016E">
            <w:pPr>
              <w:rPr>
                <w:color w:val="000000"/>
                <w:sz w:val="18"/>
                <w:szCs w:val="18"/>
              </w:rPr>
            </w:pPr>
            <w:r w:rsidRPr="00660482">
              <w:rPr>
                <w:color w:val="000000"/>
                <w:sz w:val="18"/>
                <w:szCs w:val="18"/>
              </w:rPr>
              <w:t>Piedmont Office Realty Trust, Inc. (NYSE:PDM)</w:t>
            </w:r>
          </w:p>
        </w:tc>
        <w:tc>
          <w:tcPr>
            <w:tcW w:w="1659" w:type="pct"/>
            <w:tcBorders>
              <w:top w:val="nil"/>
              <w:left w:val="nil"/>
              <w:bottom w:val="single" w:sz="4" w:space="0" w:color="auto"/>
              <w:right w:val="single" w:sz="4" w:space="0" w:color="auto"/>
            </w:tcBorders>
            <w:noWrap/>
            <w:vAlign w:val="bottom"/>
            <w:hideMark/>
          </w:tcPr>
          <w:p w14:paraId="4D2CCA76"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37F919F1"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FD26FDC" w14:textId="77777777" w:rsidR="007D3934" w:rsidRPr="00660482" w:rsidRDefault="007D3934" w:rsidP="00AB016E">
            <w:pPr>
              <w:rPr>
                <w:color w:val="000000"/>
                <w:sz w:val="18"/>
                <w:szCs w:val="18"/>
              </w:rPr>
            </w:pPr>
            <w:r w:rsidRPr="00660482">
              <w:rPr>
                <w:color w:val="000000"/>
                <w:sz w:val="18"/>
                <w:szCs w:val="18"/>
              </w:rPr>
              <w:t>PGRE</w:t>
            </w:r>
          </w:p>
        </w:tc>
        <w:tc>
          <w:tcPr>
            <w:tcW w:w="2837" w:type="pct"/>
            <w:tcBorders>
              <w:top w:val="nil"/>
              <w:left w:val="nil"/>
              <w:bottom w:val="single" w:sz="4" w:space="0" w:color="auto"/>
              <w:right w:val="single" w:sz="4" w:space="0" w:color="auto"/>
            </w:tcBorders>
            <w:noWrap/>
            <w:vAlign w:val="bottom"/>
            <w:hideMark/>
          </w:tcPr>
          <w:p w14:paraId="271A35EC" w14:textId="77777777" w:rsidR="007D3934" w:rsidRPr="00660482" w:rsidRDefault="007D3934" w:rsidP="00AB016E">
            <w:pPr>
              <w:rPr>
                <w:color w:val="000000"/>
                <w:sz w:val="18"/>
                <w:szCs w:val="18"/>
              </w:rPr>
            </w:pPr>
            <w:r w:rsidRPr="00660482">
              <w:rPr>
                <w:color w:val="000000"/>
                <w:sz w:val="18"/>
                <w:szCs w:val="18"/>
              </w:rPr>
              <w:t>Paramount Group, Inc. (NYSE:PGRE)</w:t>
            </w:r>
          </w:p>
        </w:tc>
        <w:tc>
          <w:tcPr>
            <w:tcW w:w="1659" w:type="pct"/>
            <w:tcBorders>
              <w:top w:val="nil"/>
              <w:left w:val="nil"/>
              <w:bottom w:val="single" w:sz="4" w:space="0" w:color="auto"/>
              <w:right w:val="single" w:sz="4" w:space="0" w:color="auto"/>
            </w:tcBorders>
            <w:noWrap/>
            <w:vAlign w:val="bottom"/>
            <w:hideMark/>
          </w:tcPr>
          <w:p w14:paraId="339360E6"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521DF2A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A6509D7" w14:textId="77777777" w:rsidR="007D3934" w:rsidRPr="00660482" w:rsidRDefault="007D3934" w:rsidP="00AB016E">
            <w:pPr>
              <w:rPr>
                <w:color w:val="000000"/>
                <w:sz w:val="18"/>
                <w:szCs w:val="18"/>
              </w:rPr>
            </w:pPr>
            <w:r w:rsidRPr="00660482">
              <w:rPr>
                <w:color w:val="000000"/>
                <w:sz w:val="18"/>
                <w:szCs w:val="18"/>
              </w:rPr>
              <w:t>PKST</w:t>
            </w:r>
          </w:p>
        </w:tc>
        <w:tc>
          <w:tcPr>
            <w:tcW w:w="2837" w:type="pct"/>
            <w:tcBorders>
              <w:top w:val="nil"/>
              <w:left w:val="nil"/>
              <w:bottom w:val="single" w:sz="4" w:space="0" w:color="auto"/>
              <w:right w:val="single" w:sz="4" w:space="0" w:color="auto"/>
            </w:tcBorders>
            <w:noWrap/>
            <w:vAlign w:val="bottom"/>
            <w:hideMark/>
          </w:tcPr>
          <w:p w14:paraId="41376E66" w14:textId="77777777" w:rsidR="007D3934" w:rsidRPr="00660482" w:rsidRDefault="007D3934" w:rsidP="00AB016E">
            <w:pPr>
              <w:rPr>
                <w:color w:val="000000"/>
                <w:sz w:val="18"/>
                <w:szCs w:val="18"/>
              </w:rPr>
            </w:pPr>
            <w:r w:rsidRPr="00660482">
              <w:rPr>
                <w:color w:val="000000"/>
                <w:sz w:val="18"/>
                <w:szCs w:val="18"/>
              </w:rPr>
              <w:t>Peakstone Realty Trust (NYSE:PKST)</w:t>
            </w:r>
          </w:p>
        </w:tc>
        <w:tc>
          <w:tcPr>
            <w:tcW w:w="1659" w:type="pct"/>
            <w:tcBorders>
              <w:top w:val="nil"/>
              <w:left w:val="nil"/>
              <w:bottom w:val="single" w:sz="4" w:space="0" w:color="auto"/>
              <w:right w:val="single" w:sz="4" w:space="0" w:color="auto"/>
            </w:tcBorders>
            <w:noWrap/>
            <w:vAlign w:val="bottom"/>
            <w:hideMark/>
          </w:tcPr>
          <w:p w14:paraId="06930B1C"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00F8163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1F30DCA" w14:textId="77777777" w:rsidR="007D3934" w:rsidRPr="00660482" w:rsidRDefault="007D3934" w:rsidP="00AB016E">
            <w:pPr>
              <w:rPr>
                <w:color w:val="000000"/>
                <w:sz w:val="18"/>
                <w:szCs w:val="18"/>
              </w:rPr>
            </w:pPr>
            <w:r w:rsidRPr="00660482">
              <w:rPr>
                <w:color w:val="000000"/>
                <w:sz w:val="18"/>
                <w:szCs w:val="18"/>
              </w:rPr>
              <w:t>PSTL</w:t>
            </w:r>
          </w:p>
        </w:tc>
        <w:tc>
          <w:tcPr>
            <w:tcW w:w="2837" w:type="pct"/>
            <w:tcBorders>
              <w:top w:val="nil"/>
              <w:left w:val="nil"/>
              <w:bottom w:val="single" w:sz="4" w:space="0" w:color="auto"/>
              <w:right w:val="single" w:sz="4" w:space="0" w:color="auto"/>
            </w:tcBorders>
            <w:noWrap/>
            <w:vAlign w:val="bottom"/>
            <w:hideMark/>
          </w:tcPr>
          <w:p w14:paraId="4464FAC4" w14:textId="77777777" w:rsidR="007D3934" w:rsidRPr="00660482" w:rsidRDefault="007D3934" w:rsidP="00AB016E">
            <w:pPr>
              <w:rPr>
                <w:color w:val="000000"/>
                <w:sz w:val="18"/>
                <w:szCs w:val="18"/>
              </w:rPr>
            </w:pPr>
            <w:r w:rsidRPr="00660482">
              <w:rPr>
                <w:color w:val="000000"/>
                <w:sz w:val="18"/>
                <w:szCs w:val="18"/>
              </w:rPr>
              <w:t>Postal Realty Trust, Inc. (NYSE:PSTL)</w:t>
            </w:r>
          </w:p>
        </w:tc>
        <w:tc>
          <w:tcPr>
            <w:tcW w:w="1659" w:type="pct"/>
            <w:tcBorders>
              <w:top w:val="nil"/>
              <w:left w:val="nil"/>
              <w:bottom w:val="single" w:sz="4" w:space="0" w:color="auto"/>
              <w:right w:val="single" w:sz="4" w:space="0" w:color="auto"/>
            </w:tcBorders>
            <w:noWrap/>
            <w:vAlign w:val="bottom"/>
            <w:hideMark/>
          </w:tcPr>
          <w:p w14:paraId="70F4F8C2"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37A5E9C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8796A57" w14:textId="77777777" w:rsidR="007D3934" w:rsidRPr="00660482" w:rsidRDefault="007D3934" w:rsidP="00AB016E">
            <w:pPr>
              <w:rPr>
                <w:color w:val="000000"/>
                <w:sz w:val="18"/>
                <w:szCs w:val="18"/>
              </w:rPr>
            </w:pPr>
            <w:r w:rsidRPr="00660482">
              <w:rPr>
                <w:color w:val="000000"/>
                <w:sz w:val="18"/>
                <w:szCs w:val="18"/>
              </w:rPr>
              <w:t>SLG</w:t>
            </w:r>
          </w:p>
        </w:tc>
        <w:tc>
          <w:tcPr>
            <w:tcW w:w="2837" w:type="pct"/>
            <w:tcBorders>
              <w:top w:val="nil"/>
              <w:left w:val="nil"/>
              <w:bottom w:val="single" w:sz="4" w:space="0" w:color="auto"/>
              <w:right w:val="single" w:sz="4" w:space="0" w:color="auto"/>
            </w:tcBorders>
            <w:noWrap/>
            <w:vAlign w:val="bottom"/>
            <w:hideMark/>
          </w:tcPr>
          <w:p w14:paraId="74F15914" w14:textId="77777777" w:rsidR="007D3934" w:rsidRPr="00660482" w:rsidRDefault="007D3934" w:rsidP="00AB016E">
            <w:pPr>
              <w:rPr>
                <w:color w:val="000000"/>
                <w:sz w:val="18"/>
                <w:szCs w:val="18"/>
              </w:rPr>
            </w:pPr>
            <w:r w:rsidRPr="00660482">
              <w:rPr>
                <w:color w:val="000000"/>
                <w:sz w:val="18"/>
                <w:szCs w:val="18"/>
              </w:rPr>
              <w:t>SL Green Realty Corp. (NYSE:SLG)</w:t>
            </w:r>
          </w:p>
        </w:tc>
        <w:tc>
          <w:tcPr>
            <w:tcW w:w="1659" w:type="pct"/>
            <w:tcBorders>
              <w:top w:val="nil"/>
              <w:left w:val="nil"/>
              <w:bottom w:val="single" w:sz="4" w:space="0" w:color="auto"/>
              <w:right w:val="single" w:sz="4" w:space="0" w:color="auto"/>
            </w:tcBorders>
            <w:noWrap/>
            <w:vAlign w:val="bottom"/>
            <w:hideMark/>
          </w:tcPr>
          <w:p w14:paraId="69F358E3"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440F423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3069E61" w14:textId="77777777" w:rsidR="007D3934" w:rsidRPr="00660482" w:rsidRDefault="007D3934" w:rsidP="00AB016E">
            <w:pPr>
              <w:rPr>
                <w:color w:val="000000"/>
                <w:sz w:val="18"/>
                <w:szCs w:val="18"/>
              </w:rPr>
            </w:pPr>
            <w:r w:rsidRPr="00660482">
              <w:rPr>
                <w:color w:val="000000"/>
                <w:sz w:val="18"/>
                <w:szCs w:val="18"/>
              </w:rPr>
              <w:t>VNO</w:t>
            </w:r>
          </w:p>
        </w:tc>
        <w:tc>
          <w:tcPr>
            <w:tcW w:w="2837" w:type="pct"/>
            <w:tcBorders>
              <w:top w:val="nil"/>
              <w:left w:val="nil"/>
              <w:bottom w:val="single" w:sz="4" w:space="0" w:color="auto"/>
              <w:right w:val="single" w:sz="4" w:space="0" w:color="auto"/>
            </w:tcBorders>
            <w:noWrap/>
            <w:vAlign w:val="bottom"/>
            <w:hideMark/>
          </w:tcPr>
          <w:p w14:paraId="5FF6F1B0" w14:textId="77777777" w:rsidR="007D3934" w:rsidRPr="00660482" w:rsidRDefault="007D3934" w:rsidP="00AB016E">
            <w:pPr>
              <w:rPr>
                <w:color w:val="000000"/>
                <w:sz w:val="18"/>
                <w:szCs w:val="18"/>
              </w:rPr>
            </w:pPr>
            <w:r w:rsidRPr="00660482">
              <w:rPr>
                <w:color w:val="000000"/>
                <w:sz w:val="18"/>
                <w:szCs w:val="18"/>
              </w:rPr>
              <w:t>Vornado Realty Trust (NYSE:VNO)</w:t>
            </w:r>
          </w:p>
        </w:tc>
        <w:tc>
          <w:tcPr>
            <w:tcW w:w="1659" w:type="pct"/>
            <w:tcBorders>
              <w:top w:val="nil"/>
              <w:left w:val="nil"/>
              <w:bottom w:val="single" w:sz="4" w:space="0" w:color="auto"/>
              <w:right w:val="single" w:sz="4" w:space="0" w:color="auto"/>
            </w:tcBorders>
            <w:noWrap/>
            <w:vAlign w:val="bottom"/>
            <w:hideMark/>
          </w:tcPr>
          <w:p w14:paraId="1FA2CFEC" w14:textId="77777777" w:rsidR="007D3934" w:rsidRPr="00660482" w:rsidRDefault="007D3934" w:rsidP="00AB016E">
            <w:pPr>
              <w:rPr>
                <w:color w:val="000000"/>
                <w:sz w:val="18"/>
                <w:szCs w:val="18"/>
              </w:rPr>
            </w:pPr>
            <w:r w:rsidRPr="00660482">
              <w:rPr>
                <w:color w:val="000000"/>
                <w:sz w:val="18"/>
                <w:szCs w:val="18"/>
              </w:rPr>
              <w:t>Office REITs (Primary)</w:t>
            </w:r>
          </w:p>
        </w:tc>
      </w:tr>
      <w:tr w:rsidR="007D3934" w:rsidRPr="00660482" w14:paraId="540601D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86B00C9" w14:textId="77777777" w:rsidR="007D3934" w:rsidRPr="00660482" w:rsidRDefault="007D3934" w:rsidP="00AB016E">
            <w:pPr>
              <w:rPr>
                <w:color w:val="000000"/>
                <w:sz w:val="18"/>
                <w:szCs w:val="18"/>
              </w:rPr>
            </w:pPr>
            <w:r w:rsidRPr="00660482">
              <w:rPr>
                <w:color w:val="000000"/>
                <w:sz w:val="18"/>
                <w:szCs w:val="18"/>
              </w:rPr>
              <w:t>AIRC</w:t>
            </w:r>
          </w:p>
        </w:tc>
        <w:tc>
          <w:tcPr>
            <w:tcW w:w="2837" w:type="pct"/>
            <w:tcBorders>
              <w:top w:val="nil"/>
              <w:left w:val="nil"/>
              <w:bottom w:val="single" w:sz="4" w:space="0" w:color="auto"/>
              <w:right w:val="single" w:sz="4" w:space="0" w:color="auto"/>
            </w:tcBorders>
            <w:noWrap/>
            <w:vAlign w:val="bottom"/>
            <w:hideMark/>
          </w:tcPr>
          <w:p w14:paraId="5C09CE39" w14:textId="77777777" w:rsidR="007D3934" w:rsidRPr="00660482" w:rsidRDefault="007D3934" w:rsidP="00AB016E">
            <w:pPr>
              <w:rPr>
                <w:color w:val="000000"/>
                <w:sz w:val="18"/>
                <w:szCs w:val="18"/>
              </w:rPr>
            </w:pPr>
            <w:r w:rsidRPr="00660482">
              <w:rPr>
                <w:color w:val="000000"/>
                <w:sz w:val="18"/>
                <w:szCs w:val="18"/>
              </w:rPr>
              <w:t>Apartment Income REIT Corp. (NYSE:AIRC)</w:t>
            </w:r>
          </w:p>
        </w:tc>
        <w:tc>
          <w:tcPr>
            <w:tcW w:w="1659" w:type="pct"/>
            <w:tcBorders>
              <w:top w:val="nil"/>
              <w:left w:val="nil"/>
              <w:bottom w:val="single" w:sz="4" w:space="0" w:color="auto"/>
              <w:right w:val="single" w:sz="4" w:space="0" w:color="auto"/>
            </w:tcBorders>
            <w:noWrap/>
            <w:vAlign w:val="bottom"/>
            <w:hideMark/>
          </w:tcPr>
          <w:p w14:paraId="7F394B2D"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4C2BFDD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580B487" w14:textId="77777777" w:rsidR="007D3934" w:rsidRPr="00660482" w:rsidRDefault="007D3934" w:rsidP="00AB016E">
            <w:pPr>
              <w:rPr>
                <w:color w:val="000000"/>
                <w:sz w:val="18"/>
                <w:szCs w:val="18"/>
              </w:rPr>
            </w:pPr>
            <w:r w:rsidRPr="00660482">
              <w:rPr>
                <w:color w:val="000000"/>
                <w:sz w:val="18"/>
                <w:szCs w:val="18"/>
              </w:rPr>
              <w:t>AIV</w:t>
            </w:r>
          </w:p>
        </w:tc>
        <w:tc>
          <w:tcPr>
            <w:tcW w:w="2837" w:type="pct"/>
            <w:tcBorders>
              <w:top w:val="nil"/>
              <w:left w:val="nil"/>
              <w:bottom w:val="single" w:sz="4" w:space="0" w:color="auto"/>
              <w:right w:val="single" w:sz="4" w:space="0" w:color="auto"/>
            </w:tcBorders>
            <w:noWrap/>
            <w:vAlign w:val="bottom"/>
            <w:hideMark/>
          </w:tcPr>
          <w:p w14:paraId="359A4D5A" w14:textId="77777777" w:rsidR="007D3934" w:rsidRPr="00660482" w:rsidRDefault="007D3934" w:rsidP="00AB016E">
            <w:pPr>
              <w:rPr>
                <w:color w:val="000000"/>
                <w:sz w:val="18"/>
                <w:szCs w:val="18"/>
              </w:rPr>
            </w:pPr>
            <w:r w:rsidRPr="00660482">
              <w:rPr>
                <w:color w:val="000000"/>
                <w:sz w:val="18"/>
                <w:szCs w:val="18"/>
              </w:rPr>
              <w:t>Apartment Investment and Management Company (NYSE:AIV)</w:t>
            </w:r>
          </w:p>
        </w:tc>
        <w:tc>
          <w:tcPr>
            <w:tcW w:w="1659" w:type="pct"/>
            <w:tcBorders>
              <w:top w:val="nil"/>
              <w:left w:val="nil"/>
              <w:bottom w:val="single" w:sz="4" w:space="0" w:color="auto"/>
              <w:right w:val="single" w:sz="4" w:space="0" w:color="auto"/>
            </w:tcBorders>
            <w:noWrap/>
            <w:vAlign w:val="bottom"/>
            <w:hideMark/>
          </w:tcPr>
          <w:p w14:paraId="7B9632E9"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79725C9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EB62235" w14:textId="77777777" w:rsidR="007D3934" w:rsidRPr="00660482" w:rsidRDefault="007D3934" w:rsidP="00AB016E">
            <w:pPr>
              <w:rPr>
                <w:color w:val="000000"/>
                <w:sz w:val="18"/>
                <w:szCs w:val="18"/>
              </w:rPr>
            </w:pPr>
            <w:r w:rsidRPr="00660482">
              <w:rPr>
                <w:color w:val="000000"/>
                <w:sz w:val="18"/>
                <w:szCs w:val="18"/>
              </w:rPr>
              <w:t>AMH</w:t>
            </w:r>
          </w:p>
        </w:tc>
        <w:tc>
          <w:tcPr>
            <w:tcW w:w="2837" w:type="pct"/>
            <w:tcBorders>
              <w:top w:val="nil"/>
              <w:left w:val="nil"/>
              <w:bottom w:val="single" w:sz="4" w:space="0" w:color="auto"/>
              <w:right w:val="single" w:sz="4" w:space="0" w:color="auto"/>
            </w:tcBorders>
            <w:noWrap/>
            <w:vAlign w:val="bottom"/>
            <w:hideMark/>
          </w:tcPr>
          <w:p w14:paraId="3C4B23D2" w14:textId="77777777" w:rsidR="007D3934" w:rsidRPr="00660482" w:rsidRDefault="007D3934" w:rsidP="00AB016E">
            <w:pPr>
              <w:rPr>
                <w:color w:val="000000"/>
                <w:sz w:val="18"/>
                <w:szCs w:val="18"/>
              </w:rPr>
            </w:pPr>
            <w:r w:rsidRPr="00660482">
              <w:rPr>
                <w:color w:val="000000"/>
                <w:sz w:val="18"/>
                <w:szCs w:val="18"/>
              </w:rPr>
              <w:t>American Homes 4 Rent (NYSE:AMH)</w:t>
            </w:r>
          </w:p>
        </w:tc>
        <w:tc>
          <w:tcPr>
            <w:tcW w:w="1659" w:type="pct"/>
            <w:tcBorders>
              <w:top w:val="nil"/>
              <w:left w:val="nil"/>
              <w:bottom w:val="single" w:sz="4" w:space="0" w:color="auto"/>
              <w:right w:val="single" w:sz="4" w:space="0" w:color="auto"/>
            </w:tcBorders>
            <w:noWrap/>
            <w:vAlign w:val="bottom"/>
            <w:hideMark/>
          </w:tcPr>
          <w:p w14:paraId="29A9FD97"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44AACED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356619F" w14:textId="77777777" w:rsidR="007D3934" w:rsidRPr="00660482" w:rsidRDefault="007D3934" w:rsidP="00AB016E">
            <w:pPr>
              <w:rPr>
                <w:color w:val="000000"/>
                <w:sz w:val="18"/>
                <w:szCs w:val="18"/>
              </w:rPr>
            </w:pPr>
            <w:r w:rsidRPr="00660482">
              <w:rPr>
                <w:color w:val="000000"/>
                <w:sz w:val="18"/>
                <w:szCs w:val="18"/>
              </w:rPr>
              <w:t>AVB</w:t>
            </w:r>
          </w:p>
        </w:tc>
        <w:tc>
          <w:tcPr>
            <w:tcW w:w="2837" w:type="pct"/>
            <w:tcBorders>
              <w:top w:val="nil"/>
              <w:left w:val="nil"/>
              <w:bottom w:val="single" w:sz="4" w:space="0" w:color="auto"/>
              <w:right w:val="single" w:sz="4" w:space="0" w:color="auto"/>
            </w:tcBorders>
            <w:noWrap/>
            <w:vAlign w:val="bottom"/>
            <w:hideMark/>
          </w:tcPr>
          <w:p w14:paraId="13EBF219" w14:textId="77777777" w:rsidR="007D3934" w:rsidRPr="00660482" w:rsidRDefault="007D3934" w:rsidP="00AB016E">
            <w:pPr>
              <w:rPr>
                <w:color w:val="000000"/>
                <w:sz w:val="18"/>
                <w:szCs w:val="18"/>
              </w:rPr>
            </w:pPr>
            <w:r w:rsidRPr="00660482">
              <w:rPr>
                <w:color w:val="000000"/>
                <w:sz w:val="18"/>
                <w:szCs w:val="18"/>
              </w:rPr>
              <w:t>AvalonBay Communities, Inc. (NYSE:AVB)</w:t>
            </w:r>
          </w:p>
        </w:tc>
        <w:tc>
          <w:tcPr>
            <w:tcW w:w="1659" w:type="pct"/>
            <w:tcBorders>
              <w:top w:val="nil"/>
              <w:left w:val="nil"/>
              <w:bottom w:val="single" w:sz="4" w:space="0" w:color="auto"/>
              <w:right w:val="single" w:sz="4" w:space="0" w:color="auto"/>
            </w:tcBorders>
            <w:noWrap/>
            <w:vAlign w:val="bottom"/>
            <w:hideMark/>
          </w:tcPr>
          <w:p w14:paraId="5DB35AAF"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7A9720E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7CE74E2" w14:textId="77777777" w:rsidR="007D3934" w:rsidRPr="00660482" w:rsidRDefault="007D3934" w:rsidP="00AB016E">
            <w:pPr>
              <w:rPr>
                <w:color w:val="000000"/>
                <w:sz w:val="18"/>
                <w:szCs w:val="18"/>
              </w:rPr>
            </w:pPr>
            <w:r w:rsidRPr="00660482">
              <w:rPr>
                <w:color w:val="000000"/>
                <w:sz w:val="18"/>
                <w:szCs w:val="18"/>
              </w:rPr>
              <w:t>BHM</w:t>
            </w:r>
          </w:p>
        </w:tc>
        <w:tc>
          <w:tcPr>
            <w:tcW w:w="2837" w:type="pct"/>
            <w:tcBorders>
              <w:top w:val="nil"/>
              <w:left w:val="nil"/>
              <w:bottom w:val="single" w:sz="4" w:space="0" w:color="auto"/>
              <w:right w:val="single" w:sz="4" w:space="0" w:color="auto"/>
            </w:tcBorders>
            <w:noWrap/>
            <w:vAlign w:val="bottom"/>
            <w:hideMark/>
          </w:tcPr>
          <w:p w14:paraId="7666ED52" w14:textId="77777777" w:rsidR="007D3934" w:rsidRPr="00660482" w:rsidRDefault="007D3934" w:rsidP="00AB016E">
            <w:pPr>
              <w:rPr>
                <w:color w:val="000000"/>
                <w:sz w:val="18"/>
                <w:szCs w:val="18"/>
              </w:rPr>
            </w:pPr>
            <w:r w:rsidRPr="00660482">
              <w:rPr>
                <w:color w:val="000000"/>
                <w:sz w:val="18"/>
                <w:szCs w:val="18"/>
              </w:rPr>
              <w:t>Bluerock Homes Trust, Inc. (NYSEAM:BHM)</w:t>
            </w:r>
          </w:p>
        </w:tc>
        <w:tc>
          <w:tcPr>
            <w:tcW w:w="1659" w:type="pct"/>
            <w:tcBorders>
              <w:top w:val="nil"/>
              <w:left w:val="nil"/>
              <w:bottom w:val="single" w:sz="4" w:space="0" w:color="auto"/>
              <w:right w:val="single" w:sz="4" w:space="0" w:color="auto"/>
            </w:tcBorders>
            <w:noWrap/>
            <w:vAlign w:val="bottom"/>
            <w:hideMark/>
          </w:tcPr>
          <w:p w14:paraId="65AB6038"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1363F92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2D53E18" w14:textId="77777777" w:rsidR="007D3934" w:rsidRPr="00660482" w:rsidRDefault="007D3934" w:rsidP="00AB016E">
            <w:pPr>
              <w:rPr>
                <w:color w:val="000000"/>
                <w:sz w:val="18"/>
                <w:szCs w:val="18"/>
              </w:rPr>
            </w:pPr>
            <w:r w:rsidRPr="00660482">
              <w:rPr>
                <w:color w:val="000000"/>
                <w:sz w:val="18"/>
                <w:szCs w:val="18"/>
              </w:rPr>
              <w:t>BRT</w:t>
            </w:r>
          </w:p>
        </w:tc>
        <w:tc>
          <w:tcPr>
            <w:tcW w:w="2837" w:type="pct"/>
            <w:tcBorders>
              <w:top w:val="nil"/>
              <w:left w:val="nil"/>
              <w:bottom w:val="single" w:sz="4" w:space="0" w:color="auto"/>
              <w:right w:val="single" w:sz="4" w:space="0" w:color="auto"/>
            </w:tcBorders>
            <w:noWrap/>
            <w:vAlign w:val="bottom"/>
            <w:hideMark/>
          </w:tcPr>
          <w:p w14:paraId="19BBD6FE" w14:textId="77777777" w:rsidR="007D3934" w:rsidRPr="00660482" w:rsidRDefault="007D3934" w:rsidP="00AB016E">
            <w:pPr>
              <w:rPr>
                <w:color w:val="000000"/>
                <w:sz w:val="18"/>
                <w:szCs w:val="18"/>
              </w:rPr>
            </w:pPr>
            <w:r w:rsidRPr="00660482">
              <w:rPr>
                <w:color w:val="000000"/>
                <w:sz w:val="18"/>
                <w:szCs w:val="18"/>
              </w:rPr>
              <w:t>BRT Apartments Corp. (NYSE:BRT)</w:t>
            </w:r>
          </w:p>
        </w:tc>
        <w:tc>
          <w:tcPr>
            <w:tcW w:w="1659" w:type="pct"/>
            <w:tcBorders>
              <w:top w:val="nil"/>
              <w:left w:val="nil"/>
              <w:bottom w:val="single" w:sz="4" w:space="0" w:color="auto"/>
              <w:right w:val="single" w:sz="4" w:space="0" w:color="auto"/>
            </w:tcBorders>
            <w:noWrap/>
            <w:vAlign w:val="bottom"/>
            <w:hideMark/>
          </w:tcPr>
          <w:p w14:paraId="5633918F"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1B2018F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D59738D" w14:textId="77777777" w:rsidR="007D3934" w:rsidRPr="00660482" w:rsidRDefault="007D3934" w:rsidP="00AB016E">
            <w:pPr>
              <w:rPr>
                <w:color w:val="000000"/>
                <w:sz w:val="18"/>
                <w:szCs w:val="18"/>
              </w:rPr>
            </w:pPr>
            <w:r w:rsidRPr="00660482">
              <w:rPr>
                <w:color w:val="000000"/>
                <w:sz w:val="18"/>
                <w:szCs w:val="18"/>
              </w:rPr>
              <w:t>CLPR</w:t>
            </w:r>
          </w:p>
        </w:tc>
        <w:tc>
          <w:tcPr>
            <w:tcW w:w="2837" w:type="pct"/>
            <w:tcBorders>
              <w:top w:val="nil"/>
              <w:left w:val="nil"/>
              <w:bottom w:val="single" w:sz="4" w:space="0" w:color="auto"/>
              <w:right w:val="single" w:sz="4" w:space="0" w:color="auto"/>
            </w:tcBorders>
            <w:noWrap/>
            <w:vAlign w:val="bottom"/>
            <w:hideMark/>
          </w:tcPr>
          <w:p w14:paraId="6BB2DF22" w14:textId="77777777" w:rsidR="007D3934" w:rsidRPr="00660482" w:rsidRDefault="007D3934" w:rsidP="00AB016E">
            <w:pPr>
              <w:rPr>
                <w:color w:val="000000"/>
                <w:sz w:val="18"/>
                <w:szCs w:val="18"/>
              </w:rPr>
            </w:pPr>
            <w:r w:rsidRPr="00660482">
              <w:rPr>
                <w:color w:val="000000"/>
                <w:sz w:val="18"/>
                <w:szCs w:val="18"/>
              </w:rPr>
              <w:t>Clipper Realty Inc. (NYSE:CLPR)</w:t>
            </w:r>
          </w:p>
        </w:tc>
        <w:tc>
          <w:tcPr>
            <w:tcW w:w="1659" w:type="pct"/>
            <w:tcBorders>
              <w:top w:val="nil"/>
              <w:left w:val="nil"/>
              <w:bottom w:val="single" w:sz="4" w:space="0" w:color="auto"/>
              <w:right w:val="single" w:sz="4" w:space="0" w:color="auto"/>
            </w:tcBorders>
            <w:noWrap/>
            <w:vAlign w:val="bottom"/>
            <w:hideMark/>
          </w:tcPr>
          <w:p w14:paraId="4826FF61"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5ABF520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96A5E59" w14:textId="77777777" w:rsidR="007D3934" w:rsidRPr="00660482" w:rsidRDefault="007D3934" w:rsidP="00AB016E">
            <w:pPr>
              <w:rPr>
                <w:color w:val="000000"/>
                <w:sz w:val="18"/>
                <w:szCs w:val="18"/>
              </w:rPr>
            </w:pPr>
            <w:r w:rsidRPr="00660482">
              <w:rPr>
                <w:color w:val="000000"/>
                <w:sz w:val="18"/>
                <w:szCs w:val="18"/>
              </w:rPr>
              <w:t>CPT</w:t>
            </w:r>
          </w:p>
        </w:tc>
        <w:tc>
          <w:tcPr>
            <w:tcW w:w="2837" w:type="pct"/>
            <w:tcBorders>
              <w:top w:val="nil"/>
              <w:left w:val="nil"/>
              <w:bottom w:val="single" w:sz="4" w:space="0" w:color="auto"/>
              <w:right w:val="single" w:sz="4" w:space="0" w:color="auto"/>
            </w:tcBorders>
            <w:noWrap/>
            <w:vAlign w:val="bottom"/>
            <w:hideMark/>
          </w:tcPr>
          <w:p w14:paraId="40B25306" w14:textId="77777777" w:rsidR="007D3934" w:rsidRPr="00660482" w:rsidRDefault="007D3934" w:rsidP="00AB016E">
            <w:pPr>
              <w:rPr>
                <w:color w:val="000000"/>
                <w:sz w:val="18"/>
                <w:szCs w:val="18"/>
              </w:rPr>
            </w:pPr>
            <w:r w:rsidRPr="00660482">
              <w:rPr>
                <w:color w:val="000000"/>
                <w:sz w:val="18"/>
                <w:szCs w:val="18"/>
              </w:rPr>
              <w:t>Camden Property Trust (NYSE:CPT)</w:t>
            </w:r>
          </w:p>
        </w:tc>
        <w:tc>
          <w:tcPr>
            <w:tcW w:w="1659" w:type="pct"/>
            <w:tcBorders>
              <w:top w:val="nil"/>
              <w:left w:val="nil"/>
              <w:bottom w:val="single" w:sz="4" w:space="0" w:color="auto"/>
              <w:right w:val="single" w:sz="4" w:space="0" w:color="auto"/>
            </w:tcBorders>
            <w:noWrap/>
            <w:vAlign w:val="bottom"/>
            <w:hideMark/>
          </w:tcPr>
          <w:p w14:paraId="1427ED17"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06B88BE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8BA21F1" w14:textId="77777777" w:rsidR="007D3934" w:rsidRPr="00660482" w:rsidRDefault="007D3934" w:rsidP="00AB016E">
            <w:pPr>
              <w:rPr>
                <w:color w:val="000000"/>
                <w:sz w:val="18"/>
                <w:szCs w:val="18"/>
              </w:rPr>
            </w:pPr>
            <w:r w:rsidRPr="00660482">
              <w:rPr>
                <w:color w:val="000000"/>
                <w:sz w:val="18"/>
                <w:szCs w:val="18"/>
              </w:rPr>
              <w:t>CSR</w:t>
            </w:r>
          </w:p>
        </w:tc>
        <w:tc>
          <w:tcPr>
            <w:tcW w:w="2837" w:type="pct"/>
            <w:tcBorders>
              <w:top w:val="nil"/>
              <w:left w:val="nil"/>
              <w:bottom w:val="single" w:sz="4" w:space="0" w:color="auto"/>
              <w:right w:val="single" w:sz="4" w:space="0" w:color="auto"/>
            </w:tcBorders>
            <w:noWrap/>
            <w:vAlign w:val="bottom"/>
            <w:hideMark/>
          </w:tcPr>
          <w:p w14:paraId="17B50720" w14:textId="77777777" w:rsidR="007D3934" w:rsidRPr="00660482" w:rsidRDefault="007D3934" w:rsidP="00AB016E">
            <w:pPr>
              <w:rPr>
                <w:color w:val="000000"/>
                <w:sz w:val="18"/>
                <w:szCs w:val="18"/>
              </w:rPr>
            </w:pPr>
            <w:r w:rsidRPr="00660482">
              <w:rPr>
                <w:color w:val="000000"/>
                <w:sz w:val="18"/>
                <w:szCs w:val="18"/>
              </w:rPr>
              <w:t>Centerspace (NYSE:CSR)</w:t>
            </w:r>
          </w:p>
        </w:tc>
        <w:tc>
          <w:tcPr>
            <w:tcW w:w="1659" w:type="pct"/>
            <w:tcBorders>
              <w:top w:val="nil"/>
              <w:left w:val="nil"/>
              <w:bottom w:val="single" w:sz="4" w:space="0" w:color="auto"/>
              <w:right w:val="single" w:sz="4" w:space="0" w:color="auto"/>
            </w:tcBorders>
            <w:noWrap/>
            <w:vAlign w:val="bottom"/>
            <w:hideMark/>
          </w:tcPr>
          <w:p w14:paraId="16DF11BF"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25B3CF4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0DCDE22" w14:textId="77777777" w:rsidR="007D3934" w:rsidRPr="00660482" w:rsidRDefault="007D3934" w:rsidP="00AB016E">
            <w:pPr>
              <w:rPr>
                <w:color w:val="000000"/>
                <w:sz w:val="18"/>
                <w:szCs w:val="18"/>
              </w:rPr>
            </w:pPr>
            <w:r w:rsidRPr="00660482">
              <w:rPr>
                <w:color w:val="000000"/>
                <w:sz w:val="18"/>
                <w:szCs w:val="18"/>
              </w:rPr>
              <w:t>ELME</w:t>
            </w:r>
          </w:p>
        </w:tc>
        <w:tc>
          <w:tcPr>
            <w:tcW w:w="2837" w:type="pct"/>
            <w:tcBorders>
              <w:top w:val="nil"/>
              <w:left w:val="nil"/>
              <w:bottom w:val="single" w:sz="4" w:space="0" w:color="auto"/>
              <w:right w:val="single" w:sz="4" w:space="0" w:color="auto"/>
            </w:tcBorders>
            <w:noWrap/>
            <w:vAlign w:val="bottom"/>
            <w:hideMark/>
          </w:tcPr>
          <w:p w14:paraId="6442B2CA" w14:textId="77777777" w:rsidR="007D3934" w:rsidRPr="00660482" w:rsidRDefault="007D3934" w:rsidP="00AB016E">
            <w:pPr>
              <w:rPr>
                <w:color w:val="000000"/>
                <w:sz w:val="18"/>
                <w:szCs w:val="18"/>
              </w:rPr>
            </w:pPr>
            <w:r w:rsidRPr="00660482">
              <w:rPr>
                <w:color w:val="000000"/>
                <w:sz w:val="18"/>
                <w:szCs w:val="18"/>
              </w:rPr>
              <w:t>Elme Communities (NYSE:ELME)</w:t>
            </w:r>
          </w:p>
        </w:tc>
        <w:tc>
          <w:tcPr>
            <w:tcW w:w="1659" w:type="pct"/>
            <w:tcBorders>
              <w:top w:val="nil"/>
              <w:left w:val="nil"/>
              <w:bottom w:val="single" w:sz="4" w:space="0" w:color="auto"/>
              <w:right w:val="single" w:sz="4" w:space="0" w:color="auto"/>
            </w:tcBorders>
            <w:noWrap/>
            <w:vAlign w:val="bottom"/>
            <w:hideMark/>
          </w:tcPr>
          <w:p w14:paraId="6DD1D3B6"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74A211D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E238878" w14:textId="77777777" w:rsidR="007D3934" w:rsidRPr="00660482" w:rsidRDefault="007D3934" w:rsidP="00AB016E">
            <w:pPr>
              <w:rPr>
                <w:color w:val="000000"/>
                <w:sz w:val="18"/>
                <w:szCs w:val="18"/>
              </w:rPr>
            </w:pPr>
            <w:r w:rsidRPr="00660482">
              <w:rPr>
                <w:color w:val="000000"/>
                <w:sz w:val="18"/>
                <w:szCs w:val="18"/>
              </w:rPr>
              <w:t>ELS</w:t>
            </w:r>
          </w:p>
        </w:tc>
        <w:tc>
          <w:tcPr>
            <w:tcW w:w="2837" w:type="pct"/>
            <w:tcBorders>
              <w:top w:val="nil"/>
              <w:left w:val="nil"/>
              <w:bottom w:val="single" w:sz="4" w:space="0" w:color="auto"/>
              <w:right w:val="single" w:sz="4" w:space="0" w:color="auto"/>
            </w:tcBorders>
            <w:noWrap/>
            <w:vAlign w:val="bottom"/>
            <w:hideMark/>
          </w:tcPr>
          <w:p w14:paraId="34374DD8" w14:textId="77777777" w:rsidR="007D3934" w:rsidRPr="00660482" w:rsidRDefault="007D3934" w:rsidP="00AB016E">
            <w:pPr>
              <w:rPr>
                <w:color w:val="000000"/>
                <w:sz w:val="18"/>
                <w:szCs w:val="18"/>
              </w:rPr>
            </w:pPr>
            <w:r w:rsidRPr="00660482">
              <w:rPr>
                <w:color w:val="000000"/>
                <w:sz w:val="18"/>
                <w:szCs w:val="18"/>
              </w:rPr>
              <w:t>Equity LifeStyle Properties, Inc. (NYSE:ELS)</w:t>
            </w:r>
          </w:p>
        </w:tc>
        <w:tc>
          <w:tcPr>
            <w:tcW w:w="1659" w:type="pct"/>
            <w:tcBorders>
              <w:top w:val="nil"/>
              <w:left w:val="nil"/>
              <w:bottom w:val="single" w:sz="4" w:space="0" w:color="auto"/>
              <w:right w:val="single" w:sz="4" w:space="0" w:color="auto"/>
            </w:tcBorders>
            <w:noWrap/>
            <w:vAlign w:val="bottom"/>
            <w:hideMark/>
          </w:tcPr>
          <w:p w14:paraId="48B220D3"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4FA0899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89296F6" w14:textId="77777777" w:rsidR="007D3934" w:rsidRPr="00660482" w:rsidRDefault="007D3934" w:rsidP="00AB016E">
            <w:pPr>
              <w:rPr>
                <w:color w:val="000000"/>
                <w:sz w:val="18"/>
                <w:szCs w:val="18"/>
              </w:rPr>
            </w:pPr>
            <w:r w:rsidRPr="00660482">
              <w:rPr>
                <w:color w:val="000000"/>
                <w:sz w:val="18"/>
                <w:szCs w:val="18"/>
              </w:rPr>
              <w:t>EQR</w:t>
            </w:r>
          </w:p>
        </w:tc>
        <w:tc>
          <w:tcPr>
            <w:tcW w:w="2837" w:type="pct"/>
            <w:tcBorders>
              <w:top w:val="nil"/>
              <w:left w:val="nil"/>
              <w:bottom w:val="single" w:sz="4" w:space="0" w:color="auto"/>
              <w:right w:val="single" w:sz="4" w:space="0" w:color="auto"/>
            </w:tcBorders>
            <w:noWrap/>
            <w:vAlign w:val="bottom"/>
            <w:hideMark/>
          </w:tcPr>
          <w:p w14:paraId="7AB5FD9B" w14:textId="77777777" w:rsidR="007D3934" w:rsidRPr="00660482" w:rsidRDefault="007D3934" w:rsidP="00AB016E">
            <w:pPr>
              <w:rPr>
                <w:color w:val="000000"/>
                <w:sz w:val="18"/>
                <w:szCs w:val="18"/>
              </w:rPr>
            </w:pPr>
            <w:r w:rsidRPr="00660482">
              <w:rPr>
                <w:color w:val="000000"/>
                <w:sz w:val="18"/>
                <w:szCs w:val="18"/>
              </w:rPr>
              <w:t>Equity Residential (NYSE:EQR)</w:t>
            </w:r>
          </w:p>
        </w:tc>
        <w:tc>
          <w:tcPr>
            <w:tcW w:w="1659" w:type="pct"/>
            <w:tcBorders>
              <w:top w:val="nil"/>
              <w:left w:val="nil"/>
              <w:bottom w:val="single" w:sz="4" w:space="0" w:color="auto"/>
              <w:right w:val="single" w:sz="4" w:space="0" w:color="auto"/>
            </w:tcBorders>
            <w:noWrap/>
            <w:vAlign w:val="bottom"/>
            <w:hideMark/>
          </w:tcPr>
          <w:p w14:paraId="32CF23E3"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553D57D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CCC372E" w14:textId="77777777" w:rsidR="007D3934" w:rsidRPr="00660482" w:rsidRDefault="007D3934" w:rsidP="00AB016E">
            <w:pPr>
              <w:rPr>
                <w:color w:val="000000"/>
                <w:sz w:val="18"/>
                <w:szCs w:val="18"/>
              </w:rPr>
            </w:pPr>
            <w:r w:rsidRPr="00660482">
              <w:rPr>
                <w:color w:val="000000"/>
                <w:sz w:val="18"/>
                <w:szCs w:val="18"/>
              </w:rPr>
              <w:t>ESS</w:t>
            </w:r>
          </w:p>
        </w:tc>
        <w:tc>
          <w:tcPr>
            <w:tcW w:w="2837" w:type="pct"/>
            <w:tcBorders>
              <w:top w:val="nil"/>
              <w:left w:val="nil"/>
              <w:bottom w:val="single" w:sz="4" w:space="0" w:color="auto"/>
              <w:right w:val="single" w:sz="4" w:space="0" w:color="auto"/>
            </w:tcBorders>
            <w:noWrap/>
            <w:vAlign w:val="bottom"/>
            <w:hideMark/>
          </w:tcPr>
          <w:p w14:paraId="216DD62D" w14:textId="77777777" w:rsidR="007D3934" w:rsidRPr="00660482" w:rsidRDefault="007D3934" w:rsidP="00AB016E">
            <w:pPr>
              <w:rPr>
                <w:color w:val="000000"/>
                <w:sz w:val="18"/>
                <w:szCs w:val="18"/>
              </w:rPr>
            </w:pPr>
            <w:r w:rsidRPr="00660482">
              <w:rPr>
                <w:color w:val="000000"/>
                <w:sz w:val="18"/>
                <w:szCs w:val="18"/>
              </w:rPr>
              <w:t>Essex Property Trust, Inc. (NYSE:ESS)</w:t>
            </w:r>
          </w:p>
        </w:tc>
        <w:tc>
          <w:tcPr>
            <w:tcW w:w="1659" w:type="pct"/>
            <w:tcBorders>
              <w:top w:val="nil"/>
              <w:left w:val="nil"/>
              <w:bottom w:val="single" w:sz="4" w:space="0" w:color="auto"/>
              <w:right w:val="single" w:sz="4" w:space="0" w:color="auto"/>
            </w:tcBorders>
            <w:noWrap/>
            <w:vAlign w:val="bottom"/>
            <w:hideMark/>
          </w:tcPr>
          <w:p w14:paraId="0DBE367F"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0184720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D5EB0D0" w14:textId="77777777" w:rsidR="007D3934" w:rsidRPr="00660482" w:rsidRDefault="007D3934" w:rsidP="00AB016E">
            <w:pPr>
              <w:rPr>
                <w:color w:val="000000"/>
                <w:sz w:val="18"/>
                <w:szCs w:val="18"/>
              </w:rPr>
            </w:pPr>
            <w:r w:rsidRPr="00660482">
              <w:rPr>
                <w:color w:val="000000"/>
                <w:sz w:val="18"/>
                <w:szCs w:val="18"/>
              </w:rPr>
              <w:t>INVH</w:t>
            </w:r>
          </w:p>
        </w:tc>
        <w:tc>
          <w:tcPr>
            <w:tcW w:w="2837" w:type="pct"/>
            <w:tcBorders>
              <w:top w:val="nil"/>
              <w:left w:val="nil"/>
              <w:bottom w:val="single" w:sz="4" w:space="0" w:color="auto"/>
              <w:right w:val="single" w:sz="4" w:space="0" w:color="auto"/>
            </w:tcBorders>
            <w:noWrap/>
            <w:vAlign w:val="bottom"/>
            <w:hideMark/>
          </w:tcPr>
          <w:p w14:paraId="24B1E4C5" w14:textId="77777777" w:rsidR="007D3934" w:rsidRPr="00660482" w:rsidRDefault="007D3934" w:rsidP="00AB016E">
            <w:pPr>
              <w:rPr>
                <w:color w:val="000000"/>
                <w:sz w:val="18"/>
                <w:szCs w:val="18"/>
              </w:rPr>
            </w:pPr>
            <w:r w:rsidRPr="00660482">
              <w:rPr>
                <w:color w:val="000000"/>
                <w:sz w:val="18"/>
                <w:szCs w:val="18"/>
              </w:rPr>
              <w:t>Invitation Homes Inc. (NYSE:INVH)</w:t>
            </w:r>
          </w:p>
        </w:tc>
        <w:tc>
          <w:tcPr>
            <w:tcW w:w="1659" w:type="pct"/>
            <w:tcBorders>
              <w:top w:val="nil"/>
              <w:left w:val="nil"/>
              <w:bottom w:val="single" w:sz="4" w:space="0" w:color="auto"/>
              <w:right w:val="single" w:sz="4" w:space="0" w:color="auto"/>
            </w:tcBorders>
            <w:noWrap/>
            <w:vAlign w:val="bottom"/>
            <w:hideMark/>
          </w:tcPr>
          <w:p w14:paraId="57A21ECD"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30D3D94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116F199" w14:textId="77777777" w:rsidR="007D3934" w:rsidRPr="00660482" w:rsidRDefault="007D3934" w:rsidP="00AB016E">
            <w:pPr>
              <w:rPr>
                <w:color w:val="000000"/>
                <w:sz w:val="18"/>
                <w:szCs w:val="18"/>
              </w:rPr>
            </w:pPr>
            <w:r w:rsidRPr="00660482">
              <w:rPr>
                <w:color w:val="000000"/>
                <w:sz w:val="18"/>
                <w:szCs w:val="18"/>
              </w:rPr>
              <w:t>IRT</w:t>
            </w:r>
          </w:p>
        </w:tc>
        <w:tc>
          <w:tcPr>
            <w:tcW w:w="2837" w:type="pct"/>
            <w:tcBorders>
              <w:top w:val="nil"/>
              <w:left w:val="nil"/>
              <w:bottom w:val="single" w:sz="4" w:space="0" w:color="auto"/>
              <w:right w:val="single" w:sz="4" w:space="0" w:color="auto"/>
            </w:tcBorders>
            <w:noWrap/>
            <w:vAlign w:val="bottom"/>
            <w:hideMark/>
          </w:tcPr>
          <w:p w14:paraId="783F54DE" w14:textId="77777777" w:rsidR="007D3934" w:rsidRPr="00660482" w:rsidRDefault="007D3934" w:rsidP="00AB016E">
            <w:pPr>
              <w:rPr>
                <w:color w:val="000000"/>
                <w:sz w:val="18"/>
                <w:szCs w:val="18"/>
              </w:rPr>
            </w:pPr>
            <w:r w:rsidRPr="00660482">
              <w:rPr>
                <w:color w:val="000000"/>
                <w:sz w:val="18"/>
                <w:szCs w:val="18"/>
              </w:rPr>
              <w:t>Independence Realty Trust, Inc. (NYSE:IRT)</w:t>
            </w:r>
          </w:p>
        </w:tc>
        <w:tc>
          <w:tcPr>
            <w:tcW w:w="1659" w:type="pct"/>
            <w:tcBorders>
              <w:top w:val="nil"/>
              <w:left w:val="nil"/>
              <w:bottom w:val="single" w:sz="4" w:space="0" w:color="auto"/>
              <w:right w:val="single" w:sz="4" w:space="0" w:color="auto"/>
            </w:tcBorders>
            <w:noWrap/>
            <w:vAlign w:val="bottom"/>
            <w:hideMark/>
          </w:tcPr>
          <w:p w14:paraId="30A7CF98"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78F15BC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A444C11" w14:textId="77777777" w:rsidR="007D3934" w:rsidRPr="00660482" w:rsidRDefault="007D3934" w:rsidP="00AB016E">
            <w:pPr>
              <w:rPr>
                <w:color w:val="000000"/>
                <w:sz w:val="18"/>
                <w:szCs w:val="18"/>
              </w:rPr>
            </w:pPr>
            <w:r w:rsidRPr="00660482">
              <w:rPr>
                <w:color w:val="000000"/>
                <w:sz w:val="18"/>
                <w:szCs w:val="18"/>
              </w:rPr>
              <w:t>MAA</w:t>
            </w:r>
          </w:p>
        </w:tc>
        <w:tc>
          <w:tcPr>
            <w:tcW w:w="2837" w:type="pct"/>
            <w:tcBorders>
              <w:top w:val="nil"/>
              <w:left w:val="nil"/>
              <w:bottom w:val="single" w:sz="4" w:space="0" w:color="auto"/>
              <w:right w:val="single" w:sz="4" w:space="0" w:color="auto"/>
            </w:tcBorders>
            <w:noWrap/>
            <w:vAlign w:val="bottom"/>
            <w:hideMark/>
          </w:tcPr>
          <w:p w14:paraId="39271400" w14:textId="77777777" w:rsidR="007D3934" w:rsidRPr="00660482" w:rsidRDefault="007D3934" w:rsidP="00AB016E">
            <w:pPr>
              <w:rPr>
                <w:color w:val="000000"/>
                <w:sz w:val="18"/>
                <w:szCs w:val="18"/>
              </w:rPr>
            </w:pPr>
            <w:r w:rsidRPr="00660482">
              <w:rPr>
                <w:color w:val="000000"/>
                <w:sz w:val="18"/>
                <w:szCs w:val="18"/>
              </w:rPr>
              <w:t>Mid-America Apartment Communities, Inc. (NYSE:MAA)</w:t>
            </w:r>
          </w:p>
        </w:tc>
        <w:tc>
          <w:tcPr>
            <w:tcW w:w="1659" w:type="pct"/>
            <w:tcBorders>
              <w:top w:val="nil"/>
              <w:left w:val="nil"/>
              <w:bottom w:val="single" w:sz="4" w:space="0" w:color="auto"/>
              <w:right w:val="single" w:sz="4" w:space="0" w:color="auto"/>
            </w:tcBorders>
            <w:noWrap/>
            <w:vAlign w:val="bottom"/>
            <w:hideMark/>
          </w:tcPr>
          <w:p w14:paraId="2B370617"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11CD9FB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E5A9657" w14:textId="77777777" w:rsidR="007D3934" w:rsidRPr="00660482" w:rsidRDefault="007D3934" w:rsidP="00AB016E">
            <w:pPr>
              <w:rPr>
                <w:color w:val="000000"/>
                <w:sz w:val="18"/>
                <w:szCs w:val="18"/>
              </w:rPr>
            </w:pPr>
            <w:r w:rsidRPr="00660482">
              <w:rPr>
                <w:color w:val="000000"/>
                <w:sz w:val="18"/>
                <w:szCs w:val="18"/>
              </w:rPr>
              <w:t>NXRT</w:t>
            </w:r>
          </w:p>
        </w:tc>
        <w:tc>
          <w:tcPr>
            <w:tcW w:w="2837" w:type="pct"/>
            <w:tcBorders>
              <w:top w:val="nil"/>
              <w:left w:val="nil"/>
              <w:bottom w:val="single" w:sz="4" w:space="0" w:color="auto"/>
              <w:right w:val="single" w:sz="4" w:space="0" w:color="auto"/>
            </w:tcBorders>
            <w:noWrap/>
            <w:vAlign w:val="bottom"/>
            <w:hideMark/>
          </w:tcPr>
          <w:p w14:paraId="54467886" w14:textId="77777777" w:rsidR="007D3934" w:rsidRPr="00660482" w:rsidRDefault="007D3934" w:rsidP="00AB016E">
            <w:pPr>
              <w:rPr>
                <w:color w:val="000000"/>
                <w:sz w:val="18"/>
                <w:szCs w:val="18"/>
              </w:rPr>
            </w:pPr>
            <w:r w:rsidRPr="00660482">
              <w:rPr>
                <w:color w:val="000000"/>
                <w:sz w:val="18"/>
                <w:szCs w:val="18"/>
              </w:rPr>
              <w:t>NexPoint Residential Trust, Inc. (NYSE:NXRT)</w:t>
            </w:r>
          </w:p>
        </w:tc>
        <w:tc>
          <w:tcPr>
            <w:tcW w:w="1659" w:type="pct"/>
            <w:tcBorders>
              <w:top w:val="nil"/>
              <w:left w:val="nil"/>
              <w:bottom w:val="single" w:sz="4" w:space="0" w:color="auto"/>
              <w:right w:val="single" w:sz="4" w:space="0" w:color="auto"/>
            </w:tcBorders>
            <w:noWrap/>
            <w:vAlign w:val="bottom"/>
            <w:hideMark/>
          </w:tcPr>
          <w:p w14:paraId="2E8A7C41"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23105BF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874B148" w14:textId="77777777" w:rsidR="007D3934" w:rsidRPr="00660482" w:rsidRDefault="007D3934" w:rsidP="00AB016E">
            <w:pPr>
              <w:rPr>
                <w:color w:val="000000"/>
                <w:sz w:val="18"/>
                <w:szCs w:val="18"/>
              </w:rPr>
            </w:pPr>
            <w:r w:rsidRPr="00660482">
              <w:rPr>
                <w:color w:val="000000"/>
                <w:sz w:val="18"/>
                <w:szCs w:val="18"/>
              </w:rPr>
              <w:t>SUI</w:t>
            </w:r>
          </w:p>
        </w:tc>
        <w:tc>
          <w:tcPr>
            <w:tcW w:w="2837" w:type="pct"/>
            <w:tcBorders>
              <w:top w:val="nil"/>
              <w:left w:val="nil"/>
              <w:bottom w:val="single" w:sz="4" w:space="0" w:color="auto"/>
              <w:right w:val="single" w:sz="4" w:space="0" w:color="auto"/>
            </w:tcBorders>
            <w:noWrap/>
            <w:vAlign w:val="bottom"/>
            <w:hideMark/>
          </w:tcPr>
          <w:p w14:paraId="4FC1D86B" w14:textId="77777777" w:rsidR="007D3934" w:rsidRPr="00660482" w:rsidRDefault="007D3934" w:rsidP="00AB016E">
            <w:pPr>
              <w:rPr>
                <w:color w:val="000000"/>
                <w:sz w:val="18"/>
                <w:szCs w:val="18"/>
              </w:rPr>
            </w:pPr>
            <w:r w:rsidRPr="00660482">
              <w:rPr>
                <w:color w:val="000000"/>
                <w:sz w:val="18"/>
                <w:szCs w:val="18"/>
              </w:rPr>
              <w:t>Sun Communities, Inc. (NYSE:SUI)</w:t>
            </w:r>
          </w:p>
        </w:tc>
        <w:tc>
          <w:tcPr>
            <w:tcW w:w="1659" w:type="pct"/>
            <w:tcBorders>
              <w:top w:val="nil"/>
              <w:left w:val="nil"/>
              <w:bottom w:val="single" w:sz="4" w:space="0" w:color="auto"/>
              <w:right w:val="single" w:sz="4" w:space="0" w:color="auto"/>
            </w:tcBorders>
            <w:noWrap/>
            <w:vAlign w:val="bottom"/>
            <w:hideMark/>
          </w:tcPr>
          <w:p w14:paraId="5A9862BA"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3F778E7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5A46613" w14:textId="77777777" w:rsidR="007D3934" w:rsidRPr="00660482" w:rsidRDefault="007D3934" w:rsidP="00AB016E">
            <w:pPr>
              <w:rPr>
                <w:color w:val="000000"/>
                <w:sz w:val="18"/>
                <w:szCs w:val="18"/>
              </w:rPr>
            </w:pPr>
            <w:r w:rsidRPr="00660482">
              <w:rPr>
                <w:color w:val="000000"/>
                <w:sz w:val="18"/>
                <w:szCs w:val="18"/>
              </w:rPr>
              <w:t>UDR</w:t>
            </w:r>
          </w:p>
        </w:tc>
        <w:tc>
          <w:tcPr>
            <w:tcW w:w="2837" w:type="pct"/>
            <w:tcBorders>
              <w:top w:val="nil"/>
              <w:left w:val="nil"/>
              <w:bottom w:val="single" w:sz="4" w:space="0" w:color="auto"/>
              <w:right w:val="single" w:sz="4" w:space="0" w:color="auto"/>
            </w:tcBorders>
            <w:noWrap/>
            <w:vAlign w:val="bottom"/>
            <w:hideMark/>
          </w:tcPr>
          <w:p w14:paraId="4EECB6DA" w14:textId="77777777" w:rsidR="007D3934" w:rsidRPr="00660482" w:rsidRDefault="007D3934" w:rsidP="00AB016E">
            <w:pPr>
              <w:rPr>
                <w:color w:val="000000"/>
                <w:sz w:val="18"/>
                <w:szCs w:val="18"/>
              </w:rPr>
            </w:pPr>
            <w:r w:rsidRPr="00660482">
              <w:rPr>
                <w:color w:val="000000"/>
                <w:sz w:val="18"/>
                <w:szCs w:val="18"/>
              </w:rPr>
              <w:t>UDR, Inc. (NYSE:UDR)</w:t>
            </w:r>
          </w:p>
        </w:tc>
        <w:tc>
          <w:tcPr>
            <w:tcW w:w="1659" w:type="pct"/>
            <w:tcBorders>
              <w:top w:val="nil"/>
              <w:left w:val="nil"/>
              <w:bottom w:val="single" w:sz="4" w:space="0" w:color="auto"/>
              <w:right w:val="single" w:sz="4" w:space="0" w:color="auto"/>
            </w:tcBorders>
            <w:noWrap/>
            <w:vAlign w:val="bottom"/>
            <w:hideMark/>
          </w:tcPr>
          <w:p w14:paraId="6A2F9BC4"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518F266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8A2148B" w14:textId="77777777" w:rsidR="007D3934" w:rsidRPr="00660482" w:rsidRDefault="007D3934" w:rsidP="00AB016E">
            <w:pPr>
              <w:rPr>
                <w:color w:val="000000"/>
                <w:sz w:val="18"/>
                <w:szCs w:val="18"/>
              </w:rPr>
            </w:pPr>
            <w:r w:rsidRPr="00660482">
              <w:rPr>
                <w:color w:val="000000"/>
                <w:sz w:val="18"/>
                <w:szCs w:val="18"/>
              </w:rPr>
              <w:t>UMH</w:t>
            </w:r>
          </w:p>
        </w:tc>
        <w:tc>
          <w:tcPr>
            <w:tcW w:w="2837" w:type="pct"/>
            <w:tcBorders>
              <w:top w:val="nil"/>
              <w:left w:val="nil"/>
              <w:bottom w:val="single" w:sz="4" w:space="0" w:color="auto"/>
              <w:right w:val="single" w:sz="4" w:space="0" w:color="auto"/>
            </w:tcBorders>
            <w:noWrap/>
            <w:vAlign w:val="bottom"/>
            <w:hideMark/>
          </w:tcPr>
          <w:p w14:paraId="2CFB0F1C" w14:textId="77777777" w:rsidR="007D3934" w:rsidRPr="00660482" w:rsidRDefault="007D3934" w:rsidP="00AB016E">
            <w:pPr>
              <w:rPr>
                <w:color w:val="000000"/>
                <w:sz w:val="18"/>
                <w:szCs w:val="18"/>
              </w:rPr>
            </w:pPr>
            <w:r w:rsidRPr="00660482">
              <w:rPr>
                <w:color w:val="000000"/>
                <w:sz w:val="18"/>
                <w:szCs w:val="18"/>
              </w:rPr>
              <w:t>UMH Properties, Inc. (NYSE:UMH)</w:t>
            </w:r>
          </w:p>
        </w:tc>
        <w:tc>
          <w:tcPr>
            <w:tcW w:w="1659" w:type="pct"/>
            <w:tcBorders>
              <w:top w:val="nil"/>
              <w:left w:val="nil"/>
              <w:bottom w:val="single" w:sz="4" w:space="0" w:color="auto"/>
              <w:right w:val="single" w:sz="4" w:space="0" w:color="auto"/>
            </w:tcBorders>
            <w:noWrap/>
            <w:vAlign w:val="bottom"/>
            <w:hideMark/>
          </w:tcPr>
          <w:p w14:paraId="367F6D41"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030BADD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BC17524" w14:textId="77777777" w:rsidR="007D3934" w:rsidRPr="00660482" w:rsidRDefault="007D3934" w:rsidP="00AB016E">
            <w:pPr>
              <w:rPr>
                <w:color w:val="000000"/>
                <w:sz w:val="18"/>
                <w:szCs w:val="18"/>
              </w:rPr>
            </w:pPr>
            <w:r w:rsidRPr="00660482">
              <w:rPr>
                <w:color w:val="000000"/>
                <w:sz w:val="18"/>
                <w:szCs w:val="18"/>
              </w:rPr>
              <w:t>VRE</w:t>
            </w:r>
          </w:p>
        </w:tc>
        <w:tc>
          <w:tcPr>
            <w:tcW w:w="2837" w:type="pct"/>
            <w:tcBorders>
              <w:top w:val="nil"/>
              <w:left w:val="nil"/>
              <w:bottom w:val="single" w:sz="4" w:space="0" w:color="auto"/>
              <w:right w:val="single" w:sz="4" w:space="0" w:color="auto"/>
            </w:tcBorders>
            <w:noWrap/>
            <w:vAlign w:val="bottom"/>
            <w:hideMark/>
          </w:tcPr>
          <w:p w14:paraId="47B7CE9A" w14:textId="77777777" w:rsidR="007D3934" w:rsidRPr="00660482" w:rsidRDefault="007D3934" w:rsidP="00AB016E">
            <w:pPr>
              <w:rPr>
                <w:color w:val="000000"/>
                <w:sz w:val="18"/>
                <w:szCs w:val="18"/>
              </w:rPr>
            </w:pPr>
            <w:r w:rsidRPr="00660482">
              <w:rPr>
                <w:color w:val="000000"/>
                <w:sz w:val="18"/>
                <w:szCs w:val="18"/>
              </w:rPr>
              <w:t>Veris Residential, Inc. (NYSE:VRE)</w:t>
            </w:r>
          </w:p>
        </w:tc>
        <w:tc>
          <w:tcPr>
            <w:tcW w:w="1659" w:type="pct"/>
            <w:tcBorders>
              <w:top w:val="nil"/>
              <w:left w:val="nil"/>
              <w:bottom w:val="single" w:sz="4" w:space="0" w:color="auto"/>
              <w:right w:val="single" w:sz="4" w:space="0" w:color="auto"/>
            </w:tcBorders>
            <w:noWrap/>
            <w:vAlign w:val="bottom"/>
            <w:hideMark/>
          </w:tcPr>
          <w:p w14:paraId="717DD2C4" w14:textId="77777777" w:rsidR="007D3934" w:rsidRPr="00660482" w:rsidRDefault="007D3934" w:rsidP="00AB016E">
            <w:pPr>
              <w:rPr>
                <w:color w:val="000000"/>
                <w:sz w:val="18"/>
                <w:szCs w:val="18"/>
              </w:rPr>
            </w:pPr>
            <w:r w:rsidRPr="00660482">
              <w:rPr>
                <w:color w:val="000000"/>
                <w:sz w:val="18"/>
                <w:szCs w:val="18"/>
              </w:rPr>
              <w:t>Residential REITs (Primary)</w:t>
            </w:r>
          </w:p>
        </w:tc>
      </w:tr>
      <w:tr w:rsidR="007D3934" w:rsidRPr="00660482" w14:paraId="00220FF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21864F8" w14:textId="77777777" w:rsidR="007D3934" w:rsidRPr="00660482" w:rsidRDefault="007D3934" w:rsidP="00AB016E">
            <w:pPr>
              <w:rPr>
                <w:color w:val="000000"/>
                <w:sz w:val="18"/>
                <w:szCs w:val="18"/>
              </w:rPr>
            </w:pPr>
            <w:r w:rsidRPr="00660482">
              <w:rPr>
                <w:color w:val="000000"/>
                <w:sz w:val="18"/>
                <w:szCs w:val="18"/>
              </w:rPr>
              <w:t>ADC</w:t>
            </w:r>
          </w:p>
        </w:tc>
        <w:tc>
          <w:tcPr>
            <w:tcW w:w="2837" w:type="pct"/>
            <w:tcBorders>
              <w:top w:val="nil"/>
              <w:left w:val="nil"/>
              <w:bottom w:val="single" w:sz="4" w:space="0" w:color="auto"/>
              <w:right w:val="single" w:sz="4" w:space="0" w:color="auto"/>
            </w:tcBorders>
            <w:noWrap/>
            <w:vAlign w:val="bottom"/>
            <w:hideMark/>
          </w:tcPr>
          <w:p w14:paraId="2CE67ED3" w14:textId="77777777" w:rsidR="007D3934" w:rsidRPr="00660482" w:rsidRDefault="007D3934" w:rsidP="00AB016E">
            <w:pPr>
              <w:rPr>
                <w:color w:val="000000"/>
                <w:sz w:val="18"/>
                <w:szCs w:val="18"/>
              </w:rPr>
            </w:pPr>
            <w:r w:rsidRPr="00660482">
              <w:rPr>
                <w:color w:val="000000"/>
                <w:sz w:val="18"/>
                <w:szCs w:val="18"/>
              </w:rPr>
              <w:t>Agree Realty Corporation (NYSE:ADC)</w:t>
            </w:r>
          </w:p>
        </w:tc>
        <w:tc>
          <w:tcPr>
            <w:tcW w:w="1659" w:type="pct"/>
            <w:tcBorders>
              <w:top w:val="nil"/>
              <w:left w:val="nil"/>
              <w:bottom w:val="single" w:sz="4" w:space="0" w:color="auto"/>
              <w:right w:val="single" w:sz="4" w:space="0" w:color="auto"/>
            </w:tcBorders>
            <w:noWrap/>
            <w:vAlign w:val="bottom"/>
            <w:hideMark/>
          </w:tcPr>
          <w:p w14:paraId="219C3175"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7D30C51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5CAAAD4" w14:textId="77777777" w:rsidR="007D3934" w:rsidRPr="00660482" w:rsidRDefault="007D3934" w:rsidP="00AB016E">
            <w:pPr>
              <w:rPr>
                <w:color w:val="000000"/>
                <w:sz w:val="18"/>
                <w:szCs w:val="18"/>
              </w:rPr>
            </w:pPr>
            <w:r w:rsidRPr="00660482">
              <w:rPr>
                <w:color w:val="000000"/>
                <w:sz w:val="18"/>
                <w:szCs w:val="18"/>
              </w:rPr>
              <w:t>AKR</w:t>
            </w:r>
          </w:p>
        </w:tc>
        <w:tc>
          <w:tcPr>
            <w:tcW w:w="2837" w:type="pct"/>
            <w:tcBorders>
              <w:top w:val="nil"/>
              <w:left w:val="nil"/>
              <w:bottom w:val="single" w:sz="4" w:space="0" w:color="auto"/>
              <w:right w:val="single" w:sz="4" w:space="0" w:color="auto"/>
            </w:tcBorders>
            <w:noWrap/>
            <w:vAlign w:val="bottom"/>
            <w:hideMark/>
          </w:tcPr>
          <w:p w14:paraId="3B0860C8" w14:textId="77777777" w:rsidR="007D3934" w:rsidRPr="00660482" w:rsidRDefault="007D3934" w:rsidP="00AB016E">
            <w:pPr>
              <w:rPr>
                <w:color w:val="000000"/>
                <w:sz w:val="18"/>
                <w:szCs w:val="18"/>
              </w:rPr>
            </w:pPr>
            <w:r w:rsidRPr="00660482">
              <w:rPr>
                <w:color w:val="000000"/>
                <w:sz w:val="18"/>
                <w:szCs w:val="18"/>
              </w:rPr>
              <w:t>Acadia Realty Trust (NYSE:AKR)</w:t>
            </w:r>
          </w:p>
        </w:tc>
        <w:tc>
          <w:tcPr>
            <w:tcW w:w="1659" w:type="pct"/>
            <w:tcBorders>
              <w:top w:val="nil"/>
              <w:left w:val="nil"/>
              <w:bottom w:val="single" w:sz="4" w:space="0" w:color="auto"/>
              <w:right w:val="single" w:sz="4" w:space="0" w:color="auto"/>
            </w:tcBorders>
            <w:noWrap/>
            <w:vAlign w:val="bottom"/>
            <w:hideMark/>
          </w:tcPr>
          <w:p w14:paraId="4B75B1BF"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5401456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30652AE" w14:textId="77777777" w:rsidR="007D3934" w:rsidRPr="00660482" w:rsidRDefault="007D3934" w:rsidP="00AB016E">
            <w:pPr>
              <w:rPr>
                <w:color w:val="000000"/>
                <w:sz w:val="18"/>
                <w:szCs w:val="18"/>
              </w:rPr>
            </w:pPr>
            <w:r w:rsidRPr="00660482">
              <w:rPr>
                <w:color w:val="000000"/>
                <w:sz w:val="18"/>
                <w:szCs w:val="18"/>
              </w:rPr>
              <w:t>ALX</w:t>
            </w:r>
          </w:p>
        </w:tc>
        <w:tc>
          <w:tcPr>
            <w:tcW w:w="2837" w:type="pct"/>
            <w:tcBorders>
              <w:top w:val="nil"/>
              <w:left w:val="nil"/>
              <w:bottom w:val="single" w:sz="4" w:space="0" w:color="auto"/>
              <w:right w:val="single" w:sz="4" w:space="0" w:color="auto"/>
            </w:tcBorders>
            <w:noWrap/>
            <w:vAlign w:val="bottom"/>
            <w:hideMark/>
          </w:tcPr>
          <w:p w14:paraId="349ECE21" w14:textId="77777777" w:rsidR="007D3934" w:rsidRPr="00660482" w:rsidRDefault="007D3934" w:rsidP="00AB016E">
            <w:pPr>
              <w:rPr>
                <w:color w:val="000000"/>
                <w:sz w:val="18"/>
                <w:szCs w:val="18"/>
              </w:rPr>
            </w:pPr>
            <w:r w:rsidRPr="00660482">
              <w:rPr>
                <w:color w:val="000000"/>
                <w:sz w:val="18"/>
                <w:szCs w:val="18"/>
              </w:rPr>
              <w:t>Alexander's, Inc. (NYSE:ALX)</w:t>
            </w:r>
          </w:p>
        </w:tc>
        <w:tc>
          <w:tcPr>
            <w:tcW w:w="1659" w:type="pct"/>
            <w:tcBorders>
              <w:top w:val="nil"/>
              <w:left w:val="nil"/>
              <w:bottom w:val="single" w:sz="4" w:space="0" w:color="auto"/>
              <w:right w:val="single" w:sz="4" w:space="0" w:color="auto"/>
            </w:tcBorders>
            <w:noWrap/>
            <w:vAlign w:val="bottom"/>
            <w:hideMark/>
          </w:tcPr>
          <w:p w14:paraId="4B569790"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EC5A81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FD0754E" w14:textId="77777777" w:rsidR="007D3934" w:rsidRPr="00660482" w:rsidRDefault="007D3934" w:rsidP="00AB016E">
            <w:pPr>
              <w:rPr>
                <w:color w:val="000000"/>
                <w:sz w:val="18"/>
                <w:szCs w:val="18"/>
              </w:rPr>
            </w:pPr>
            <w:r w:rsidRPr="00660482">
              <w:rPr>
                <w:color w:val="000000"/>
                <w:sz w:val="18"/>
                <w:szCs w:val="18"/>
              </w:rPr>
              <w:t>BFS</w:t>
            </w:r>
          </w:p>
        </w:tc>
        <w:tc>
          <w:tcPr>
            <w:tcW w:w="2837" w:type="pct"/>
            <w:tcBorders>
              <w:top w:val="nil"/>
              <w:left w:val="nil"/>
              <w:bottom w:val="single" w:sz="4" w:space="0" w:color="auto"/>
              <w:right w:val="single" w:sz="4" w:space="0" w:color="auto"/>
            </w:tcBorders>
            <w:noWrap/>
            <w:vAlign w:val="bottom"/>
            <w:hideMark/>
          </w:tcPr>
          <w:p w14:paraId="0B3118F7" w14:textId="77777777" w:rsidR="007D3934" w:rsidRPr="00660482" w:rsidRDefault="007D3934" w:rsidP="00AB016E">
            <w:pPr>
              <w:rPr>
                <w:color w:val="000000"/>
                <w:sz w:val="18"/>
                <w:szCs w:val="18"/>
              </w:rPr>
            </w:pPr>
            <w:r w:rsidRPr="00660482">
              <w:rPr>
                <w:color w:val="000000"/>
                <w:sz w:val="18"/>
                <w:szCs w:val="18"/>
              </w:rPr>
              <w:t>Saul Centers, Inc. (NYSE:BFS)</w:t>
            </w:r>
          </w:p>
        </w:tc>
        <w:tc>
          <w:tcPr>
            <w:tcW w:w="1659" w:type="pct"/>
            <w:tcBorders>
              <w:top w:val="nil"/>
              <w:left w:val="nil"/>
              <w:bottom w:val="single" w:sz="4" w:space="0" w:color="auto"/>
              <w:right w:val="single" w:sz="4" w:space="0" w:color="auto"/>
            </w:tcBorders>
            <w:noWrap/>
            <w:vAlign w:val="bottom"/>
            <w:hideMark/>
          </w:tcPr>
          <w:p w14:paraId="75977738"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1491C5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FCE40DE" w14:textId="77777777" w:rsidR="007D3934" w:rsidRPr="00660482" w:rsidRDefault="007D3934" w:rsidP="00AB016E">
            <w:pPr>
              <w:rPr>
                <w:color w:val="000000"/>
                <w:sz w:val="18"/>
                <w:szCs w:val="18"/>
              </w:rPr>
            </w:pPr>
            <w:r w:rsidRPr="00660482">
              <w:rPr>
                <w:color w:val="000000"/>
                <w:sz w:val="18"/>
                <w:szCs w:val="18"/>
              </w:rPr>
              <w:t>BRX</w:t>
            </w:r>
          </w:p>
        </w:tc>
        <w:tc>
          <w:tcPr>
            <w:tcW w:w="2837" w:type="pct"/>
            <w:tcBorders>
              <w:top w:val="nil"/>
              <w:left w:val="nil"/>
              <w:bottom w:val="single" w:sz="4" w:space="0" w:color="auto"/>
              <w:right w:val="single" w:sz="4" w:space="0" w:color="auto"/>
            </w:tcBorders>
            <w:noWrap/>
            <w:vAlign w:val="bottom"/>
            <w:hideMark/>
          </w:tcPr>
          <w:p w14:paraId="769B3533" w14:textId="77777777" w:rsidR="007D3934" w:rsidRPr="00660482" w:rsidRDefault="007D3934" w:rsidP="00AB016E">
            <w:pPr>
              <w:rPr>
                <w:color w:val="000000"/>
                <w:sz w:val="18"/>
                <w:szCs w:val="18"/>
              </w:rPr>
            </w:pPr>
            <w:r w:rsidRPr="00660482">
              <w:rPr>
                <w:color w:val="000000"/>
                <w:sz w:val="18"/>
                <w:szCs w:val="18"/>
              </w:rPr>
              <w:t>Brixmor Property Group Inc. (NYSE:BRX)</w:t>
            </w:r>
          </w:p>
        </w:tc>
        <w:tc>
          <w:tcPr>
            <w:tcW w:w="1659" w:type="pct"/>
            <w:tcBorders>
              <w:top w:val="nil"/>
              <w:left w:val="nil"/>
              <w:bottom w:val="single" w:sz="4" w:space="0" w:color="auto"/>
              <w:right w:val="single" w:sz="4" w:space="0" w:color="auto"/>
            </w:tcBorders>
            <w:noWrap/>
            <w:vAlign w:val="bottom"/>
            <w:hideMark/>
          </w:tcPr>
          <w:p w14:paraId="3B54DA57"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DAD14B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CD0FC30" w14:textId="77777777" w:rsidR="007D3934" w:rsidRPr="00660482" w:rsidRDefault="007D3934" w:rsidP="00AB016E">
            <w:pPr>
              <w:rPr>
                <w:color w:val="000000"/>
                <w:sz w:val="18"/>
                <w:szCs w:val="18"/>
              </w:rPr>
            </w:pPr>
            <w:r w:rsidRPr="00660482">
              <w:rPr>
                <w:color w:val="000000"/>
                <w:sz w:val="18"/>
                <w:szCs w:val="18"/>
              </w:rPr>
              <w:t>CBL</w:t>
            </w:r>
          </w:p>
        </w:tc>
        <w:tc>
          <w:tcPr>
            <w:tcW w:w="2837" w:type="pct"/>
            <w:tcBorders>
              <w:top w:val="nil"/>
              <w:left w:val="nil"/>
              <w:bottom w:val="single" w:sz="4" w:space="0" w:color="auto"/>
              <w:right w:val="single" w:sz="4" w:space="0" w:color="auto"/>
            </w:tcBorders>
            <w:noWrap/>
            <w:vAlign w:val="bottom"/>
            <w:hideMark/>
          </w:tcPr>
          <w:p w14:paraId="68679B52" w14:textId="77777777" w:rsidR="007D3934" w:rsidRPr="00660482" w:rsidRDefault="007D3934" w:rsidP="00AB016E">
            <w:pPr>
              <w:rPr>
                <w:color w:val="000000"/>
                <w:sz w:val="18"/>
                <w:szCs w:val="18"/>
              </w:rPr>
            </w:pPr>
            <w:r w:rsidRPr="00660482">
              <w:rPr>
                <w:color w:val="000000"/>
                <w:sz w:val="18"/>
                <w:szCs w:val="18"/>
              </w:rPr>
              <w:t>CBL &amp; Associates Properties, Inc. (NYSE:CBL)</w:t>
            </w:r>
          </w:p>
        </w:tc>
        <w:tc>
          <w:tcPr>
            <w:tcW w:w="1659" w:type="pct"/>
            <w:tcBorders>
              <w:top w:val="nil"/>
              <w:left w:val="nil"/>
              <w:bottom w:val="single" w:sz="4" w:space="0" w:color="auto"/>
              <w:right w:val="single" w:sz="4" w:space="0" w:color="auto"/>
            </w:tcBorders>
            <w:noWrap/>
            <w:vAlign w:val="bottom"/>
            <w:hideMark/>
          </w:tcPr>
          <w:p w14:paraId="69BE897B"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2B1E068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40092F1" w14:textId="77777777" w:rsidR="007D3934" w:rsidRPr="00660482" w:rsidRDefault="007D3934" w:rsidP="00AB016E">
            <w:pPr>
              <w:rPr>
                <w:color w:val="000000"/>
                <w:sz w:val="18"/>
                <w:szCs w:val="18"/>
              </w:rPr>
            </w:pPr>
            <w:r w:rsidRPr="00660482">
              <w:rPr>
                <w:color w:val="000000"/>
                <w:sz w:val="18"/>
                <w:szCs w:val="18"/>
              </w:rPr>
              <w:t>FRT</w:t>
            </w:r>
          </w:p>
        </w:tc>
        <w:tc>
          <w:tcPr>
            <w:tcW w:w="2837" w:type="pct"/>
            <w:tcBorders>
              <w:top w:val="nil"/>
              <w:left w:val="nil"/>
              <w:bottom w:val="single" w:sz="4" w:space="0" w:color="auto"/>
              <w:right w:val="single" w:sz="4" w:space="0" w:color="auto"/>
            </w:tcBorders>
            <w:noWrap/>
            <w:vAlign w:val="bottom"/>
            <w:hideMark/>
          </w:tcPr>
          <w:p w14:paraId="2511CE97" w14:textId="77777777" w:rsidR="007D3934" w:rsidRPr="00660482" w:rsidRDefault="007D3934" w:rsidP="00AB016E">
            <w:pPr>
              <w:rPr>
                <w:color w:val="000000"/>
                <w:sz w:val="18"/>
                <w:szCs w:val="18"/>
              </w:rPr>
            </w:pPr>
            <w:r w:rsidRPr="00660482">
              <w:rPr>
                <w:color w:val="000000"/>
                <w:sz w:val="18"/>
                <w:szCs w:val="18"/>
              </w:rPr>
              <w:t>Federal Realty Investment Trust (NYSE:FRT)</w:t>
            </w:r>
          </w:p>
        </w:tc>
        <w:tc>
          <w:tcPr>
            <w:tcW w:w="1659" w:type="pct"/>
            <w:tcBorders>
              <w:top w:val="nil"/>
              <w:left w:val="nil"/>
              <w:bottom w:val="single" w:sz="4" w:space="0" w:color="auto"/>
              <w:right w:val="single" w:sz="4" w:space="0" w:color="auto"/>
            </w:tcBorders>
            <w:noWrap/>
            <w:vAlign w:val="bottom"/>
            <w:hideMark/>
          </w:tcPr>
          <w:p w14:paraId="372F42AF"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5BB5824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9ECF914" w14:textId="77777777" w:rsidR="007D3934" w:rsidRPr="00660482" w:rsidRDefault="007D3934" w:rsidP="00AB016E">
            <w:pPr>
              <w:rPr>
                <w:color w:val="000000"/>
                <w:sz w:val="18"/>
                <w:szCs w:val="18"/>
              </w:rPr>
            </w:pPr>
            <w:r w:rsidRPr="00660482">
              <w:rPr>
                <w:color w:val="000000"/>
                <w:sz w:val="18"/>
                <w:szCs w:val="18"/>
              </w:rPr>
              <w:t>GTY</w:t>
            </w:r>
          </w:p>
        </w:tc>
        <w:tc>
          <w:tcPr>
            <w:tcW w:w="2837" w:type="pct"/>
            <w:tcBorders>
              <w:top w:val="nil"/>
              <w:left w:val="nil"/>
              <w:bottom w:val="single" w:sz="4" w:space="0" w:color="auto"/>
              <w:right w:val="single" w:sz="4" w:space="0" w:color="auto"/>
            </w:tcBorders>
            <w:noWrap/>
            <w:vAlign w:val="bottom"/>
            <w:hideMark/>
          </w:tcPr>
          <w:p w14:paraId="531C4929" w14:textId="77777777" w:rsidR="007D3934" w:rsidRPr="00660482" w:rsidRDefault="007D3934" w:rsidP="00AB016E">
            <w:pPr>
              <w:rPr>
                <w:color w:val="000000"/>
                <w:sz w:val="18"/>
                <w:szCs w:val="18"/>
              </w:rPr>
            </w:pPr>
            <w:r w:rsidRPr="00660482">
              <w:rPr>
                <w:color w:val="000000"/>
                <w:sz w:val="18"/>
                <w:szCs w:val="18"/>
              </w:rPr>
              <w:t>Getty Realty Corp. (NYSE:GTY)</w:t>
            </w:r>
          </w:p>
        </w:tc>
        <w:tc>
          <w:tcPr>
            <w:tcW w:w="1659" w:type="pct"/>
            <w:tcBorders>
              <w:top w:val="nil"/>
              <w:left w:val="nil"/>
              <w:bottom w:val="single" w:sz="4" w:space="0" w:color="auto"/>
              <w:right w:val="single" w:sz="4" w:space="0" w:color="auto"/>
            </w:tcBorders>
            <w:noWrap/>
            <w:vAlign w:val="bottom"/>
            <w:hideMark/>
          </w:tcPr>
          <w:p w14:paraId="7F2F7C03"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29065EE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D542CD2" w14:textId="77777777" w:rsidR="007D3934" w:rsidRPr="00660482" w:rsidRDefault="007D3934" w:rsidP="00AB016E">
            <w:pPr>
              <w:rPr>
                <w:color w:val="000000"/>
                <w:sz w:val="18"/>
                <w:szCs w:val="18"/>
              </w:rPr>
            </w:pPr>
            <w:r w:rsidRPr="00660482">
              <w:rPr>
                <w:color w:val="000000"/>
                <w:sz w:val="18"/>
                <w:szCs w:val="18"/>
              </w:rPr>
              <w:t>IVT</w:t>
            </w:r>
          </w:p>
        </w:tc>
        <w:tc>
          <w:tcPr>
            <w:tcW w:w="2837" w:type="pct"/>
            <w:tcBorders>
              <w:top w:val="nil"/>
              <w:left w:val="nil"/>
              <w:bottom w:val="single" w:sz="4" w:space="0" w:color="auto"/>
              <w:right w:val="single" w:sz="4" w:space="0" w:color="auto"/>
            </w:tcBorders>
            <w:noWrap/>
            <w:vAlign w:val="bottom"/>
            <w:hideMark/>
          </w:tcPr>
          <w:p w14:paraId="01484943" w14:textId="77777777" w:rsidR="007D3934" w:rsidRPr="00660482" w:rsidRDefault="007D3934" w:rsidP="00AB016E">
            <w:pPr>
              <w:rPr>
                <w:color w:val="000000"/>
                <w:sz w:val="18"/>
                <w:szCs w:val="18"/>
              </w:rPr>
            </w:pPr>
            <w:r w:rsidRPr="00660482">
              <w:rPr>
                <w:color w:val="000000"/>
                <w:sz w:val="18"/>
                <w:szCs w:val="18"/>
              </w:rPr>
              <w:t>InvenTrust Properties Corp. (NYSE:IVT)</w:t>
            </w:r>
          </w:p>
        </w:tc>
        <w:tc>
          <w:tcPr>
            <w:tcW w:w="1659" w:type="pct"/>
            <w:tcBorders>
              <w:top w:val="nil"/>
              <w:left w:val="nil"/>
              <w:bottom w:val="single" w:sz="4" w:space="0" w:color="auto"/>
              <w:right w:val="single" w:sz="4" w:space="0" w:color="auto"/>
            </w:tcBorders>
            <w:noWrap/>
            <w:vAlign w:val="bottom"/>
            <w:hideMark/>
          </w:tcPr>
          <w:p w14:paraId="4D2F4211"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26DC7E54"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4733887" w14:textId="77777777" w:rsidR="007D3934" w:rsidRPr="00660482" w:rsidRDefault="007D3934" w:rsidP="00AB016E">
            <w:pPr>
              <w:rPr>
                <w:color w:val="000000"/>
                <w:sz w:val="18"/>
                <w:szCs w:val="18"/>
              </w:rPr>
            </w:pPr>
            <w:r w:rsidRPr="00660482">
              <w:rPr>
                <w:color w:val="000000"/>
                <w:sz w:val="18"/>
                <w:szCs w:val="18"/>
              </w:rPr>
              <w:t>KIM</w:t>
            </w:r>
          </w:p>
        </w:tc>
        <w:tc>
          <w:tcPr>
            <w:tcW w:w="2837" w:type="pct"/>
            <w:tcBorders>
              <w:top w:val="nil"/>
              <w:left w:val="nil"/>
              <w:bottom w:val="single" w:sz="4" w:space="0" w:color="auto"/>
              <w:right w:val="single" w:sz="4" w:space="0" w:color="auto"/>
            </w:tcBorders>
            <w:noWrap/>
            <w:vAlign w:val="bottom"/>
            <w:hideMark/>
          </w:tcPr>
          <w:p w14:paraId="034C7BDF" w14:textId="77777777" w:rsidR="007D3934" w:rsidRPr="00660482" w:rsidRDefault="007D3934" w:rsidP="00AB016E">
            <w:pPr>
              <w:rPr>
                <w:color w:val="000000"/>
                <w:sz w:val="18"/>
                <w:szCs w:val="18"/>
              </w:rPr>
            </w:pPr>
            <w:r w:rsidRPr="00660482">
              <w:rPr>
                <w:color w:val="000000"/>
                <w:sz w:val="18"/>
                <w:szCs w:val="18"/>
              </w:rPr>
              <w:t>Kimco Realty Corporation (NYSE:KIM)</w:t>
            </w:r>
          </w:p>
        </w:tc>
        <w:tc>
          <w:tcPr>
            <w:tcW w:w="1659" w:type="pct"/>
            <w:tcBorders>
              <w:top w:val="nil"/>
              <w:left w:val="nil"/>
              <w:bottom w:val="single" w:sz="4" w:space="0" w:color="auto"/>
              <w:right w:val="single" w:sz="4" w:space="0" w:color="auto"/>
            </w:tcBorders>
            <w:noWrap/>
            <w:vAlign w:val="bottom"/>
            <w:hideMark/>
          </w:tcPr>
          <w:p w14:paraId="2838D1FC"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254EBA3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3E71575" w14:textId="77777777" w:rsidR="007D3934" w:rsidRPr="00660482" w:rsidRDefault="007D3934" w:rsidP="00AB016E">
            <w:pPr>
              <w:rPr>
                <w:color w:val="000000"/>
                <w:sz w:val="18"/>
                <w:szCs w:val="18"/>
              </w:rPr>
            </w:pPr>
            <w:r w:rsidRPr="00660482">
              <w:rPr>
                <w:color w:val="000000"/>
                <w:sz w:val="18"/>
                <w:szCs w:val="18"/>
              </w:rPr>
              <w:t>KRG</w:t>
            </w:r>
          </w:p>
        </w:tc>
        <w:tc>
          <w:tcPr>
            <w:tcW w:w="2837" w:type="pct"/>
            <w:tcBorders>
              <w:top w:val="nil"/>
              <w:left w:val="nil"/>
              <w:bottom w:val="single" w:sz="4" w:space="0" w:color="auto"/>
              <w:right w:val="single" w:sz="4" w:space="0" w:color="auto"/>
            </w:tcBorders>
            <w:noWrap/>
            <w:vAlign w:val="bottom"/>
            <w:hideMark/>
          </w:tcPr>
          <w:p w14:paraId="032F2B82" w14:textId="77777777" w:rsidR="007D3934" w:rsidRPr="00660482" w:rsidRDefault="007D3934" w:rsidP="00AB016E">
            <w:pPr>
              <w:rPr>
                <w:color w:val="000000"/>
                <w:sz w:val="18"/>
                <w:szCs w:val="18"/>
              </w:rPr>
            </w:pPr>
            <w:r w:rsidRPr="00660482">
              <w:rPr>
                <w:color w:val="000000"/>
                <w:sz w:val="18"/>
                <w:szCs w:val="18"/>
              </w:rPr>
              <w:t>Kite Realty Group Trust (NYSE:KRG)</w:t>
            </w:r>
          </w:p>
        </w:tc>
        <w:tc>
          <w:tcPr>
            <w:tcW w:w="1659" w:type="pct"/>
            <w:tcBorders>
              <w:top w:val="nil"/>
              <w:left w:val="nil"/>
              <w:bottom w:val="single" w:sz="4" w:space="0" w:color="auto"/>
              <w:right w:val="single" w:sz="4" w:space="0" w:color="auto"/>
            </w:tcBorders>
            <w:noWrap/>
            <w:vAlign w:val="bottom"/>
            <w:hideMark/>
          </w:tcPr>
          <w:p w14:paraId="43A4D366"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7B369FC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84B79E5" w14:textId="77777777" w:rsidR="007D3934" w:rsidRPr="00660482" w:rsidRDefault="007D3934" w:rsidP="00AB016E">
            <w:pPr>
              <w:rPr>
                <w:color w:val="000000"/>
                <w:sz w:val="18"/>
                <w:szCs w:val="18"/>
              </w:rPr>
            </w:pPr>
            <w:r w:rsidRPr="00660482">
              <w:rPr>
                <w:color w:val="000000"/>
                <w:sz w:val="18"/>
                <w:szCs w:val="18"/>
              </w:rPr>
              <w:t>MAC</w:t>
            </w:r>
          </w:p>
        </w:tc>
        <w:tc>
          <w:tcPr>
            <w:tcW w:w="2837" w:type="pct"/>
            <w:tcBorders>
              <w:top w:val="nil"/>
              <w:left w:val="nil"/>
              <w:bottom w:val="single" w:sz="4" w:space="0" w:color="auto"/>
              <w:right w:val="single" w:sz="4" w:space="0" w:color="auto"/>
            </w:tcBorders>
            <w:noWrap/>
            <w:vAlign w:val="bottom"/>
            <w:hideMark/>
          </w:tcPr>
          <w:p w14:paraId="629027D2" w14:textId="77777777" w:rsidR="007D3934" w:rsidRPr="00660482" w:rsidRDefault="007D3934" w:rsidP="00AB016E">
            <w:pPr>
              <w:rPr>
                <w:color w:val="000000"/>
                <w:sz w:val="18"/>
                <w:szCs w:val="18"/>
              </w:rPr>
            </w:pPr>
            <w:r w:rsidRPr="00660482">
              <w:rPr>
                <w:color w:val="000000"/>
                <w:sz w:val="18"/>
                <w:szCs w:val="18"/>
              </w:rPr>
              <w:t>The Macerich Company (NYSE:MAC)</w:t>
            </w:r>
          </w:p>
        </w:tc>
        <w:tc>
          <w:tcPr>
            <w:tcW w:w="1659" w:type="pct"/>
            <w:tcBorders>
              <w:top w:val="nil"/>
              <w:left w:val="nil"/>
              <w:bottom w:val="single" w:sz="4" w:space="0" w:color="auto"/>
              <w:right w:val="single" w:sz="4" w:space="0" w:color="auto"/>
            </w:tcBorders>
            <w:noWrap/>
            <w:vAlign w:val="bottom"/>
            <w:hideMark/>
          </w:tcPr>
          <w:p w14:paraId="4F549721"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6A8598F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99CB0D7" w14:textId="77777777" w:rsidR="007D3934" w:rsidRPr="00660482" w:rsidRDefault="007D3934" w:rsidP="00AB016E">
            <w:pPr>
              <w:rPr>
                <w:color w:val="000000"/>
                <w:sz w:val="18"/>
                <w:szCs w:val="18"/>
              </w:rPr>
            </w:pPr>
            <w:r w:rsidRPr="00660482">
              <w:rPr>
                <w:color w:val="000000"/>
                <w:sz w:val="18"/>
                <w:szCs w:val="18"/>
              </w:rPr>
              <w:t>NNN</w:t>
            </w:r>
          </w:p>
        </w:tc>
        <w:tc>
          <w:tcPr>
            <w:tcW w:w="2837" w:type="pct"/>
            <w:tcBorders>
              <w:top w:val="nil"/>
              <w:left w:val="nil"/>
              <w:bottom w:val="single" w:sz="4" w:space="0" w:color="auto"/>
              <w:right w:val="single" w:sz="4" w:space="0" w:color="auto"/>
            </w:tcBorders>
            <w:noWrap/>
            <w:vAlign w:val="bottom"/>
            <w:hideMark/>
          </w:tcPr>
          <w:p w14:paraId="0B392B9C" w14:textId="77777777" w:rsidR="007D3934" w:rsidRPr="00660482" w:rsidRDefault="007D3934" w:rsidP="00AB016E">
            <w:pPr>
              <w:rPr>
                <w:color w:val="000000"/>
                <w:sz w:val="18"/>
                <w:szCs w:val="18"/>
              </w:rPr>
            </w:pPr>
            <w:r w:rsidRPr="00660482">
              <w:rPr>
                <w:color w:val="000000"/>
                <w:sz w:val="18"/>
                <w:szCs w:val="18"/>
              </w:rPr>
              <w:t>NNN REIT, Inc. (NYSE:NNN)</w:t>
            </w:r>
          </w:p>
        </w:tc>
        <w:tc>
          <w:tcPr>
            <w:tcW w:w="1659" w:type="pct"/>
            <w:tcBorders>
              <w:top w:val="nil"/>
              <w:left w:val="nil"/>
              <w:bottom w:val="single" w:sz="4" w:space="0" w:color="auto"/>
              <w:right w:val="single" w:sz="4" w:space="0" w:color="auto"/>
            </w:tcBorders>
            <w:noWrap/>
            <w:vAlign w:val="bottom"/>
            <w:hideMark/>
          </w:tcPr>
          <w:p w14:paraId="2B4AAAC2"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0A2A71A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249EFF5" w14:textId="77777777" w:rsidR="007D3934" w:rsidRPr="00660482" w:rsidRDefault="007D3934" w:rsidP="00AB016E">
            <w:pPr>
              <w:rPr>
                <w:color w:val="000000"/>
                <w:sz w:val="18"/>
                <w:szCs w:val="18"/>
              </w:rPr>
            </w:pPr>
            <w:r w:rsidRPr="00660482">
              <w:rPr>
                <w:color w:val="000000"/>
                <w:sz w:val="18"/>
                <w:szCs w:val="18"/>
              </w:rPr>
              <w:t>NTST</w:t>
            </w:r>
          </w:p>
        </w:tc>
        <w:tc>
          <w:tcPr>
            <w:tcW w:w="2837" w:type="pct"/>
            <w:tcBorders>
              <w:top w:val="nil"/>
              <w:left w:val="nil"/>
              <w:bottom w:val="single" w:sz="4" w:space="0" w:color="auto"/>
              <w:right w:val="single" w:sz="4" w:space="0" w:color="auto"/>
            </w:tcBorders>
            <w:noWrap/>
            <w:vAlign w:val="bottom"/>
            <w:hideMark/>
          </w:tcPr>
          <w:p w14:paraId="098754A3" w14:textId="77777777" w:rsidR="007D3934" w:rsidRPr="00660482" w:rsidRDefault="007D3934" w:rsidP="00AB016E">
            <w:pPr>
              <w:rPr>
                <w:color w:val="000000"/>
                <w:sz w:val="18"/>
                <w:szCs w:val="18"/>
              </w:rPr>
            </w:pPr>
            <w:r w:rsidRPr="00660482">
              <w:rPr>
                <w:color w:val="000000"/>
                <w:sz w:val="18"/>
                <w:szCs w:val="18"/>
              </w:rPr>
              <w:t>NETSTREIT Corp. (NYSE:NTST)</w:t>
            </w:r>
          </w:p>
        </w:tc>
        <w:tc>
          <w:tcPr>
            <w:tcW w:w="1659" w:type="pct"/>
            <w:tcBorders>
              <w:top w:val="nil"/>
              <w:left w:val="nil"/>
              <w:bottom w:val="single" w:sz="4" w:space="0" w:color="auto"/>
              <w:right w:val="single" w:sz="4" w:space="0" w:color="auto"/>
            </w:tcBorders>
            <w:noWrap/>
            <w:vAlign w:val="bottom"/>
            <w:hideMark/>
          </w:tcPr>
          <w:p w14:paraId="27C6A165"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00EEE8F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95755A9" w14:textId="77777777" w:rsidR="007D3934" w:rsidRPr="00660482" w:rsidRDefault="007D3934" w:rsidP="00AB016E">
            <w:pPr>
              <w:rPr>
                <w:color w:val="000000"/>
                <w:sz w:val="18"/>
                <w:szCs w:val="18"/>
              </w:rPr>
            </w:pPr>
            <w:r w:rsidRPr="00660482">
              <w:rPr>
                <w:color w:val="000000"/>
                <w:sz w:val="18"/>
                <w:szCs w:val="18"/>
              </w:rPr>
              <w:t>O</w:t>
            </w:r>
          </w:p>
        </w:tc>
        <w:tc>
          <w:tcPr>
            <w:tcW w:w="2837" w:type="pct"/>
            <w:tcBorders>
              <w:top w:val="nil"/>
              <w:left w:val="nil"/>
              <w:bottom w:val="single" w:sz="4" w:space="0" w:color="auto"/>
              <w:right w:val="single" w:sz="4" w:space="0" w:color="auto"/>
            </w:tcBorders>
            <w:noWrap/>
            <w:vAlign w:val="bottom"/>
            <w:hideMark/>
          </w:tcPr>
          <w:p w14:paraId="467DF223" w14:textId="77777777" w:rsidR="007D3934" w:rsidRPr="00660482" w:rsidRDefault="007D3934" w:rsidP="00AB016E">
            <w:pPr>
              <w:rPr>
                <w:color w:val="000000"/>
                <w:sz w:val="18"/>
                <w:szCs w:val="18"/>
              </w:rPr>
            </w:pPr>
            <w:r w:rsidRPr="00660482">
              <w:rPr>
                <w:color w:val="000000"/>
                <w:sz w:val="18"/>
                <w:szCs w:val="18"/>
              </w:rPr>
              <w:t>Realty Income Corporation (NYSE:O)</w:t>
            </w:r>
          </w:p>
        </w:tc>
        <w:tc>
          <w:tcPr>
            <w:tcW w:w="1659" w:type="pct"/>
            <w:tcBorders>
              <w:top w:val="nil"/>
              <w:left w:val="nil"/>
              <w:bottom w:val="single" w:sz="4" w:space="0" w:color="auto"/>
              <w:right w:val="single" w:sz="4" w:space="0" w:color="auto"/>
            </w:tcBorders>
            <w:noWrap/>
            <w:vAlign w:val="bottom"/>
            <w:hideMark/>
          </w:tcPr>
          <w:p w14:paraId="68BEF5F7"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65317E6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86CE6BC" w14:textId="77777777" w:rsidR="007D3934" w:rsidRPr="00660482" w:rsidRDefault="007D3934" w:rsidP="00AB016E">
            <w:pPr>
              <w:rPr>
                <w:color w:val="000000"/>
                <w:sz w:val="18"/>
                <w:szCs w:val="18"/>
              </w:rPr>
            </w:pPr>
            <w:r w:rsidRPr="00660482">
              <w:rPr>
                <w:color w:val="000000"/>
                <w:sz w:val="18"/>
                <w:szCs w:val="18"/>
              </w:rPr>
              <w:t>PECO</w:t>
            </w:r>
          </w:p>
        </w:tc>
        <w:tc>
          <w:tcPr>
            <w:tcW w:w="2837" w:type="pct"/>
            <w:tcBorders>
              <w:top w:val="nil"/>
              <w:left w:val="nil"/>
              <w:bottom w:val="single" w:sz="4" w:space="0" w:color="auto"/>
              <w:right w:val="single" w:sz="4" w:space="0" w:color="auto"/>
            </w:tcBorders>
            <w:noWrap/>
            <w:vAlign w:val="bottom"/>
            <w:hideMark/>
          </w:tcPr>
          <w:p w14:paraId="34DC9650" w14:textId="77777777" w:rsidR="007D3934" w:rsidRPr="00660482" w:rsidRDefault="007D3934" w:rsidP="00AB016E">
            <w:pPr>
              <w:rPr>
                <w:color w:val="000000"/>
                <w:sz w:val="18"/>
                <w:szCs w:val="18"/>
              </w:rPr>
            </w:pPr>
            <w:r w:rsidRPr="00660482">
              <w:rPr>
                <w:color w:val="000000"/>
                <w:sz w:val="18"/>
                <w:szCs w:val="18"/>
              </w:rPr>
              <w:t>Phillips Edison &amp; Company, Inc. (NasdaqGS:PECO)</w:t>
            </w:r>
          </w:p>
        </w:tc>
        <w:tc>
          <w:tcPr>
            <w:tcW w:w="1659" w:type="pct"/>
            <w:tcBorders>
              <w:top w:val="nil"/>
              <w:left w:val="nil"/>
              <w:bottom w:val="single" w:sz="4" w:space="0" w:color="auto"/>
              <w:right w:val="single" w:sz="4" w:space="0" w:color="auto"/>
            </w:tcBorders>
            <w:noWrap/>
            <w:vAlign w:val="bottom"/>
            <w:hideMark/>
          </w:tcPr>
          <w:p w14:paraId="0D7F3C1B"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1E60B0D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6CAD770" w14:textId="77777777" w:rsidR="007D3934" w:rsidRPr="00660482" w:rsidRDefault="007D3934" w:rsidP="00AB016E">
            <w:pPr>
              <w:rPr>
                <w:color w:val="000000"/>
                <w:sz w:val="18"/>
                <w:szCs w:val="18"/>
              </w:rPr>
            </w:pPr>
            <w:r w:rsidRPr="00660482">
              <w:rPr>
                <w:color w:val="000000"/>
                <w:sz w:val="18"/>
                <w:szCs w:val="18"/>
              </w:rPr>
              <w:t>REG</w:t>
            </w:r>
          </w:p>
        </w:tc>
        <w:tc>
          <w:tcPr>
            <w:tcW w:w="2837" w:type="pct"/>
            <w:tcBorders>
              <w:top w:val="nil"/>
              <w:left w:val="nil"/>
              <w:bottom w:val="single" w:sz="4" w:space="0" w:color="auto"/>
              <w:right w:val="single" w:sz="4" w:space="0" w:color="auto"/>
            </w:tcBorders>
            <w:noWrap/>
            <w:vAlign w:val="bottom"/>
            <w:hideMark/>
          </w:tcPr>
          <w:p w14:paraId="1EB7A900" w14:textId="77777777" w:rsidR="007D3934" w:rsidRPr="00660482" w:rsidRDefault="007D3934" w:rsidP="00AB016E">
            <w:pPr>
              <w:rPr>
                <w:color w:val="000000"/>
                <w:sz w:val="18"/>
                <w:szCs w:val="18"/>
              </w:rPr>
            </w:pPr>
            <w:r w:rsidRPr="00660482">
              <w:rPr>
                <w:color w:val="000000"/>
                <w:sz w:val="18"/>
                <w:szCs w:val="18"/>
              </w:rPr>
              <w:t>Regency Centers Corporation (NasdaqGS:REG)</w:t>
            </w:r>
          </w:p>
        </w:tc>
        <w:tc>
          <w:tcPr>
            <w:tcW w:w="1659" w:type="pct"/>
            <w:tcBorders>
              <w:top w:val="nil"/>
              <w:left w:val="nil"/>
              <w:bottom w:val="single" w:sz="4" w:space="0" w:color="auto"/>
              <w:right w:val="single" w:sz="4" w:space="0" w:color="auto"/>
            </w:tcBorders>
            <w:noWrap/>
            <w:vAlign w:val="bottom"/>
            <w:hideMark/>
          </w:tcPr>
          <w:p w14:paraId="06DB1927"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4B26FF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E6C8FAD" w14:textId="77777777" w:rsidR="007D3934" w:rsidRPr="00660482" w:rsidRDefault="007D3934" w:rsidP="00AB016E">
            <w:pPr>
              <w:rPr>
                <w:color w:val="000000"/>
                <w:sz w:val="18"/>
                <w:szCs w:val="18"/>
              </w:rPr>
            </w:pPr>
            <w:r w:rsidRPr="00660482">
              <w:rPr>
                <w:color w:val="000000"/>
                <w:sz w:val="18"/>
                <w:szCs w:val="18"/>
              </w:rPr>
              <w:t>ROIC</w:t>
            </w:r>
          </w:p>
        </w:tc>
        <w:tc>
          <w:tcPr>
            <w:tcW w:w="2837" w:type="pct"/>
            <w:tcBorders>
              <w:top w:val="nil"/>
              <w:left w:val="nil"/>
              <w:bottom w:val="single" w:sz="4" w:space="0" w:color="auto"/>
              <w:right w:val="single" w:sz="4" w:space="0" w:color="auto"/>
            </w:tcBorders>
            <w:noWrap/>
            <w:vAlign w:val="bottom"/>
            <w:hideMark/>
          </w:tcPr>
          <w:p w14:paraId="25D0D7CF" w14:textId="77777777" w:rsidR="007D3934" w:rsidRPr="00660482" w:rsidRDefault="007D3934" w:rsidP="00AB016E">
            <w:pPr>
              <w:rPr>
                <w:color w:val="000000"/>
                <w:sz w:val="18"/>
                <w:szCs w:val="18"/>
              </w:rPr>
            </w:pPr>
            <w:r w:rsidRPr="00660482">
              <w:rPr>
                <w:color w:val="000000"/>
                <w:sz w:val="18"/>
                <w:szCs w:val="18"/>
              </w:rPr>
              <w:t>Retail Opportunity Investments Corp. (NasdaqGS:ROIC)</w:t>
            </w:r>
          </w:p>
        </w:tc>
        <w:tc>
          <w:tcPr>
            <w:tcW w:w="1659" w:type="pct"/>
            <w:tcBorders>
              <w:top w:val="nil"/>
              <w:left w:val="nil"/>
              <w:bottom w:val="single" w:sz="4" w:space="0" w:color="auto"/>
              <w:right w:val="single" w:sz="4" w:space="0" w:color="auto"/>
            </w:tcBorders>
            <w:noWrap/>
            <w:vAlign w:val="bottom"/>
            <w:hideMark/>
          </w:tcPr>
          <w:p w14:paraId="57F3F2B2"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3B802B8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0C7EB772" w14:textId="77777777" w:rsidR="007D3934" w:rsidRPr="00660482" w:rsidRDefault="007D3934" w:rsidP="00AB016E">
            <w:pPr>
              <w:rPr>
                <w:color w:val="000000"/>
                <w:sz w:val="18"/>
                <w:szCs w:val="18"/>
              </w:rPr>
            </w:pPr>
            <w:r w:rsidRPr="00660482">
              <w:rPr>
                <w:color w:val="000000"/>
                <w:sz w:val="18"/>
                <w:szCs w:val="18"/>
              </w:rPr>
              <w:t>SITC</w:t>
            </w:r>
          </w:p>
        </w:tc>
        <w:tc>
          <w:tcPr>
            <w:tcW w:w="2837" w:type="pct"/>
            <w:tcBorders>
              <w:top w:val="nil"/>
              <w:left w:val="nil"/>
              <w:bottom w:val="single" w:sz="4" w:space="0" w:color="auto"/>
              <w:right w:val="single" w:sz="4" w:space="0" w:color="auto"/>
            </w:tcBorders>
            <w:noWrap/>
            <w:vAlign w:val="bottom"/>
            <w:hideMark/>
          </w:tcPr>
          <w:p w14:paraId="745039EC" w14:textId="77777777" w:rsidR="007D3934" w:rsidRPr="00660482" w:rsidRDefault="007D3934" w:rsidP="00AB016E">
            <w:pPr>
              <w:rPr>
                <w:color w:val="000000"/>
                <w:sz w:val="18"/>
                <w:szCs w:val="18"/>
              </w:rPr>
            </w:pPr>
            <w:r w:rsidRPr="00660482">
              <w:rPr>
                <w:color w:val="000000"/>
                <w:sz w:val="18"/>
                <w:szCs w:val="18"/>
              </w:rPr>
              <w:t>SITE Centers Corp. (NYSE:SITC)</w:t>
            </w:r>
          </w:p>
        </w:tc>
        <w:tc>
          <w:tcPr>
            <w:tcW w:w="1659" w:type="pct"/>
            <w:tcBorders>
              <w:top w:val="nil"/>
              <w:left w:val="nil"/>
              <w:bottom w:val="single" w:sz="4" w:space="0" w:color="auto"/>
              <w:right w:val="single" w:sz="4" w:space="0" w:color="auto"/>
            </w:tcBorders>
            <w:noWrap/>
            <w:vAlign w:val="bottom"/>
            <w:hideMark/>
          </w:tcPr>
          <w:p w14:paraId="44CB04B3"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91FEC5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F11E3F5" w14:textId="77777777" w:rsidR="007D3934" w:rsidRPr="00660482" w:rsidRDefault="007D3934" w:rsidP="00AB016E">
            <w:pPr>
              <w:rPr>
                <w:color w:val="000000"/>
                <w:sz w:val="18"/>
                <w:szCs w:val="18"/>
              </w:rPr>
            </w:pPr>
            <w:r w:rsidRPr="00660482">
              <w:rPr>
                <w:color w:val="000000"/>
                <w:sz w:val="18"/>
                <w:szCs w:val="18"/>
              </w:rPr>
              <w:t>SKT</w:t>
            </w:r>
          </w:p>
        </w:tc>
        <w:tc>
          <w:tcPr>
            <w:tcW w:w="2837" w:type="pct"/>
            <w:tcBorders>
              <w:top w:val="nil"/>
              <w:left w:val="nil"/>
              <w:bottom w:val="single" w:sz="4" w:space="0" w:color="auto"/>
              <w:right w:val="single" w:sz="4" w:space="0" w:color="auto"/>
            </w:tcBorders>
            <w:noWrap/>
            <w:vAlign w:val="bottom"/>
            <w:hideMark/>
          </w:tcPr>
          <w:p w14:paraId="2C62FDA7" w14:textId="77777777" w:rsidR="007D3934" w:rsidRPr="00660482" w:rsidRDefault="007D3934" w:rsidP="00AB016E">
            <w:pPr>
              <w:rPr>
                <w:color w:val="000000"/>
                <w:sz w:val="18"/>
                <w:szCs w:val="18"/>
              </w:rPr>
            </w:pPr>
            <w:r w:rsidRPr="00660482">
              <w:rPr>
                <w:color w:val="000000"/>
                <w:sz w:val="18"/>
                <w:szCs w:val="18"/>
              </w:rPr>
              <w:t>Tanger Factory Outlet Centers, Inc. (NYSE:SKT)</w:t>
            </w:r>
          </w:p>
        </w:tc>
        <w:tc>
          <w:tcPr>
            <w:tcW w:w="1659" w:type="pct"/>
            <w:tcBorders>
              <w:top w:val="nil"/>
              <w:left w:val="nil"/>
              <w:bottom w:val="single" w:sz="4" w:space="0" w:color="auto"/>
              <w:right w:val="single" w:sz="4" w:space="0" w:color="auto"/>
            </w:tcBorders>
            <w:noWrap/>
            <w:vAlign w:val="bottom"/>
            <w:hideMark/>
          </w:tcPr>
          <w:p w14:paraId="6CA9CCBA"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B5C878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8BA8751" w14:textId="77777777" w:rsidR="007D3934" w:rsidRPr="00660482" w:rsidRDefault="007D3934" w:rsidP="00AB016E">
            <w:pPr>
              <w:rPr>
                <w:color w:val="000000"/>
                <w:sz w:val="18"/>
                <w:szCs w:val="18"/>
              </w:rPr>
            </w:pPr>
            <w:r w:rsidRPr="00660482">
              <w:rPr>
                <w:color w:val="000000"/>
                <w:sz w:val="18"/>
                <w:szCs w:val="18"/>
              </w:rPr>
              <w:t>SPG</w:t>
            </w:r>
          </w:p>
        </w:tc>
        <w:tc>
          <w:tcPr>
            <w:tcW w:w="2837" w:type="pct"/>
            <w:tcBorders>
              <w:top w:val="nil"/>
              <w:left w:val="nil"/>
              <w:bottom w:val="single" w:sz="4" w:space="0" w:color="auto"/>
              <w:right w:val="single" w:sz="4" w:space="0" w:color="auto"/>
            </w:tcBorders>
            <w:noWrap/>
            <w:vAlign w:val="bottom"/>
            <w:hideMark/>
          </w:tcPr>
          <w:p w14:paraId="56E613BA" w14:textId="77777777" w:rsidR="007D3934" w:rsidRPr="00660482" w:rsidRDefault="007D3934" w:rsidP="00AB016E">
            <w:pPr>
              <w:rPr>
                <w:color w:val="000000"/>
                <w:sz w:val="18"/>
                <w:szCs w:val="18"/>
              </w:rPr>
            </w:pPr>
            <w:r w:rsidRPr="00660482">
              <w:rPr>
                <w:color w:val="000000"/>
                <w:sz w:val="18"/>
                <w:szCs w:val="18"/>
              </w:rPr>
              <w:t>Simon Property Group, Inc. (NYSE:SPG)</w:t>
            </w:r>
          </w:p>
        </w:tc>
        <w:tc>
          <w:tcPr>
            <w:tcW w:w="1659" w:type="pct"/>
            <w:tcBorders>
              <w:top w:val="nil"/>
              <w:left w:val="nil"/>
              <w:bottom w:val="single" w:sz="4" w:space="0" w:color="auto"/>
              <w:right w:val="single" w:sz="4" w:space="0" w:color="auto"/>
            </w:tcBorders>
            <w:noWrap/>
            <w:vAlign w:val="bottom"/>
            <w:hideMark/>
          </w:tcPr>
          <w:p w14:paraId="538FB696"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19BBEE8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7C873F4" w14:textId="77777777" w:rsidR="007D3934" w:rsidRPr="00660482" w:rsidRDefault="007D3934" w:rsidP="00AB016E">
            <w:pPr>
              <w:rPr>
                <w:color w:val="000000"/>
                <w:sz w:val="18"/>
                <w:szCs w:val="18"/>
              </w:rPr>
            </w:pPr>
            <w:r w:rsidRPr="00660482">
              <w:rPr>
                <w:color w:val="000000"/>
                <w:sz w:val="18"/>
                <w:szCs w:val="18"/>
              </w:rPr>
              <w:t>SRC</w:t>
            </w:r>
          </w:p>
        </w:tc>
        <w:tc>
          <w:tcPr>
            <w:tcW w:w="2837" w:type="pct"/>
            <w:tcBorders>
              <w:top w:val="nil"/>
              <w:left w:val="nil"/>
              <w:bottom w:val="single" w:sz="4" w:space="0" w:color="auto"/>
              <w:right w:val="single" w:sz="4" w:space="0" w:color="auto"/>
            </w:tcBorders>
            <w:noWrap/>
            <w:vAlign w:val="bottom"/>
            <w:hideMark/>
          </w:tcPr>
          <w:p w14:paraId="201521AC" w14:textId="77777777" w:rsidR="007D3934" w:rsidRPr="00660482" w:rsidRDefault="007D3934" w:rsidP="00AB016E">
            <w:pPr>
              <w:rPr>
                <w:color w:val="000000"/>
                <w:sz w:val="18"/>
                <w:szCs w:val="18"/>
              </w:rPr>
            </w:pPr>
            <w:r w:rsidRPr="00660482">
              <w:rPr>
                <w:color w:val="000000"/>
                <w:sz w:val="18"/>
                <w:szCs w:val="18"/>
              </w:rPr>
              <w:t>Spirit Realty Capital, Inc. (NYSE:SRC)</w:t>
            </w:r>
          </w:p>
        </w:tc>
        <w:tc>
          <w:tcPr>
            <w:tcW w:w="1659" w:type="pct"/>
            <w:tcBorders>
              <w:top w:val="nil"/>
              <w:left w:val="nil"/>
              <w:bottom w:val="single" w:sz="4" w:space="0" w:color="auto"/>
              <w:right w:val="single" w:sz="4" w:space="0" w:color="auto"/>
            </w:tcBorders>
            <w:noWrap/>
            <w:vAlign w:val="bottom"/>
            <w:hideMark/>
          </w:tcPr>
          <w:p w14:paraId="65B988A4"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4CE56CA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9BA3038" w14:textId="77777777" w:rsidR="007D3934" w:rsidRPr="00660482" w:rsidRDefault="007D3934" w:rsidP="00AB016E">
            <w:pPr>
              <w:rPr>
                <w:color w:val="000000"/>
                <w:sz w:val="18"/>
                <w:szCs w:val="18"/>
              </w:rPr>
            </w:pPr>
            <w:r w:rsidRPr="00660482">
              <w:rPr>
                <w:color w:val="000000"/>
                <w:sz w:val="18"/>
                <w:szCs w:val="18"/>
              </w:rPr>
              <w:t>UE</w:t>
            </w:r>
          </w:p>
        </w:tc>
        <w:tc>
          <w:tcPr>
            <w:tcW w:w="2837" w:type="pct"/>
            <w:tcBorders>
              <w:top w:val="nil"/>
              <w:left w:val="nil"/>
              <w:bottom w:val="single" w:sz="4" w:space="0" w:color="auto"/>
              <w:right w:val="single" w:sz="4" w:space="0" w:color="auto"/>
            </w:tcBorders>
            <w:noWrap/>
            <w:vAlign w:val="bottom"/>
            <w:hideMark/>
          </w:tcPr>
          <w:p w14:paraId="56D8AE42" w14:textId="77777777" w:rsidR="007D3934" w:rsidRPr="00660482" w:rsidRDefault="007D3934" w:rsidP="00AB016E">
            <w:pPr>
              <w:rPr>
                <w:color w:val="000000"/>
                <w:sz w:val="18"/>
                <w:szCs w:val="18"/>
              </w:rPr>
            </w:pPr>
            <w:r w:rsidRPr="00660482">
              <w:rPr>
                <w:color w:val="000000"/>
                <w:sz w:val="18"/>
                <w:szCs w:val="18"/>
              </w:rPr>
              <w:t>Urban Edge Properties (NYSE:UE)</w:t>
            </w:r>
          </w:p>
        </w:tc>
        <w:tc>
          <w:tcPr>
            <w:tcW w:w="1659" w:type="pct"/>
            <w:tcBorders>
              <w:top w:val="nil"/>
              <w:left w:val="nil"/>
              <w:bottom w:val="single" w:sz="4" w:space="0" w:color="auto"/>
              <w:right w:val="single" w:sz="4" w:space="0" w:color="auto"/>
            </w:tcBorders>
            <w:noWrap/>
            <w:vAlign w:val="bottom"/>
            <w:hideMark/>
          </w:tcPr>
          <w:p w14:paraId="51A1F29E"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2201FAF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886AAB9" w14:textId="77777777" w:rsidR="007D3934" w:rsidRPr="00660482" w:rsidRDefault="007D3934" w:rsidP="00AB016E">
            <w:pPr>
              <w:rPr>
                <w:color w:val="000000"/>
                <w:sz w:val="18"/>
                <w:szCs w:val="18"/>
              </w:rPr>
            </w:pPr>
            <w:r w:rsidRPr="00660482">
              <w:rPr>
                <w:color w:val="000000"/>
                <w:sz w:val="18"/>
                <w:szCs w:val="18"/>
              </w:rPr>
              <w:t>WHLR</w:t>
            </w:r>
          </w:p>
        </w:tc>
        <w:tc>
          <w:tcPr>
            <w:tcW w:w="2837" w:type="pct"/>
            <w:tcBorders>
              <w:top w:val="nil"/>
              <w:left w:val="nil"/>
              <w:bottom w:val="single" w:sz="4" w:space="0" w:color="auto"/>
              <w:right w:val="single" w:sz="4" w:space="0" w:color="auto"/>
            </w:tcBorders>
            <w:noWrap/>
            <w:vAlign w:val="bottom"/>
            <w:hideMark/>
          </w:tcPr>
          <w:p w14:paraId="01504371" w14:textId="77777777" w:rsidR="007D3934" w:rsidRPr="00660482" w:rsidRDefault="007D3934" w:rsidP="00AB016E">
            <w:pPr>
              <w:rPr>
                <w:color w:val="000000"/>
                <w:sz w:val="18"/>
                <w:szCs w:val="18"/>
              </w:rPr>
            </w:pPr>
            <w:r w:rsidRPr="00660482">
              <w:rPr>
                <w:color w:val="000000"/>
                <w:sz w:val="18"/>
                <w:szCs w:val="18"/>
              </w:rPr>
              <w:t>Wheeler Real Estate Investment Trust, Inc. (NasdaqCM:WHLR)</w:t>
            </w:r>
          </w:p>
        </w:tc>
        <w:tc>
          <w:tcPr>
            <w:tcW w:w="1659" w:type="pct"/>
            <w:tcBorders>
              <w:top w:val="nil"/>
              <w:left w:val="nil"/>
              <w:bottom w:val="single" w:sz="4" w:space="0" w:color="auto"/>
              <w:right w:val="single" w:sz="4" w:space="0" w:color="auto"/>
            </w:tcBorders>
            <w:noWrap/>
            <w:vAlign w:val="bottom"/>
            <w:hideMark/>
          </w:tcPr>
          <w:p w14:paraId="7F37FD6B"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50DCF15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106B0B9" w14:textId="77777777" w:rsidR="007D3934" w:rsidRPr="00660482" w:rsidRDefault="007D3934" w:rsidP="00AB016E">
            <w:pPr>
              <w:rPr>
                <w:color w:val="000000"/>
                <w:sz w:val="18"/>
                <w:szCs w:val="18"/>
              </w:rPr>
            </w:pPr>
            <w:r w:rsidRPr="00660482">
              <w:rPr>
                <w:color w:val="000000"/>
                <w:sz w:val="18"/>
                <w:szCs w:val="18"/>
              </w:rPr>
              <w:t>WSR</w:t>
            </w:r>
          </w:p>
        </w:tc>
        <w:tc>
          <w:tcPr>
            <w:tcW w:w="2837" w:type="pct"/>
            <w:tcBorders>
              <w:top w:val="nil"/>
              <w:left w:val="nil"/>
              <w:bottom w:val="single" w:sz="4" w:space="0" w:color="auto"/>
              <w:right w:val="single" w:sz="4" w:space="0" w:color="auto"/>
            </w:tcBorders>
            <w:noWrap/>
            <w:vAlign w:val="bottom"/>
            <w:hideMark/>
          </w:tcPr>
          <w:p w14:paraId="38B689DE" w14:textId="77777777" w:rsidR="007D3934" w:rsidRPr="00660482" w:rsidRDefault="007D3934" w:rsidP="00AB016E">
            <w:pPr>
              <w:rPr>
                <w:color w:val="000000"/>
                <w:sz w:val="18"/>
                <w:szCs w:val="18"/>
              </w:rPr>
            </w:pPr>
            <w:r w:rsidRPr="00660482">
              <w:rPr>
                <w:color w:val="000000"/>
                <w:sz w:val="18"/>
                <w:szCs w:val="18"/>
              </w:rPr>
              <w:t>Whitestone REIT (NYSE:WSR)</w:t>
            </w:r>
          </w:p>
        </w:tc>
        <w:tc>
          <w:tcPr>
            <w:tcW w:w="1659" w:type="pct"/>
            <w:tcBorders>
              <w:top w:val="nil"/>
              <w:left w:val="nil"/>
              <w:bottom w:val="single" w:sz="4" w:space="0" w:color="auto"/>
              <w:right w:val="single" w:sz="4" w:space="0" w:color="auto"/>
            </w:tcBorders>
            <w:noWrap/>
            <w:vAlign w:val="bottom"/>
            <w:hideMark/>
          </w:tcPr>
          <w:p w14:paraId="4DD3C943" w14:textId="77777777" w:rsidR="007D3934" w:rsidRPr="00660482" w:rsidRDefault="007D3934" w:rsidP="00AB016E">
            <w:pPr>
              <w:rPr>
                <w:color w:val="000000"/>
                <w:sz w:val="18"/>
                <w:szCs w:val="18"/>
              </w:rPr>
            </w:pPr>
            <w:r w:rsidRPr="00660482">
              <w:rPr>
                <w:color w:val="000000"/>
                <w:sz w:val="18"/>
                <w:szCs w:val="18"/>
              </w:rPr>
              <w:t>Retail REITs (Primary)</w:t>
            </w:r>
          </w:p>
        </w:tc>
      </w:tr>
      <w:tr w:rsidR="007D3934" w:rsidRPr="00660482" w14:paraId="65BBE27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723AD49" w14:textId="77777777" w:rsidR="007D3934" w:rsidRPr="00660482" w:rsidRDefault="007D3934" w:rsidP="00AB016E">
            <w:pPr>
              <w:rPr>
                <w:color w:val="000000"/>
                <w:sz w:val="18"/>
                <w:szCs w:val="18"/>
              </w:rPr>
            </w:pPr>
            <w:r w:rsidRPr="00660482">
              <w:rPr>
                <w:color w:val="000000"/>
                <w:sz w:val="18"/>
                <w:szCs w:val="18"/>
              </w:rPr>
              <w:t>AMT</w:t>
            </w:r>
          </w:p>
        </w:tc>
        <w:tc>
          <w:tcPr>
            <w:tcW w:w="2837" w:type="pct"/>
            <w:tcBorders>
              <w:top w:val="nil"/>
              <w:left w:val="nil"/>
              <w:bottom w:val="single" w:sz="4" w:space="0" w:color="auto"/>
              <w:right w:val="single" w:sz="4" w:space="0" w:color="auto"/>
            </w:tcBorders>
            <w:noWrap/>
            <w:vAlign w:val="bottom"/>
            <w:hideMark/>
          </w:tcPr>
          <w:p w14:paraId="3EBBAE13" w14:textId="77777777" w:rsidR="007D3934" w:rsidRPr="00660482" w:rsidRDefault="007D3934" w:rsidP="00AB016E">
            <w:pPr>
              <w:rPr>
                <w:color w:val="000000"/>
                <w:sz w:val="18"/>
                <w:szCs w:val="18"/>
              </w:rPr>
            </w:pPr>
            <w:r w:rsidRPr="00660482">
              <w:rPr>
                <w:color w:val="000000"/>
                <w:sz w:val="18"/>
                <w:szCs w:val="18"/>
              </w:rPr>
              <w:t>American Tower Corporation (NYSE:AMT)</w:t>
            </w:r>
          </w:p>
        </w:tc>
        <w:tc>
          <w:tcPr>
            <w:tcW w:w="1659" w:type="pct"/>
            <w:tcBorders>
              <w:top w:val="nil"/>
              <w:left w:val="nil"/>
              <w:bottom w:val="single" w:sz="4" w:space="0" w:color="auto"/>
              <w:right w:val="single" w:sz="4" w:space="0" w:color="auto"/>
            </w:tcBorders>
            <w:noWrap/>
            <w:vAlign w:val="bottom"/>
            <w:hideMark/>
          </w:tcPr>
          <w:p w14:paraId="4111DF9A"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3049D20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3EC1964" w14:textId="77777777" w:rsidR="007D3934" w:rsidRPr="00660482" w:rsidRDefault="007D3934" w:rsidP="00AB016E">
            <w:pPr>
              <w:rPr>
                <w:color w:val="000000"/>
                <w:sz w:val="18"/>
                <w:szCs w:val="18"/>
              </w:rPr>
            </w:pPr>
            <w:r w:rsidRPr="00660482">
              <w:rPr>
                <w:color w:val="000000"/>
                <w:sz w:val="18"/>
                <w:szCs w:val="18"/>
              </w:rPr>
              <w:t>CCI</w:t>
            </w:r>
          </w:p>
        </w:tc>
        <w:tc>
          <w:tcPr>
            <w:tcW w:w="2837" w:type="pct"/>
            <w:tcBorders>
              <w:top w:val="nil"/>
              <w:left w:val="nil"/>
              <w:bottom w:val="single" w:sz="4" w:space="0" w:color="auto"/>
              <w:right w:val="single" w:sz="4" w:space="0" w:color="auto"/>
            </w:tcBorders>
            <w:noWrap/>
            <w:vAlign w:val="bottom"/>
            <w:hideMark/>
          </w:tcPr>
          <w:p w14:paraId="4396FE93" w14:textId="77777777" w:rsidR="007D3934" w:rsidRPr="00660482" w:rsidRDefault="007D3934" w:rsidP="00AB016E">
            <w:pPr>
              <w:rPr>
                <w:color w:val="000000"/>
                <w:sz w:val="18"/>
                <w:szCs w:val="18"/>
              </w:rPr>
            </w:pPr>
            <w:r w:rsidRPr="00660482">
              <w:rPr>
                <w:color w:val="000000"/>
                <w:sz w:val="18"/>
                <w:szCs w:val="18"/>
              </w:rPr>
              <w:t>Crown Castle Inc. (NYSE:CCI)</w:t>
            </w:r>
          </w:p>
        </w:tc>
        <w:tc>
          <w:tcPr>
            <w:tcW w:w="1659" w:type="pct"/>
            <w:tcBorders>
              <w:top w:val="nil"/>
              <w:left w:val="nil"/>
              <w:bottom w:val="single" w:sz="4" w:space="0" w:color="auto"/>
              <w:right w:val="single" w:sz="4" w:space="0" w:color="auto"/>
            </w:tcBorders>
            <w:noWrap/>
            <w:vAlign w:val="bottom"/>
            <w:hideMark/>
          </w:tcPr>
          <w:p w14:paraId="12B120F3"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6CC4DD4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B0C63BE" w14:textId="77777777" w:rsidR="007D3934" w:rsidRPr="00660482" w:rsidRDefault="007D3934" w:rsidP="00AB016E">
            <w:pPr>
              <w:rPr>
                <w:color w:val="000000"/>
                <w:sz w:val="18"/>
                <w:szCs w:val="18"/>
              </w:rPr>
            </w:pPr>
            <w:r w:rsidRPr="00660482">
              <w:rPr>
                <w:color w:val="000000"/>
                <w:sz w:val="18"/>
                <w:szCs w:val="18"/>
              </w:rPr>
              <w:t>CUBE</w:t>
            </w:r>
          </w:p>
        </w:tc>
        <w:tc>
          <w:tcPr>
            <w:tcW w:w="2837" w:type="pct"/>
            <w:tcBorders>
              <w:top w:val="nil"/>
              <w:left w:val="nil"/>
              <w:bottom w:val="single" w:sz="4" w:space="0" w:color="auto"/>
              <w:right w:val="single" w:sz="4" w:space="0" w:color="auto"/>
            </w:tcBorders>
            <w:noWrap/>
            <w:vAlign w:val="bottom"/>
            <w:hideMark/>
          </w:tcPr>
          <w:p w14:paraId="455B1EC7" w14:textId="77777777" w:rsidR="007D3934" w:rsidRPr="00660482" w:rsidRDefault="007D3934" w:rsidP="00AB016E">
            <w:pPr>
              <w:rPr>
                <w:color w:val="000000"/>
                <w:sz w:val="18"/>
                <w:szCs w:val="18"/>
              </w:rPr>
            </w:pPr>
            <w:r w:rsidRPr="00660482">
              <w:rPr>
                <w:color w:val="000000"/>
                <w:sz w:val="18"/>
                <w:szCs w:val="18"/>
              </w:rPr>
              <w:t>CubeSmart (NYSE:CUBE)</w:t>
            </w:r>
          </w:p>
        </w:tc>
        <w:tc>
          <w:tcPr>
            <w:tcW w:w="1659" w:type="pct"/>
            <w:tcBorders>
              <w:top w:val="nil"/>
              <w:left w:val="nil"/>
              <w:bottom w:val="single" w:sz="4" w:space="0" w:color="auto"/>
              <w:right w:val="single" w:sz="4" w:space="0" w:color="auto"/>
            </w:tcBorders>
            <w:noWrap/>
            <w:vAlign w:val="bottom"/>
            <w:hideMark/>
          </w:tcPr>
          <w:p w14:paraId="53B89F52"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143C9FE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7693053" w14:textId="77777777" w:rsidR="007D3934" w:rsidRPr="00660482" w:rsidRDefault="007D3934" w:rsidP="00AB016E">
            <w:pPr>
              <w:rPr>
                <w:color w:val="000000"/>
                <w:sz w:val="18"/>
                <w:szCs w:val="18"/>
              </w:rPr>
            </w:pPr>
            <w:r w:rsidRPr="00660482">
              <w:rPr>
                <w:color w:val="000000"/>
                <w:sz w:val="18"/>
                <w:szCs w:val="18"/>
              </w:rPr>
              <w:t>DLR</w:t>
            </w:r>
          </w:p>
        </w:tc>
        <w:tc>
          <w:tcPr>
            <w:tcW w:w="2837" w:type="pct"/>
            <w:tcBorders>
              <w:top w:val="nil"/>
              <w:left w:val="nil"/>
              <w:bottom w:val="single" w:sz="4" w:space="0" w:color="auto"/>
              <w:right w:val="single" w:sz="4" w:space="0" w:color="auto"/>
            </w:tcBorders>
            <w:noWrap/>
            <w:vAlign w:val="bottom"/>
            <w:hideMark/>
          </w:tcPr>
          <w:p w14:paraId="796FCA06" w14:textId="77777777" w:rsidR="007D3934" w:rsidRPr="00660482" w:rsidRDefault="007D3934" w:rsidP="00AB016E">
            <w:pPr>
              <w:rPr>
                <w:color w:val="000000"/>
                <w:sz w:val="18"/>
                <w:szCs w:val="18"/>
              </w:rPr>
            </w:pPr>
            <w:r w:rsidRPr="00660482">
              <w:rPr>
                <w:color w:val="000000"/>
                <w:sz w:val="18"/>
                <w:szCs w:val="18"/>
              </w:rPr>
              <w:t>Digital Realty Trust, Inc. (NYSE:DLR)</w:t>
            </w:r>
          </w:p>
        </w:tc>
        <w:tc>
          <w:tcPr>
            <w:tcW w:w="1659" w:type="pct"/>
            <w:tcBorders>
              <w:top w:val="nil"/>
              <w:left w:val="nil"/>
              <w:bottom w:val="single" w:sz="4" w:space="0" w:color="auto"/>
              <w:right w:val="single" w:sz="4" w:space="0" w:color="auto"/>
            </w:tcBorders>
            <w:noWrap/>
            <w:vAlign w:val="bottom"/>
            <w:hideMark/>
          </w:tcPr>
          <w:p w14:paraId="50A63B45"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3B2C12F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4CF58F3" w14:textId="77777777" w:rsidR="007D3934" w:rsidRPr="00660482" w:rsidRDefault="007D3934" w:rsidP="00AB016E">
            <w:pPr>
              <w:rPr>
                <w:color w:val="000000"/>
                <w:sz w:val="18"/>
                <w:szCs w:val="18"/>
              </w:rPr>
            </w:pPr>
            <w:r w:rsidRPr="00660482">
              <w:rPr>
                <w:color w:val="000000"/>
                <w:sz w:val="18"/>
                <w:szCs w:val="18"/>
              </w:rPr>
              <w:t>EPR</w:t>
            </w:r>
          </w:p>
        </w:tc>
        <w:tc>
          <w:tcPr>
            <w:tcW w:w="2837" w:type="pct"/>
            <w:tcBorders>
              <w:top w:val="nil"/>
              <w:left w:val="nil"/>
              <w:bottom w:val="single" w:sz="4" w:space="0" w:color="auto"/>
              <w:right w:val="single" w:sz="4" w:space="0" w:color="auto"/>
            </w:tcBorders>
            <w:noWrap/>
            <w:vAlign w:val="bottom"/>
            <w:hideMark/>
          </w:tcPr>
          <w:p w14:paraId="51946208" w14:textId="77777777" w:rsidR="007D3934" w:rsidRPr="00660482" w:rsidRDefault="007D3934" w:rsidP="00AB016E">
            <w:pPr>
              <w:rPr>
                <w:color w:val="000000"/>
                <w:sz w:val="18"/>
                <w:szCs w:val="18"/>
              </w:rPr>
            </w:pPr>
            <w:r w:rsidRPr="00660482">
              <w:rPr>
                <w:color w:val="000000"/>
                <w:sz w:val="18"/>
                <w:szCs w:val="18"/>
              </w:rPr>
              <w:t>EPR Properties (NYSE:EPR)</w:t>
            </w:r>
          </w:p>
        </w:tc>
        <w:tc>
          <w:tcPr>
            <w:tcW w:w="1659" w:type="pct"/>
            <w:tcBorders>
              <w:top w:val="nil"/>
              <w:left w:val="nil"/>
              <w:bottom w:val="single" w:sz="4" w:space="0" w:color="auto"/>
              <w:right w:val="single" w:sz="4" w:space="0" w:color="auto"/>
            </w:tcBorders>
            <w:noWrap/>
            <w:vAlign w:val="bottom"/>
            <w:hideMark/>
          </w:tcPr>
          <w:p w14:paraId="44819B35"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4725583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4E0C8AE" w14:textId="77777777" w:rsidR="007D3934" w:rsidRPr="00660482" w:rsidRDefault="007D3934" w:rsidP="00AB016E">
            <w:pPr>
              <w:rPr>
                <w:color w:val="000000"/>
                <w:sz w:val="18"/>
                <w:szCs w:val="18"/>
              </w:rPr>
            </w:pPr>
            <w:r w:rsidRPr="00660482">
              <w:rPr>
                <w:color w:val="000000"/>
                <w:sz w:val="18"/>
                <w:szCs w:val="18"/>
              </w:rPr>
              <w:t>EQIX</w:t>
            </w:r>
          </w:p>
        </w:tc>
        <w:tc>
          <w:tcPr>
            <w:tcW w:w="2837" w:type="pct"/>
            <w:tcBorders>
              <w:top w:val="nil"/>
              <w:left w:val="nil"/>
              <w:bottom w:val="single" w:sz="4" w:space="0" w:color="auto"/>
              <w:right w:val="single" w:sz="4" w:space="0" w:color="auto"/>
            </w:tcBorders>
            <w:noWrap/>
            <w:vAlign w:val="bottom"/>
            <w:hideMark/>
          </w:tcPr>
          <w:p w14:paraId="5E7F761A" w14:textId="77777777" w:rsidR="007D3934" w:rsidRPr="00660482" w:rsidRDefault="007D3934" w:rsidP="00AB016E">
            <w:pPr>
              <w:rPr>
                <w:color w:val="000000"/>
                <w:sz w:val="18"/>
                <w:szCs w:val="18"/>
              </w:rPr>
            </w:pPr>
            <w:r w:rsidRPr="00660482">
              <w:rPr>
                <w:color w:val="000000"/>
                <w:sz w:val="18"/>
                <w:szCs w:val="18"/>
              </w:rPr>
              <w:t>Equinix, Inc. (NasdaqGS:EQIX)</w:t>
            </w:r>
          </w:p>
        </w:tc>
        <w:tc>
          <w:tcPr>
            <w:tcW w:w="1659" w:type="pct"/>
            <w:tcBorders>
              <w:top w:val="nil"/>
              <w:left w:val="nil"/>
              <w:bottom w:val="single" w:sz="4" w:space="0" w:color="auto"/>
              <w:right w:val="single" w:sz="4" w:space="0" w:color="auto"/>
            </w:tcBorders>
            <w:noWrap/>
            <w:vAlign w:val="bottom"/>
            <w:hideMark/>
          </w:tcPr>
          <w:p w14:paraId="5AE2BACE"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4AAFE67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EB6E91C" w14:textId="77777777" w:rsidR="007D3934" w:rsidRPr="00660482" w:rsidRDefault="007D3934" w:rsidP="00AB016E">
            <w:pPr>
              <w:rPr>
                <w:color w:val="000000"/>
                <w:sz w:val="18"/>
                <w:szCs w:val="18"/>
              </w:rPr>
            </w:pPr>
            <w:r w:rsidRPr="00660482">
              <w:rPr>
                <w:color w:val="000000"/>
                <w:sz w:val="18"/>
                <w:szCs w:val="18"/>
              </w:rPr>
              <w:t>EXR</w:t>
            </w:r>
          </w:p>
        </w:tc>
        <w:tc>
          <w:tcPr>
            <w:tcW w:w="2837" w:type="pct"/>
            <w:tcBorders>
              <w:top w:val="nil"/>
              <w:left w:val="nil"/>
              <w:bottom w:val="single" w:sz="4" w:space="0" w:color="auto"/>
              <w:right w:val="single" w:sz="4" w:space="0" w:color="auto"/>
            </w:tcBorders>
            <w:noWrap/>
            <w:vAlign w:val="bottom"/>
            <w:hideMark/>
          </w:tcPr>
          <w:p w14:paraId="4A19C5EA" w14:textId="77777777" w:rsidR="007D3934" w:rsidRPr="00660482" w:rsidRDefault="007D3934" w:rsidP="00AB016E">
            <w:pPr>
              <w:rPr>
                <w:color w:val="000000"/>
                <w:sz w:val="18"/>
                <w:szCs w:val="18"/>
              </w:rPr>
            </w:pPr>
            <w:r w:rsidRPr="00660482">
              <w:rPr>
                <w:color w:val="000000"/>
                <w:sz w:val="18"/>
                <w:szCs w:val="18"/>
              </w:rPr>
              <w:t>Extra Space Storage Inc. (NYSE:EXR)</w:t>
            </w:r>
          </w:p>
        </w:tc>
        <w:tc>
          <w:tcPr>
            <w:tcW w:w="1659" w:type="pct"/>
            <w:tcBorders>
              <w:top w:val="nil"/>
              <w:left w:val="nil"/>
              <w:bottom w:val="single" w:sz="4" w:space="0" w:color="auto"/>
              <w:right w:val="single" w:sz="4" w:space="0" w:color="auto"/>
            </w:tcBorders>
            <w:noWrap/>
            <w:vAlign w:val="bottom"/>
            <w:hideMark/>
          </w:tcPr>
          <w:p w14:paraId="59CA8DD4"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5720B272"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9294503" w14:textId="77777777" w:rsidR="007D3934" w:rsidRPr="00660482" w:rsidRDefault="007D3934" w:rsidP="00AB016E">
            <w:pPr>
              <w:rPr>
                <w:color w:val="000000"/>
                <w:sz w:val="18"/>
                <w:szCs w:val="18"/>
              </w:rPr>
            </w:pPr>
            <w:r w:rsidRPr="00660482">
              <w:rPr>
                <w:color w:val="000000"/>
                <w:sz w:val="18"/>
                <w:szCs w:val="18"/>
              </w:rPr>
              <w:t>FCPT</w:t>
            </w:r>
          </w:p>
        </w:tc>
        <w:tc>
          <w:tcPr>
            <w:tcW w:w="2837" w:type="pct"/>
            <w:tcBorders>
              <w:top w:val="nil"/>
              <w:left w:val="nil"/>
              <w:bottom w:val="single" w:sz="4" w:space="0" w:color="auto"/>
              <w:right w:val="single" w:sz="4" w:space="0" w:color="auto"/>
            </w:tcBorders>
            <w:noWrap/>
            <w:vAlign w:val="bottom"/>
            <w:hideMark/>
          </w:tcPr>
          <w:p w14:paraId="1F495F81" w14:textId="77777777" w:rsidR="007D3934" w:rsidRPr="00660482" w:rsidRDefault="007D3934" w:rsidP="00AB016E">
            <w:pPr>
              <w:rPr>
                <w:color w:val="000000"/>
                <w:sz w:val="18"/>
                <w:szCs w:val="18"/>
              </w:rPr>
            </w:pPr>
            <w:r w:rsidRPr="00660482">
              <w:rPr>
                <w:color w:val="000000"/>
                <w:sz w:val="18"/>
                <w:szCs w:val="18"/>
              </w:rPr>
              <w:t>Four Corners Property Trust, Inc. (NYSE:FCPT)</w:t>
            </w:r>
          </w:p>
        </w:tc>
        <w:tc>
          <w:tcPr>
            <w:tcW w:w="1659" w:type="pct"/>
            <w:tcBorders>
              <w:top w:val="nil"/>
              <w:left w:val="nil"/>
              <w:bottom w:val="single" w:sz="4" w:space="0" w:color="auto"/>
              <w:right w:val="single" w:sz="4" w:space="0" w:color="auto"/>
            </w:tcBorders>
            <w:noWrap/>
            <w:vAlign w:val="bottom"/>
            <w:hideMark/>
          </w:tcPr>
          <w:p w14:paraId="5CE1A26A"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63A857B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C6A9582" w14:textId="77777777" w:rsidR="007D3934" w:rsidRPr="00660482" w:rsidRDefault="007D3934" w:rsidP="00AB016E">
            <w:pPr>
              <w:rPr>
                <w:color w:val="000000"/>
                <w:sz w:val="18"/>
                <w:szCs w:val="18"/>
              </w:rPr>
            </w:pPr>
            <w:r w:rsidRPr="00660482">
              <w:rPr>
                <w:color w:val="000000"/>
                <w:sz w:val="18"/>
                <w:szCs w:val="18"/>
              </w:rPr>
              <w:t>FPI</w:t>
            </w:r>
          </w:p>
        </w:tc>
        <w:tc>
          <w:tcPr>
            <w:tcW w:w="2837" w:type="pct"/>
            <w:tcBorders>
              <w:top w:val="nil"/>
              <w:left w:val="nil"/>
              <w:bottom w:val="single" w:sz="4" w:space="0" w:color="auto"/>
              <w:right w:val="single" w:sz="4" w:space="0" w:color="auto"/>
            </w:tcBorders>
            <w:noWrap/>
            <w:vAlign w:val="bottom"/>
            <w:hideMark/>
          </w:tcPr>
          <w:p w14:paraId="3FF66AC0" w14:textId="77777777" w:rsidR="007D3934" w:rsidRPr="00660482" w:rsidRDefault="007D3934" w:rsidP="00AB016E">
            <w:pPr>
              <w:rPr>
                <w:color w:val="000000"/>
                <w:sz w:val="18"/>
                <w:szCs w:val="18"/>
              </w:rPr>
            </w:pPr>
            <w:r w:rsidRPr="00660482">
              <w:rPr>
                <w:color w:val="000000"/>
                <w:sz w:val="18"/>
                <w:szCs w:val="18"/>
              </w:rPr>
              <w:t>Farmland Partners Inc. (NYSE:FPI)</w:t>
            </w:r>
          </w:p>
        </w:tc>
        <w:tc>
          <w:tcPr>
            <w:tcW w:w="1659" w:type="pct"/>
            <w:tcBorders>
              <w:top w:val="nil"/>
              <w:left w:val="nil"/>
              <w:bottom w:val="single" w:sz="4" w:space="0" w:color="auto"/>
              <w:right w:val="single" w:sz="4" w:space="0" w:color="auto"/>
            </w:tcBorders>
            <w:noWrap/>
            <w:vAlign w:val="bottom"/>
            <w:hideMark/>
          </w:tcPr>
          <w:p w14:paraId="6B6A2F60"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7B02A90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4C3A8377" w14:textId="77777777" w:rsidR="007D3934" w:rsidRPr="00660482" w:rsidRDefault="007D3934" w:rsidP="00AB016E">
            <w:pPr>
              <w:rPr>
                <w:color w:val="000000"/>
                <w:sz w:val="18"/>
                <w:szCs w:val="18"/>
              </w:rPr>
            </w:pPr>
            <w:r w:rsidRPr="00660482">
              <w:rPr>
                <w:color w:val="000000"/>
                <w:sz w:val="18"/>
                <w:szCs w:val="18"/>
              </w:rPr>
              <w:t>GLPI</w:t>
            </w:r>
          </w:p>
        </w:tc>
        <w:tc>
          <w:tcPr>
            <w:tcW w:w="2837" w:type="pct"/>
            <w:tcBorders>
              <w:top w:val="nil"/>
              <w:left w:val="nil"/>
              <w:bottom w:val="single" w:sz="4" w:space="0" w:color="auto"/>
              <w:right w:val="single" w:sz="4" w:space="0" w:color="auto"/>
            </w:tcBorders>
            <w:noWrap/>
            <w:vAlign w:val="bottom"/>
            <w:hideMark/>
          </w:tcPr>
          <w:p w14:paraId="7BD24099" w14:textId="77777777" w:rsidR="007D3934" w:rsidRPr="00660482" w:rsidRDefault="007D3934" w:rsidP="00AB016E">
            <w:pPr>
              <w:rPr>
                <w:color w:val="000000"/>
                <w:sz w:val="18"/>
                <w:szCs w:val="18"/>
              </w:rPr>
            </w:pPr>
            <w:r w:rsidRPr="00660482">
              <w:rPr>
                <w:color w:val="000000"/>
                <w:sz w:val="18"/>
                <w:szCs w:val="18"/>
              </w:rPr>
              <w:t>Gaming and Leisure Properties, Inc. (NasdaqGS:GLPI)</w:t>
            </w:r>
          </w:p>
        </w:tc>
        <w:tc>
          <w:tcPr>
            <w:tcW w:w="1659" w:type="pct"/>
            <w:tcBorders>
              <w:top w:val="nil"/>
              <w:left w:val="nil"/>
              <w:bottom w:val="single" w:sz="4" w:space="0" w:color="auto"/>
              <w:right w:val="single" w:sz="4" w:space="0" w:color="auto"/>
            </w:tcBorders>
            <w:noWrap/>
            <w:vAlign w:val="bottom"/>
            <w:hideMark/>
          </w:tcPr>
          <w:p w14:paraId="4C051BA7"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495A8C1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01CAB06" w14:textId="77777777" w:rsidR="007D3934" w:rsidRPr="00660482" w:rsidRDefault="007D3934" w:rsidP="00AB016E">
            <w:pPr>
              <w:rPr>
                <w:color w:val="000000"/>
                <w:sz w:val="18"/>
                <w:szCs w:val="18"/>
              </w:rPr>
            </w:pPr>
            <w:r w:rsidRPr="00660482">
              <w:rPr>
                <w:color w:val="000000"/>
                <w:sz w:val="18"/>
                <w:szCs w:val="18"/>
              </w:rPr>
              <w:t>IRM</w:t>
            </w:r>
          </w:p>
        </w:tc>
        <w:tc>
          <w:tcPr>
            <w:tcW w:w="2837" w:type="pct"/>
            <w:tcBorders>
              <w:top w:val="nil"/>
              <w:left w:val="nil"/>
              <w:bottom w:val="single" w:sz="4" w:space="0" w:color="auto"/>
              <w:right w:val="single" w:sz="4" w:space="0" w:color="auto"/>
            </w:tcBorders>
            <w:noWrap/>
            <w:vAlign w:val="bottom"/>
            <w:hideMark/>
          </w:tcPr>
          <w:p w14:paraId="56D9C159" w14:textId="77777777" w:rsidR="007D3934" w:rsidRPr="00660482" w:rsidRDefault="007D3934" w:rsidP="00AB016E">
            <w:pPr>
              <w:rPr>
                <w:color w:val="000000"/>
                <w:sz w:val="18"/>
                <w:szCs w:val="18"/>
              </w:rPr>
            </w:pPr>
            <w:r w:rsidRPr="00660482">
              <w:rPr>
                <w:color w:val="000000"/>
                <w:sz w:val="18"/>
                <w:szCs w:val="18"/>
              </w:rPr>
              <w:t>Iron Mountain Incorporated (NYSE:IRM)</w:t>
            </w:r>
          </w:p>
        </w:tc>
        <w:tc>
          <w:tcPr>
            <w:tcW w:w="1659" w:type="pct"/>
            <w:tcBorders>
              <w:top w:val="nil"/>
              <w:left w:val="nil"/>
              <w:bottom w:val="single" w:sz="4" w:space="0" w:color="auto"/>
              <w:right w:val="single" w:sz="4" w:space="0" w:color="auto"/>
            </w:tcBorders>
            <w:noWrap/>
            <w:vAlign w:val="bottom"/>
            <w:hideMark/>
          </w:tcPr>
          <w:p w14:paraId="7ADB47B3"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519F2C6"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1BD6E7A" w14:textId="77777777" w:rsidR="007D3934" w:rsidRPr="00660482" w:rsidRDefault="007D3934" w:rsidP="00AB016E">
            <w:pPr>
              <w:rPr>
                <w:color w:val="000000"/>
                <w:sz w:val="18"/>
                <w:szCs w:val="18"/>
              </w:rPr>
            </w:pPr>
            <w:r w:rsidRPr="00660482">
              <w:rPr>
                <w:color w:val="000000"/>
                <w:sz w:val="18"/>
                <w:szCs w:val="18"/>
              </w:rPr>
              <w:t>LAMR</w:t>
            </w:r>
          </w:p>
        </w:tc>
        <w:tc>
          <w:tcPr>
            <w:tcW w:w="2837" w:type="pct"/>
            <w:tcBorders>
              <w:top w:val="nil"/>
              <w:left w:val="nil"/>
              <w:bottom w:val="single" w:sz="4" w:space="0" w:color="auto"/>
              <w:right w:val="single" w:sz="4" w:space="0" w:color="auto"/>
            </w:tcBorders>
            <w:noWrap/>
            <w:vAlign w:val="bottom"/>
            <w:hideMark/>
          </w:tcPr>
          <w:p w14:paraId="4B441E87" w14:textId="77777777" w:rsidR="007D3934" w:rsidRPr="00660482" w:rsidRDefault="007D3934" w:rsidP="00AB016E">
            <w:pPr>
              <w:rPr>
                <w:color w:val="000000"/>
                <w:sz w:val="18"/>
                <w:szCs w:val="18"/>
              </w:rPr>
            </w:pPr>
            <w:r w:rsidRPr="00660482">
              <w:rPr>
                <w:color w:val="000000"/>
                <w:sz w:val="18"/>
                <w:szCs w:val="18"/>
              </w:rPr>
              <w:t>Lamar Advertising Company (NasdaqGS:LAMR)</w:t>
            </w:r>
          </w:p>
        </w:tc>
        <w:tc>
          <w:tcPr>
            <w:tcW w:w="1659" w:type="pct"/>
            <w:tcBorders>
              <w:top w:val="nil"/>
              <w:left w:val="nil"/>
              <w:bottom w:val="single" w:sz="4" w:space="0" w:color="auto"/>
              <w:right w:val="single" w:sz="4" w:space="0" w:color="auto"/>
            </w:tcBorders>
            <w:noWrap/>
            <w:vAlign w:val="bottom"/>
            <w:hideMark/>
          </w:tcPr>
          <w:p w14:paraId="0F540394"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704B8160"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6F835DA2" w14:textId="77777777" w:rsidR="007D3934" w:rsidRPr="00660482" w:rsidRDefault="007D3934" w:rsidP="00AB016E">
            <w:pPr>
              <w:rPr>
                <w:color w:val="000000"/>
                <w:sz w:val="18"/>
                <w:szCs w:val="18"/>
              </w:rPr>
            </w:pPr>
            <w:r w:rsidRPr="00660482">
              <w:rPr>
                <w:color w:val="000000"/>
                <w:sz w:val="18"/>
                <w:szCs w:val="18"/>
              </w:rPr>
              <w:t>LAND</w:t>
            </w:r>
          </w:p>
        </w:tc>
        <w:tc>
          <w:tcPr>
            <w:tcW w:w="2837" w:type="pct"/>
            <w:tcBorders>
              <w:top w:val="nil"/>
              <w:left w:val="nil"/>
              <w:bottom w:val="single" w:sz="4" w:space="0" w:color="auto"/>
              <w:right w:val="single" w:sz="4" w:space="0" w:color="auto"/>
            </w:tcBorders>
            <w:noWrap/>
            <w:vAlign w:val="bottom"/>
            <w:hideMark/>
          </w:tcPr>
          <w:p w14:paraId="1DAC098A" w14:textId="77777777" w:rsidR="007D3934" w:rsidRPr="00660482" w:rsidRDefault="007D3934" w:rsidP="00AB016E">
            <w:pPr>
              <w:rPr>
                <w:color w:val="000000"/>
                <w:sz w:val="18"/>
                <w:szCs w:val="18"/>
              </w:rPr>
            </w:pPr>
            <w:r w:rsidRPr="00660482">
              <w:rPr>
                <w:color w:val="000000"/>
                <w:sz w:val="18"/>
                <w:szCs w:val="18"/>
              </w:rPr>
              <w:t>Gladstone Land Corporation (NasdaqGM:LAND)</w:t>
            </w:r>
          </w:p>
        </w:tc>
        <w:tc>
          <w:tcPr>
            <w:tcW w:w="1659" w:type="pct"/>
            <w:tcBorders>
              <w:top w:val="nil"/>
              <w:left w:val="nil"/>
              <w:bottom w:val="single" w:sz="4" w:space="0" w:color="auto"/>
              <w:right w:val="single" w:sz="4" w:space="0" w:color="auto"/>
            </w:tcBorders>
            <w:noWrap/>
            <w:vAlign w:val="bottom"/>
            <w:hideMark/>
          </w:tcPr>
          <w:p w14:paraId="6BF6A602"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7EC3B678"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BAF3A63" w14:textId="77777777" w:rsidR="007D3934" w:rsidRPr="00660482" w:rsidRDefault="007D3934" w:rsidP="00AB016E">
            <w:pPr>
              <w:rPr>
                <w:color w:val="000000"/>
                <w:sz w:val="18"/>
                <w:szCs w:val="18"/>
              </w:rPr>
            </w:pPr>
            <w:r w:rsidRPr="00660482">
              <w:rPr>
                <w:color w:val="000000"/>
                <w:sz w:val="18"/>
                <w:szCs w:val="18"/>
              </w:rPr>
              <w:t>NSA</w:t>
            </w:r>
          </w:p>
        </w:tc>
        <w:tc>
          <w:tcPr>
            <w:tcW w:w="2837" w:type="pct"/>
            <w:tcBorders>
              <w:top w:val="nil"/>
              <w:left w:val="nil"/>
              <w:bottom w:val="single" w:sz="4" w:space="0" w:color="auto"/>
              <w:right w:val="single" w:sz="4" w:space="0" w:color="auto"/>
            </w:tcBorders>
            <w:noWrap/>
            <w:vAlign w:val="bottom"/>
            <w:hideMark/>
          </w:tcPr>
          <w:p w14:paraId="2C5F9AD8" w14:textId="77777777" w:rsidR="007D3934" w:rsidRPr="00660482" w:rsidRDefault="007D3934" w:rsidP="00AB016E">
            <w:pPr>
              <w:rPr>
                <w:color w:val="000000"/>
                <w:sz w:val="18"/>
                <w:szCs w:val="18"/>
              </w:rPr>
            </w:pPr>
            <w:r w:rsidRPr="00660482">
              <w:rPr>
                <w:color w:val="000000"/>
                <w:sz w:val="18"/>
                <w:szCs w:val="18"/>
              </w:rPr>
              <w:t>National Storage Affiliates Trust (NYSE:NSA)</w:t>
            </w:r>
          </w:p>
        </w:tc>
        <w:tc>
          <w:tcPr>
            <w:tcW w:w="1659" w:type="pct"/>
            <w:tcBorders>
              <w:top w:val="nil"/>
              <w:left w:val="nil"/>
              <w:bottom w:val="single" w:sz="4" w:space="0" w:color="auto"/>
              <w:right w:val="single" w:sz="4" w:space="0" w:color="auto"/>
            </w:tcBorders>
            <w:noWrap/>
            <w:vAlign w:val="bottom"/>
            <w:hideMark/>
          </w:tcPr>
          <w:p w14:paraId="6AC410C1"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484050C"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353C0B30" w14:textId="77777777" w:rsidR="007D3934" w:rsidRPr="00660482" w:rsidRDefault="007D3934" w:rsidP="00AB016E">
            <w:pPr>
              <w:rPr>
                <w:color w:val="000000"/>
                <w:sz w:val="18"/>
                <w:szCs w:val="18"/>
              </w:rPr>
            </w:pPr>
            <w:r w:rsidRPr="00660482">
              <w:rPr>
                <w:color w:val="000000"/>
                <w:sz w:val="18"/>
                <w:szCs w:val="18"/>
              </w:rPr>
              <w:t>OUT</w:t>
            </w:r>
          </w:p>
        </w:tc>
        <w:tc>
          <w:tcPr>
            <w:tcW w:w="2837" w:type="pct"/>
            <w:tcBorders>
              <w:top w:val="nil"/>
              <w:left w:val="nil"/>
              <w:bottom w:val="single" w:sz="4" w:space="0" w:color="auto"/>
              <w:right w:val="single" w:sz="4" w:space="0" w:color="auto"/>
            </w:tcBorders>
            <w:noWrap/>
            <w:vAlign w:val="bottom"/>
            <w:hideMark/>
          </w:tcPr>
          <w:p w14:paraId="5B85F200" w14:textId="77777777" w:rsidR="007D3934" w:rsidRPr="00660482" w:rsidRDefault="007D3934" w:rsidP="00AB016E">
            <w:pPr>
              <w:rPr>
                <w:color w:val="000000"/>
                <w:sz w:val="18"/>
                <w:szCs w:val="18"/>
              </w:rPr>
            </w:pPr>
            <w:r w:rsidRPr="00660482">
              <w:rPr>
                <w:color w:val="000000"/>
                <w:sz w:val="18"/>
                <w:szCs w:val="18"/>
              </w:rPr>
              <w:t>OUTFRONT Media Inc. (NYSE:OUT)</w:t>
            </w:r>
          </w:p>
        </w:tc>
        <w:tc>
          <w:tcPr>
            <w:tcW w:w="1659" w:type="pct"/>
            <w:tcBorders>
              <w:top w:val="nil"/>
              <w:left w:val="nil"/>
              <w:bottom w:val="single" w:sz="4" w:space="0" w:color="auto"/>
              <w:right w:val="single" w:sz="4" w:space="0" w:color="auto"/>
            </w:tcBorders>
            <w:noWrap/>
            <w:vAlign w:val="bottom"/>
            <w:hideMark/>
          </w:tcPr>
          <w:p w14:paraId="3CA1C15E"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8E66715"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7C2654A" w14:textId="77777777" w:rsidR="007D3934" w:rsidRPr="00660482" w:rsidRDefault="007D3934" w:rsidP="00AB016E">
            <w:pPr>
              <w:rPr>
                <w:color w:val="000000"/>
                <w:sz w:val="18"/>
                <w:szCs w:val="18"/>
              </w:rPr>
            </w:pPr>
            <w:r w:rsidRPr="00660482">
              <w:rPr>
                <w:color w:val="000000"/>
                <w:sz w:val="18"/>
                <w:szCs w:val="18"/>
              </w:rPr>
              <w:t>PCH</w:t>
            </w:r>
          </w:p>
        </w:tc>
        <w:tc>
          <w:tcPr>
            <w:tcW w:w="2837" w:type="pct"/>
            <w:tcBorders>
              <w:top w:val="nil"/>
              <w:left w:val="nil"/>
              <w:bottom w:val="single" w:sz="4" w:space="0" w:color="auto"/>
              <w:right w:val="single" w:sz="4" w:space="0" w:color="auto"/>
            </w:tcBorders>
            <w:noWrap/>
            <w:vAlign w:val="bottom"/>
            <w:hideMark/>
          </w:tcPr>
          <w:p w14:paraId="77B4B01B" w14:textId="77777777" w:rsidR="007D3934" w:rsidRPr="00660482" w:rsidRDefault="007D3934" w:rsidP="00AB016E">
            <w:pPr>
              <w:rPr>
                <w:color w:val="000000"/>
                <w:sz w:val="18"/>
                <w:szCs w:val="18"/>
              </w:rPr>
            </w:pPr>
            <w:r w:rsidRPr="00660482">
              <w:rPr>
                <w:color w:val="000000"/>
                <w:sz w:val="18"/>
                <w:szCs w:val="18"/>
              </w:rPr>
              <w:t>PotlatchDeltic Corporation (NasdaqGS:PCH)</w:t>
            </w:r>
          </w:p>
        </w:tc>
        <w:tc>
          <w:tcPr>
            <w:tcW w:w="1659" w:type="pct"/>
            <w:tcBorders>
              <w:top w:val="nil"/>
              <w:left w:val="nil"/>
              <w:bottom w:val="single" w:sz="4" w:space="0" w:color="auto"/>
              <w:right w:val="single" w:sz="4" w:space="0" w:color="auto"/>
            </w:tcBorders>
            <w:noWrap/>
            <w:vAlign w:val="bottom"/>
            <w:hideMark/>
          </w:tcPr>
          <w:p w14:paraId="69D4EF1F"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F915B3F"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A0D5CE8" w14:textId="77777777" w:rsidR="007D3934" w:rsidRPr="00660482" w:rsidRDefault="007D3934" w:rsidP="00AB016E">
            <w:pPr>
              <w:rPr>
                <w:color w:val="000000"/>
                <w:sz w:val="18"/>
                <w:szCs w:val="18"/>
              </w:rPr>
            </w:pPr>
            <w:r w:rsidRPr="00660482">
              <w:rPr>
                <w:color w:val="000000"/>
                <w:sz w:val="18"/>
                <w:szCs w:val="18"/>
              </w:rPr>
              <w:t>PSA</w:t>
            </w:r>
          </w:p>
        </w:tc>
        <w:tc>
          <w:tcPr>
            <w:tcW w:w="2837" w:type="pct"/>
            <w:tcBorders>
              <w:top w:val="nil"/>
              <w:left w:val="nil"/>
              <w:bottom w:val="single" w:sz="4" w:space="0" w:color="auto"/>
              <w:right w:val="single" w:sz="4" w:space="0" w:color="auto"/>
            </w:tcBorders>
            <w:noWrap/>
            <w:vAlign w:val="bottom"/>
            <w:hideMark/>
          </w:tcPr>
          <w:p w14:paraId="5DB206AC" w14:textId="77777777" w:rsidR="007D3934" w:rsidRPr="00660482" w:rsidRDefault="007D3934" w:rsidP="00AB016E">
            <w:pPr>
              <w:rPr>
                <w:color w:val="000000"/>
                <w:sz w:val="18"/>
                <w:szCs w:val="18"/>
              </w:rPr>
            </w:pPr>
            <w:r w:rsidRPr="00660482">
              <w:rPr>
                <w:color w:val="000000"/>
                <w:sz w:val="18"/>
                <w:szCs w:val="18"/>
              </w:rPr>
              <w:t>Public Storage (NYSE:PSA)</w:t>
            </w:r>
          </w:p>
        </w:tc>
        <w:tc>
          <w:tcPr>
            <w:tcW w:w="1659" w:type="pct"/>
            <w:tcBorders>
              <w:top w:val="nil"/>
              <w:left w:val="nil"/>
              <w:bottom w:val="single" w:sz="4" w:space="0" w:color="auto"/>
              <w:right w:val="single" w:sz="4" w:space="0" w:color="auto"/>
            </w:tcBorders>
            <w:noWrap/>
            <w:vAlign w:val="bottom"/>
            <w:hideMark/>
          </w:tcPr>
          <w:p w14:paraId="11B6DEE3"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52D28E0A"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6663CE0" w14:textId="77777777" w:rsidR="007D3934" w:rsidRPr="00660482" w:rsidRDefault="007D3934" w:rsidP="00AB016E">
            <w:pPr>
              <w:rPr>
                <w:color w:val="000000"/>
                <w:sz w:val="18"/>
                <w:szCs w:val="18"/>
              </w:rPr>
            </w:pPr>
            <w:r w:rsidRPr="00660482">
              <w:rPr>
                <w:color w:val="000000"/>
                <w:sz w:val="18"/>
                <w:szCs w:val="18"/>
              </w:rPr>
              <w:t>PW</w:t>
            </w:r>
          </w:p>
        </w:tc>
        <w:tc>
          <w:tcPr>
            <w:tcW w:w="2837" w:type="pct"/>
            <w:tcBorders>
              <w:top w:val="nil"/>
              <w:left w:val="nil"/>
              <w:bottom w:val="single" w:sz="4" w:space="0" w:color="auto"/>
              <w:right w:val="single" w:sz="4" w:space="0" w:color="auto"/>
            </w:tcBorders>
            <w:noWrap/>
            <w:vAlign w:val="bottom"/>
            <w:hideMark/>
          </w:tcPr>
          <w:p w14:paraId="4B3A5808" w14:textId="77777777" w:rsidR="007D3934" w:rsidRPr="00660482" w:rsidRDefault="007D3934" w:rsidP="00AB016E">
            <w:pPr>
              <w:rPr>
                <w:color w:val="000000"/>
                <w:sz w:val="18"/>
                <w:szCs w:val="18"/>
              </w:rPr>
            </w:pPr>
            <w:r w:rsidRPr="00660482">
              <w:rPr>
                <w:color w:val="000000"/>
                <w:sz w:val="18"/>
                <w:szCs w:val="18"/>
              </w:rPr>
              <w:t>Power REIT (NYSEAM:PW)</w:t>
            </w:r>
          </w:p>
        </w:tc>
        <w:tc>
          <w:tcPr>
            <w:tcW w:w="1659" w:type="pct"/>
            <w:tcBorders>
              <w:top w:val="nil"/>
              <w:left w:val="nil"/>
              <w:bottom w:val="single" w:sz="4" w:space="0" w:color="auto"/>
              <w:right w:val="single" w:sz="4" w:space="0" w:color="auto"/>
            </w:tcBorders>
            <w:noWrap/>
            <w:vAlign w:val="bottom"/>
            <w:hideMark/>
          </w:tcPr>
          <w:p w14:paraId="18501216"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32DEE2F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729FEA60" w14:textId="77777777" w:rsidR="007D3934" w:rsidRPr="00660482" w:rsidRDefault="007D3934" w:rsidP="00AB016E">
            <w:pPr>
              <w:rPr>
                <w:color w:val="000000"/>
                <w:sz w:val="18"/>
                <w:szCs w:val="18"/>
              </w:rPr>
            </w:pPr>
            <w:r w:rsidRPr="00660482">
              <w:rPr>
                <w:color w:val="000000"/>
                <w:sz w:val="18"/>
                <w:szCs w:val="18"/>
              </w:rPr>
              <w:t>RYN</w:t>
            </w:r>
          </w:p>
        </w:tc>
        <w:tc>
          <w:tcPr>
            <w:tcW w:w="2837" w:type="pct"/>
            <w:tcBorders>
              <w:top w:val="nil"/>
              <w:left w:val="nil"/>
              <w:bottom w:val="single" w:sz="4" w:space="0" w:color="auto"/>
              <w:right w:val="single" w:sz="4" w:space="0" w:color="auto"/>
            </w:tcBorders>
            <w:noWrap/>
            <w:vAlign w:val="bottom"/>
            <w:hideMark/>
          </w:tcPr>
          <w:p w14:paraId="7BEF4F6B" w14:textId="77777777" w:rsidR="007D3934" w:rsidRPr="00660482" w:rsidRDefault="007D3934" w:rsidP="00AB016E">
            <w:pPr>
              <w:rPr>
                <w:color w:val="000000"/>
                <w:sz w:val="18"/>
                <w:szCs w:val="18"/>
              </w:rPr>
            </w:pPr>
            <w:r w:rsidRPr="00660482">
              <w:rPr>
                <w:color w:val="000000"/>
                <w:sz w:val="18"/>
                <w:szCs w:val="18"/>
              </w:rPr>
              <w:t>Rayonier Inc. (NYSE:RYN)</w:t>
            </w:r>
          </w:p>
        </w:tc>
        <w:tc>
          <w:tcPr>
            <w:tcW w:w="1659" w:type="pct"/>
            <w:tcBorders>
              <w:top w:val="nil"/>
              <w:left w:val="nil"/>
              <w:bottom w:val="single" w:sz="4" w:space="0" w:color="auto"/>
              <w:right w:val="single" w:sz="4" w:space="0" w:color="auto"/>
            </w:tcBorders>
            <w:noWrap/>
            <w:vAlign w:val="bottom"/>
            <w:hideMark/>
          </w:tcPr>
          <w:p w14:paraId="26C6C777"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60B897BE"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BB6FE0B" w14:textId="77777777" w:rsidR="007D3934" w:rsidRPr="00660482" w:rsidRDefault="007D3934" w:rsidP="00AB016E">
            <w:pPr>
              <w:rPr>
                <w:color w:val="000000"/>
                <w:sz w:val="18"/>
                <w:szCs w:val="18"/>
              </w:rPr>
            </w:pPr>
            <w:r w:rsidRPr="00660482">
              <w:rPr>
                <w:color w:val="000000"/>
                <w:sz w:val="18"/>
                <w:szCs w:val="18"/>
              </w:rPr>
              <w:t>SAFE</w:t>
            </w:r>
          </w:p>
        </w:tc>
        <w:tc>
          <w:tcPr>
            <w:tcW w:w="2837" w:type="pct"/>
            <w:tcBorders>
              <w:top w:val="nil"/>
              <w:left w:val="nil"/>
              <w:bottom w:val="single" w:sz="4" w:space="0" w:color="auto"/>
              <w:right w:val="single" w:sz="4" w:space="0" w:color="auto"/>
            </w:tcBorders>
            <w:noWrap/>
            <w:vAlign w:val="bottom"/>
            <w:hideMark/>
          </w:tcPr>
          <w:p w14:paraId="263CC8AF" w14:textId="77777777" w:rsidR="007D3934" w:rsidRPr="00660482" w:rsidRDefault="007D3934" w:rsidP="00AB016E">
            <w:pPr>
              <w:rPr>
                <w:color w:val="000000"/>
                <w:sz w:val="18"/>
                <w:szCs w:val="18"/>
              </w:rPr>
            </w:pPr>
            <w:r w:rsidRPr="00660482">
              <w:rPr>
                <w:color w:val="000000"/>
                <w:sz w:val="18"/>
                <w:szCs w:val="18"/>
              </w:rPr>
              <w:t>Safehold Inc. (NYSE:SAFE)</w:t>
            </w:r>
          </w:p>
        </w:tc>
        <w:tc>
          <w:tcPr>
            <w:tcW w:w="1659" w:type="pct"/>
            <w:tcBorders>
              <w:top w:val="nil"/>
              <w:left w:val="nil"/>
              <w:bottom w:val="single" w:sz="4" w:space="0" w:color="auto"/>
              <w:right w:val="single" w:sz="4" w:space="0" w:color="auto"/>
            </w:tcBorders>
            <w:noWrap/>
            <w:vAlign w:val="bottom"/>
            <w:hideMark/>
          </w:tcPr>
          <w:p w14:paraId="04EBAF81"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5DC2C003"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24A2307D" w14:textId="77777777" w:rsidR="007D3934" w:rsidRPr="00660482" w:rsidRDefault="007D3934" w:rsidP="00AB016E">
            <w:pPr>
              <w:rPr>
                <w:color w:val="000000"/>
                <w:sz w:val="18"/>
                <w:szCs w:val="18"/>
              </w:rPr>
            </w:pPr>
            <w:r w:rsidRPr="00660482">
              <w:rPr>
                <w:color w:val="000000"/>
                <w:sz w:val="18"/>
                <w:szCs w:val="18"/>
              </w:rPr>
              <w:t>SBAC</w:t>
            </w:r>
          </w:p>
        </w:tc>
        <w:tc>
          <w:tcPr>
            <w:tcW w:w="2837" w:type="pct"/>
            <w:tcBorders>
              <w:top w:val="nil"/>
              <w:left w:val="nil"/>
              <w:bottom w:val="single" w:sz="4" w:space="0" w:color="auto"/>
              <w:right w:val="single" w:sz="4" w:space="0" w:color="auto"/>
            </w:tcBorders>
            <w:noWrap/>
            <w:vAlign w:val="bottom"/>
            <w:hideMark/>
          </w:tcPr>
          <w:p w14:paraId="7D2AE46D" w14:textId="77777777" w:rsidR="007D3934" w:rsidRPr="00660482" w:rsidRDefault="007D3934" w:rsidP="00AB016E">
            <w:pPr>
              <w:rPr>
                <w:color w:val="000000"/>
                <w:sz w:val="18"/>
                <w:szCs w:val="18"/>
              </w:rPr>
            </w:pPr>
            <w:r w:rsidRPr="00660482">
              <w:rPr>
                <w:color w:val="000000"/>
                <w:sz w:val="18"/>
                <w:szCs w:val="18"/>
              </w:rPr>
              <w:t>SBA Communications Corporation (NasdaqGS:SBAC)</w:t>
            </w:r>
          </w:p>
        </w:tc>
        <w:tc>
          <w:tcPr>
            <w:tcW w:w="1659" w:type="pct"/>
            <w:tcBorders>
              <w:top w:val="nil"/>
              <w:left w:val="nil"/>
              <w:bottom w:val="single" w:sz="4" w:space="0" w:color="auto"/>
              <w:right w:val="single" w:sz="4" w:space="0" w:color="auto"/>
            </w:tcBorders>
            <w:noWrap/>
            <w:vAlign w:val="bottom"/>
            <w:hideMark/>
          </w:tcPr>
          <w:p w14:paraId="718A3290"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0156180D"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34D1D1E" w14:textId="77777777" w:rsidR="007D3934" w:rsidRPr="00660482" w:rsidRDefault="007D3934" w:rsidP="00AB016E">
            <w:pPr>
              <w:rPr>
                <w:color w:val="000000"/>
                <w:sz w:val="18"/>
                <w:szCs w:val="18"/>
              </w:rPr>
            </w:pPr>
            <w:r w:rsidRPr="00660482">
              <w:rPr>
                <w:color w:val="000000"/>
                <w:sz w:val="18"/>
                <w:szCs w:val="18"/>
              </w:rPr>
              <w:t>SELF</w:t>
            </w:r>
          </w:p>
        </w:tc>
        <w:tc>
          <w:tcPr>
            <w:tcW w:w="2837" w:type="pct"/>
            <w:tcBorders>
              <w:top w:val="nil"/>
              <w:left w:val="nil"/>
              <w:bottom w:val="single" w:sz="4" w:space="0" w:color="auto"/>
              <w:right w:val="single" w:sz="4" w:space="0" w:color="auto"/>
            </w:tcBorders>
            <w:noWrap/>
            <w:vAlign w:val="bottom"/>
            <w:hideMark/>
          </w:tcPr>
          <w:p w14:paraId="1062BC34" w14:textId="77777777" w:rsidR="007D3934" w:rsidRPr="00660482" w:rsidRDefault="007D3934" w:rsidP="00AB016E">
            <w:pPr>
              <w:rPr>
                <w:color w:val="000000"/>
                <w:sz w:val="18"/>
                <w:szCs w:val="18"/>
              </w:rPr>
            </w:pPr>
            <w:r w:rsidRPr="00660482">
              <w:rPr>
                <w:color w:val="000000"/>
                <w:sz w:val="18"/>
                <w:szCs w:val="18"/>
              </w:rPr>
              <w:t>Global Self Storage, Inc. (NasdaqCM:SELF)</w:t>
            </w:r>
          </w:p>
        </w:tc>
        <w:tc>
          <w:tcPr>
            <w:tcW w:w="1659" w:type="pct"/>
            <w:tcBorders>
              <w:top w:val="nil"/>
              <w:left w:val="nil"/>
              <w:bottom w:val="single" w:sz="4" w:space="0" w:color="auto"/>
              <w:right w:val="single" w:sz="4" w:space="0" w:color="auto"/>
            </w:tcBorders>
            <w:noWrap/>
            <w:vAlign w:val="bottom"/>
            <w:hideMark/>
          </w:tcPr>
          <w:p w14:paraId="36DAC220"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2316289"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EE556B4" w14:textId="77777777" w:rsidR="007D3934" w:rsidRPr="00660482" w:rsidRDefault="007D3934" w:rsidP="00AB016E">
            <w:pPr>
              <w:rPr>
                <w:color w:val="000000"/>
                <w:sz w:val="18"/>
                <w:szCs w:val="18"/>
              </w:rPr>
            </w:pPr>
            <w:r w:rsidRPr="00660482">
              <w:rPr>
                <w:color w:val="000000"/>
                <w:sz w:val="18"/>
                <w:szCs w:val="18"/>
              </w:rPr>
              <w:t>UNIT</w:t>
            </w:r>
          </w:p>
        </w:tc>
        <w:tc>
          <w:tcPr>
            <w:tcW w:w="2837" w:type="pct"/>
            <w:tcBorders>
              <w:top w:val="nil"/>
              <w:left w:val="nil"/>
              <w:bottom w:val="single" w:sz="4" w:space="0" w:color="auto"/>
              <w:right w:val="single" w:sz="4" w:space="0" w:color="auto"/>
            </w:tcBorders>
            <w:noWrap/>
            <w:vAlign w:val="bottom"/>
            <w:hideMark/>
          </w:tcPr>
          <w:p w14:paraId="1F3C2923" w14:textId="77777777" w:rsidR="007D3934" w:rsidRPr="00660482" w:rsidRDefault="007D3934" w:rsidP="00AB016E">
            <w:pPr>
              <w:rPr>
                <w:color w:val="000000"/>
                <w:sz w:val="18"/>
                <w:szCs w:val="18"/>
              </w:rPr>
            </w:pPr>
            <w:r w:rsidRPr="00660482">
              <w:rPr>
                <w:color w:val="000000"/>
                <w:sz w:val="18"/>
                <w:szCs w:val="18"/>
              </w:rPr>
              <w:t>Uniti Group Inc. (NasdaqGS:UNIT)</w:t>
            </w:r>
          </w:p>
        </w:tc>
        <w:tc>
          <w:tcPr>
            <w:tcW w:w="1659" w:type="pct"/>
            <w:tcBorders>
              <w:top w:val="nil"/>
              <w:left w:val="nil"/>
              <w:bottom w:val="single" w:sz="4" w:space="0" w:color="auto"/>
              <w:right w:val="single" w:sz="4" w:space="0" w:color="auto"/>
            </w:tcBorders>
            <w:noWrap/>
            <w:vAlign w:val="bottom"/>
            <w:hideMark/>
          </w:tcPr>
          <w:p w14:paraId="6202D850"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225114F7"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5B9DE3B4" w14:textId="77777777" w:rsidR="007D3934" w:rsidRPr="00660482" w:rsidRDefault="007D3934" w:rsidP="00AB016E">
            <w:pPr>
              <w:rPr>
                <w:color w:val="000000"/>
                <w:sz w:val="18"/>
                <w:szCs w:val="18"/>
              </w:rPr>
            </w:pPr>
            <w:r w:rsidRPr="00660482">
              <w:rPr>
                <w:color w:val="000000"/>
                <w:sz w:val="18"/>
                <w:szCs w:val="18"/>
              </w:rPr>
              <w:t>VICI</w:t>
            </w:r>
          </w:p>
        </w:tc>
        <w:tc>
          <w:tcPr>
            <w:tcW w:w="2837" w:type="pct"/>
            <w:tcBorders>
              <w:top w:val="nil"/>
              <w:left w:val="nil"/>
              <w:bottom w:val="single" w:sz="4" w:space="0" w:color="auto"/>
              <w:right w:val="single" w:sz="4" w:space="0" w:color="auto"/>
            </w:tcBorders>
            <w:noWrap/>
            <w:vAlign w:val="bottom"/>
            <w:hideMark/>
          </w:tcPr>
          <w:p w14:paraId="53356A99" w14:textId="77777777" w:rsidR="007D3934" w:rsidRPr="00660482" w:rsidRDefault="007D3934" w:rsidP="00AB016E">
            <w:pPr>
              <w:rPr>
                <w:color w:val="000000"/>
                <w:sz w:val="18"/>
                <w:szCs w:val="18"/>
              </w:rPr>
            </w:pPr>
            <w:r w:rsidRPr="00660482">
              <w:rPr>
                <w:color w:val="000000"/>
                <w:sz w:val="18"/>
                <w:szCs w:val="18"/>
              </w:rPr>
              <w:t>VICI Properties Inc. (NYSE:VICI)</w:t>
            </w:r>
          </w:p>
        </w:tc>
        <w:tc>
          <w:tcPr>
            <w:tcW w:w="1659" w:type="pct"/>
            <w:tcBorders>
              <w:top w:val="nil"/>
              <w:left w:val="nil"/>
              <w:bottom w:val="single" w:sz="4" w:space="0" w:color="auto"/>
              <w:right w:val="single" w:sz="4" w:space="0" w:color="auto"/>
            </w:tcBorders>
            <w:noWrap/>
            <w:vAlign w:val="bottom"/>
            <w:hideMark/>
          </w:tcPr>
          <w:p w14:paraId="4347533D" w14:textId="77777777" w:rsidR="007D3934" w:rsidRPr="00660482" w:rsidRDefault="007D3934" w:rsidP="00AB016E">
            <w:pPr>
              <w:rPr>
                <w:color w:val="000000"/>
                <w:sz w:val="18"/>
                <w:szCs w:val="18"/>
              </w:rPr>
            </w:pPr>
            <w:r w:rsidRPr="00660482">
              <w:rPr>
                <w:color w:val="000000"/>
                <w:sz w:val="18"/>
                <w:szCs w:val="18"/>
              </w:rPr>
              <w:t>Specialized REITs (Primary)</w:t>
            </w:r>
          </w:p>
        </w:tc>
      </w:tr>
      <w:tr w:rsidR="007D3934" w:rsidRPr="00660482" w14:paraId="60027ABB" w14:textId="77777777" w:rsidTr="00AB016E">
        <w:trPr>
          <w:trHeight w:val="300"/>
        </w:trPr>
        <w:tc>
          <w:tcPr>
            <w:tcW w:w="504" w:type="pct"/>
            <w:tcBorders>
              <w:top w:val="nil"/>
              <w:left w:val="single" w:sz="4" w:space="0" w:color="auto"/>
              <w:bottom w:val="single" w:sz="4" w:space="0" w:color="auto"/>
              <w:right w:val="single" w:sz="4" w:space="0" w:color="auto"/>
            </w:tcBorders>
            <w:noWrap/>
            <w:vAlign w:val="bottom"/>
            <w:hideMark/>
          </w:tcPr>
          <w:p w14:paraId="1B9E1E5A" w14:textId="77777777" w:rsidR="007D3934" w:rsidRPr="00660482" w:rsidRDefault="007D3934" w:rsidP="00AB016E">
            <w:pPr>
              <w:rPr>
                <w:color w:val="000000"/>
                <w:sz w:val="18"/>
                <w:szCs w:val="18"/>
              </w:rPr>
            </w:pPr>
            <w:r w:rsidRPr="00660482">
              <w:rPr>
                <w:color w:val="000000"/>
                <w:sz w:val="18"/>
                <w:szCs w:val="18"/>
              </w:rPr>
              <w:t>WY</w:t>
            </w:r>
          </w:p>
        </w:tc>
        <w:tc>
          <w:tcPr>
            <w:tcW w:w="2837" w:type="pct"/>
            <w:tcBorders>
              <w:top w:val="nil"/>
              <w:left w:val="nil"/>
              <w:bottom w:val="single" w:sz="4" w:space="0" w:color="auto"/>
              <w:right w:val="single" w:sz="4" w:space="0" w:color="auto"/>
            </w:tcBorders>
            <w:noWrap/>
            <w:vAlign w:val="bottom"/>
            <w:hideMark/>
          </w:tcPr>
          <w:p w14:paraId="1BFF1546" w14:textId="77777777" w:rsidR="007D3934" w:rsidRPr="00660482" w:rsidRDefault="007D3934" w:rsidP="00AB016E">
            <w:pPr>
              <w:rPr>
                <w:color w:val="000000"/>
                <w:sz w:val="18"/>
                <w:szCs w:val="18"/>
              </w:rPr>
            </w:pPr>
            <w:r w:rsidRPr="00660482">
              <w:rPr>
                <w:color w:val="000000"/>
                <w:sz w:val="18"/>
                <w:szCs w:val="18"/>
              </w:rPr>
              <w:t>Weyerhaeuser Company (NYSE:WY)</w:t>
            </w:r>
          </w:p>
        </w:tc>
        <w:tc>
          <w:tcPr>
            <w:tcW w:w="1659" w:type="pct"/>
            <w:tcBorders>
              <w:top w:val="nil"/>
              <w:left w:val="nil"/>
              <w:bottom w:val="single" w:sz="4" w:space="0" w:color="auto"/>
              <w:right w:val="single" w:sz="4" w:space="0" w:color="auto"/>
            </w:tcBorders>
            <w:noWrap/>
            <w:vAlign w:val="bottom"/>
            <w:hideMark/>
          </w:tcPr>
          <w:p w14:paraId="23DFE936" w14:textId="77777777" w:rsidR="007D3934" w:rsidRPr="00660482" w:rsidRDefault="007D3934" w:rsidP="00AB016E">
            <w:pPr>
              <w:rPr>
                <w:color w:val="000000"/>
                <w:sz w:val="18"/>
                <w:szCs w:val="18"/>
              </w:rPr>
            </w:pPr>
            <w:r w:rsidRPr="00660482">
              <w:rPr>
                <w:color w:val="000000"/>
                <w:sz w:val="18"/>
                <w:szCs w:val="18"/>
              </w:rPr>
              <w:t>Specialized REITs (Primary)</w:t>
            </w:r>
          </w:p>
        </w:tc>
      </w:tr>
    </w:tbl>
    <w:p w14:paraId="5A2B4806" w14:textId="77777777" w:rsidR="007D3934" w:rsidRPr="00660482" w:rsidRDefault="007D3934" w:rsidP="007D3934"/>
    <w:p w14:paraId="49770431" w14:textId="77777777" w:rsidR="007D3934" w:rsidRPr="00660482" w:rsidRDefault="007D3934" w:rsidP="007D3934">
      <w:pPr>
        <w:spacing w:after="200" w:line="276" w:lineRule="auto"/>
      </w:pPr>
    </w:p>
    <w:p w14:paraId="2DDC7AAD" w14:textId="77777777" w:rsidR="004E780C" w:rsidRDefault="004E780C"/>
    <w:sectPr w:rsidR="004E780C" w:rsidSect="007D3934">
      <w:headerReference w:type="even" r:id="rId4"/>
      <w:headerReference w:type="default" r:id="rId5"/>
      <w:footerReference w:type="even" r:id="rId6"/>
      <w:footerReference w:type="default" r:id="rId7"/>
      <w:headerReference w:type="first" r:id="rId8"/>
      <w:footerReference w:type="first" r:id="rId9"/>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5FC4A" w14:textId="77777777" w:rsidR="007D3934" w:rsidRDefault="007D3934">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8845365"/>
      <w:docPartObj>
        <w:docPartGallery w:val="Page Numbers (Bottom of Page)"/>
        <w:docPartUnique/>
      </w:docPartObj>
    </w:sdtPr>
    <w:sdtEndPr>
      <w:rPr>
        <w:noProof/>
      </w:rPr>
    </w:sdtEndPr>
    <w:sdtContent>
      <w:p w14:paraId="19044D5E" w14:textId="77777777" w:rsidR="007D3934" w:rsidRDefault="007D393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518D608" w14:textId="77777777" w:rsidR="007D3934" w:rsidRDefault="007D39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377E4" w14:textId="77777777" w:rsidR="007D3934" w:rsidRDefault="007D3934">
    <w:pPr>
      <w:pBdr>
        <w:top w:val="nil"/>
        <w:left w:val="nil"/>
        <w:bottom w:val="nil"/>
        <w:right w:val="nil"/>
        <w:between w:val="nil"/>
      </w:pBdr>
      <w:tabs>
        <w:tab w:val="center" w:pos="4680"/>
        <w:tab w:val="right" w:pos="9360"/>
      </w:tabs>
      <w:rPr>
        <w:color w:val="000000"/>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8A8DC" w14:textId="77777777" w:rsidR="007D3934" w:rsidRDefault="007D3934">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87802" w14:textId="77777777" w:rsidR="007D3934" w:rsidRDefault="007D3934">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929E2E" w14:textId="77777777" w:rsidR="007D3934" w:rsidRDefault="007D3934">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3934"/>
    <w:rsid w:val="002978F5"/>
    <w:rsid w:val="003852CF"/>
    <w:rsid w:val="004E780C"/>
    <w:rsid w:val="007D3934"/>
    <w:rsid w:val="00B9424B"/>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1402F"/>
  <w15:chartTrackingRefBased/>
  <w15:docId w15:val="{3098ED86-5D8D-4552-AE99-4E2C7C8ADC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934"/>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7D393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7D393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7D393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7D3934"/>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7D3934"/>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7D3934"/>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7D3934"/>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7D3934"/>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7D3934"/>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39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D39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D39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D39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D39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D39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39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39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3934"/>
    <w:rPr>
      <w:rFonts w:eastAsiaTheme="majorEastAsia" w:cstheme="majorBidi"/>
      <w:color w:val="272727" w:themeColor="text1" w:themeTint="D8"/>
    </w:rPr>
  </w:style>
  <w:style w:type="paragraph" w:styleId="Title">
    <w:name w:val="Title"/>
    <w:basedOn w:val="Normal"/>
    <w:next w:val="Normal"/>
    <w:link w:val="TitleChar"/>
    <w:uiPriority w:val="10"/>
    <w:qFormat/>
    <w:rsid w:val="007D3934"/>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7D39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393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7D39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3934"/>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7D3934"/>
    <w:rPr>
      <w:i/>
      <w:iCs/>
      <w:color w:val="404040" w:themeColor="text1" w:themeTint="BF"/>
    </w:rPr>
  </w:style>
  <w:style w:type="paragraph" w:styleId="ListParagraph">
    <w:name w:val="List Paragraph"/>
    <w:basedOn w:val="Normal"/>
    <w:uiPriority w:val="34"/>
    <w:qFormat/>
    <w:rsid w:val="007D3934"/>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7D3934"/>
    <w:rPr>
      <w:i/>
      <w:iCs/>
      <w:color w:val="0F4761" w:themeColor="accent1" w:themeShade="BF"/>
    </w:rPr>
  </w:style>
  <w:style w:type="paragraph" w:styleId="IntenseQuote">
    <w:name w:val="Intense Quote"/>
    <w:basedOn w:val="Normal"/>
    <w:next w:val="Normal"/>
    <w:link w:val="IntenseQuoteChar"/>
    <w:uiPriority w:val="30"/>
    <w:qFormat/>
    <w:rsid w:val="007D393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7D3934"/>
    <w:rPr>
      <w:i/>
      <w:iCs/>
      <w:color w:val="0F4761" w:themeColor="accent1" w:themeShade="BF"/>
    </w:rPr>
  </w:style>
  <w:style w:type="character" w:styleId="IntenseReference">
    <w:name w:val="Intense Reference"/>
    <w:basedOn w:val="DefaultParagraphFont"/>
    <w:uiPriority w:val="32"/>
    <w:qFormat/>
    <w:rsid w:val="007D3934"/>
    <w:rPr>
      <w:b/>
      <w:bCs/>
      <w:smallCaps/>
      <w:color w:val="0F4761" w:themeColor="accent1" w:themeShade="BF"/>
      <w:spacing w:val="5"/>
    </w:rPr>
  </w:style>
  <w:style w:type="paragraph" w:styleId="Footer">
    <w:name w:val="footer"/>
    <w:basedOn w:val="Normal"/>
    <w:link w:val="FooterChar"/>
    <w:uiPriority w:val="99"/>
    <w:unhideWhenUsed/>
    <w:rsid w:val="007D3934"/>
    <w:pPr>
      <w:tabs>
        <w:tab w:val="center" w:pos="4680"/>
        <w:tab w:val="right" w:pos="9360"/>
      </w:tabs>
    </w:pPr>
    <w:rPr>
      <w:rFonts w:ascii="Calibri" w:eastAsia="Calibri" w:hAnsi="Calibri" w:cs="Calibri"/>
      <w:sz w:val="22"/>
      <w:szCs w:val="22"/>
    </w:rPr>
  </w:style>
  <w:style w:type="character" w:customStyle="1" w:styleId="FooterChar">
    <w:name w:val="Footer Char"/>
    <w:basedOn w:val="DefaultParagraphFont"/>
    <w:link w:val="Footer"/>
    <w:uiPriority w:val="99"/>
    <w:rsid w:val="007D3934"/>
    <w:rPr>
      <w:rFonts w:ascii="Calibri" w:eastAsia="Calibri" w:hAnsi="Calibri" w:cs="Calibri"/>
      <w:kern w:val="0"/>
      <w:sz w:val="22"/>
      <w:szCs w:val="22"/>
      <w:lang w:eastAsia="zh-CN"/>
      <w14:ligatures w14:val="none"/>
    </w:rPr>
  </w:style>
  <w:style w:type="table" w:styleId="TableGrid">
    <w:name w:val="Table Grid"/>
    <w:basedOn w:val="TableNormal"/>
    <w:uiPriority w:val="59"/>
    <w:rsid w:val="007D3934"/>
    <w:pPr>
      <w:spacing w:after="0" w:line="240" w:lineRule="auto"/>
    </w:pPr>
    <w:rPr>
      <w:rFonts w:ascii="Calibri" w:eastAsiaTheme="minorEastAsia" w:hAnsi="Calibri" w:cs="Calibri"/>
      <w:kern w:val="0"/>
      <w:sz w:val="22"/>
      <w:szCs w:val="22"/>
      <w:lang w:eastAsia="zh-CN"/>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3052</Words>
  <Characters>16361</Characters>
  <Application>Microsoft Office Word</Application>
  <DocSecurity>0</DocSecurity>
  <Lines>3272</Lines>
  <Paragraphs>2426</Paragraphs>
  <ScaleCrop>false</ScaleCrop>
  <Company/>
  <LinksUpToDate>false</LinksUpToDate>
  <CharactersWithSpaces>16987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2026-03-04T16:03:00Z</dcterms:created>
  <dcterms:modified xsi:type="dcterms:W3CDTF">2026-03-04T16:04:00Z</dcterms:modified>
</cp:coreProperties>
</file>