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both"/>
        <w:rPr>
          <w:rFonts w:ascii="Times New Roman" w:hAnsi="Times New Roman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4782820"/>
            <wp:effectExtent l="0" t="0" r="0" b="0"/>
            <wp:wrapSquare wrapText="largest"/>
            <wp:docPr id="1" name="Image4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82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u w:val="single"/>
        </w:rPr>
        <w:t>Fig S2:</w:t>
      </w:r>
      <w:r>
        <w:rPr>
          <w:rFonts w:ascii="Times New Roman" w:hAnsi="Times New Roman"/>
          <w:u w:val="single"/>
        </w:rPr>
        <w:t xml:space="preserve"> Electrophoretic screening for  molecular markers linked to the major cassava mosaic disease resistance loci, CMD1, CMD2 and CMD3. </w:t>
      </w:r>
    </w:p>
    <w:p>
      <w:pPr>
        <w:pStyle w:val="Normal"/>
        <w:bidi w:val="0"/>
        <w:jc w:val="both"/>
        <w:rPr/>
      </w:pPr>
      <w:r>
        <w:rPr>
          <w:rFonts w:ascii="Times New Roman" w:hAnsi="Times New Roman"/>
          <w:sz w:val="20"/>
          <w:szCs w:val="20"/>
        </w:rPr>
        <w:t xml:space="preserve">Results are presented for 4 </w:t>
      </w:r>
      <w:r>
        <w:rPr>
          <w:rFonts w:ascii="Times New Roman" w:hAnsi="Times New Roman"/>
          <w:i/>
          <w:iCs/>
          <w:sz w:val="20"/>
          <w:szCs w:val="20"/>
        </w:rPr>
        <w:t>Manihot</w:t>
      </w:r>
      <w:r>
        <w:rPr>
          <w:rFonts w:ascii="Times New Roman" w:hAnsi="Times New Roman"/>
          <w:sz w:val="20"/>
          <w:szCs w:val="20"/>
        </w:rPr>
        <w:t xml:space="preserve"> germplasm, including 3 cassava germplasm (</w:t>
      </w:r>
      <w:r>
        <w:rPr>
          <w:rFonts w:ascii="Times New Roman" w:hAnsi="Times New Roman"/>
          <w:i/>
          <w:iCs/>
          <w:sz w:val="20"/>
          <w:szCs w:val="20"/>
        </w:rPr>
        <w:t xml:space="preserve">Manihot esculenta </w:t>
      </w:r>
      <w:r>
        <w:rPr>
          <w:rFonts w:ascii="Times New Roman" w:hAnsi="Times New Roman"/>
          <w:i w:val="false"/>
          <w:iCs w:val="false"/>
          <w:sz w:val="20"/>
          <w:szCs w:val="20"/>
        </w:rPr>
        <w:t xml:space="preserve">subsp </w:t>
      </w:r>
      <w:r>
        <w:rPr>
          <w:rFonts w:ascii="Times New Roman" w:hAnsi="Times New Roman"/>
          <w:i/>
          <w:iCs/>
          <w:sz w:val="20"/>
          <w:szCs w:val="20"/>
        </w:rPr>
        <w:t>esculenta</w:t>
      </w:r>
      <w:r>
        <w:rPr>
          <w:rFonts w:ascii="Times New Roman" w:hAnsi="Times New Roman"/>
          <w:sz w:val="20"/>
          <w:szCs w:val="20"/>
        </w:rPr>
        <w:t xml:space="preserve">) namely, TME3, TMS60444 and TMEB117, and the wild relative from which the CMD1 locus is thought to derive, </w:t>
      </w:r>
      <w:r>
        <w:rPr>
          <w:rFonts w:ascii="Times New Roman" w:hAnsi="Times New Roman"/>
          <w:i/>
          <w:iCs/>
          <w:sz w:val="20"/>
          <w:szCs w:val="20"/>
        </w:rPr>
        <w:t xml:space="preserve">Manihot glaziovii, </w:t>
      </w:r>
      <w:r>
        <w:rPr>
          <w:rFonts w:ascii="Times New Roman" w:hAnsi="Times New Roman"/>
          <w:sz w:val="20"/>
          <w:szCs w:val="20"/>
        </w:rPr>
        <w:t xml:space="preserve">screened with six molecular markers associated with the cassava mosaic disease (CMD) resistance quantitative trait loci (QTLs) CMD1, CMD2 and CMD3.  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The Roman numerals used to annotate marker bands correspond to the marker amplicon analysis presented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 xml:space="preserve">Supplementary Table S7. 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: Screening results are presented for the simple sequence repeat (SSR) marker NS169 linked to the CMD2 resistance locus. Marker amplicons were resolved on an  8% polyacrylamide gel, run at 110 V, 400 mA, for 70 min, and visualised using the acidic silver staining.  A 50 bp GeneRuler  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>: Amplicons from (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) resolved on 3% agarose gel with 20 ppm Ethidium Bromide (EtBr) stain, run at 80 V, 400 mA, and visualised after 90 min. A 50 bp GeneRuler 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bI: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Screening results for the NS158 marker , liked to the CMD2, run conditions as in (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)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bII: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Amplicons from section bI  resolved on agarose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Results for the CMD1 linked SSRY40 marker, run conditions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Amplicons from section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resolved on agarose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dI: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Results for the CMD3 linked  NS198, run conditions as in aI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dII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: Amplicons from section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resolved on agarose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eI: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Results for the CMD2 linked SSRY28 marker, run conditions as in aI 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eII: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Amplicons from section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resolved on agarose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 xml:space="preserve">aII </w:t>
      </w:r>
      <w:r>
        <w:rPr>
          <w:rFonts w:ascii="Times New Roman" w:hAnsi="Times New Roman"/>
          <w:b/>
          <w:bCs/>
          <w:i w:val="false"/>
          <w:iCs w:val="false"/>
          <w:sz w:val="20"/>
          <w:szCs w:val="20"/>
        </w:rPr>
        <w:t>f:</w:t>
      </w:r>
      <w:r>
        <w:rPr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Screening results are presented for the sequence characterised amplified region (SCAR) marker RME1, linked to the CMD2 resistance locus. Marker amplicons were resolved on 1.5% agarose gel with 20 ppm 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EtBr run at 80 V, 400 mA, and visualised after 90 min. A 1kb GeneRuler (Invitrogen, Thermofisher) was included as a molecular weight marker. </w:t>
      </w:r>
    </w:p>
    <w:p>
      <w:pPr>
        <w:pStyle w:val="Normal"/>
        <w:bidi w:val="0"/>
        <w:jc w:val="start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</w:r>
    </w:p>
    <w:p>
      <w:pPr>
        <w:pStyle w:val="Normal"/>
        <w:bidi w:val="0"/>
        <w:jc w:val="start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</w:r>
      <w:r>
        <w:br w:type="page"/>
      </w:r>
    </w:p>
    <w:p>
      <w:pPr>
        <w:pStyle w:val="Normal"/>
        <w:bidi w:val="0"/>
        <w:spacing w:before="0" w:after="0"/>
        <w:jc w:val="both"/>
        <w:rPr>
          <w:rFonts w:ascii="Times New Roman" w:hAnsi="Times New Roman"/>
        </w:rPr>
      </w:pPr>
      <w: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5680710"/>
            <wp:effectExtent l="0" t="0" r="0" b="0"/>
            <wp:wrapSquare wrapText="largest"/>
            <wp:docPr id="2" name="Image2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 title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68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u w:val="single"/>
        </w:rPr>
        <w:t>Fig. S2:</w:t>
      </w:r>
      <w:r>
        <w:rPr>
          <w:rFonts w:ascii="Times New Roman" w:hAnsi="Times New Roman"/>
          <w:u w:val="single"/>
        </w:rPr>
        <w:t xml:space="preserve"> Electrophoretic screening for  molecular markers linked to cassava mosaic disease resistance</w:t>
      </w:r>
    </w:p>
    <w:p>
      <w:pPr>
        <w:pStyle w:val="Normal"/>
        <w:bidi w:val="0"/>
        <w:jc w:val="both"/>
        <w:rPr/>
      </w:pPr>
      <w:r>
        <w:rPr>
          <w:rFonts w:ascii="Times New Roman" w:hAnsi="Times New Roman"/>
          <w:sz w:val="20"/>
          <w:szCs w:val="20"/>
        </w:rPr>
        <w:t xml:space="preserve">Results are presented for 22 </w:t>
      </w:r>
      <w:r>
        <w:rPr>
          <w:rFonts w:ascii="Times New Roman" w:hAnsi="Times New Roman"/>
          <w:i/>
          <w:iCs/>
          <w:sz w:val="20"/>
          <w:szCs w:val="20"/>
        </w:rPr>
        <w:t>Manihot</w:t>
      </w:r>
      <w:r>
        <w:rPr>
          <w:rFonts w:ascii="Times New Roman" w:hAnsi="Times New Roman"/>
          <w:sz w:val="20"/>
          <w:szCs w:val="20"/>
        </w:rPr>
        <w:t xml:space="preserve"> germplasm, including 21 cassava germplasm (</w:t>
      </w:r>
      <w:r>
        <w:rPr>
          <w:rFonts w:ascii="Times New Roman" w:hAnsi="Times New Roman"/>
          <w:i/>
          <w:iCs/>
          <w:sz w:val="20"/>
          <w:szCs w:val="20"/>
        </w:rPr>
        <w:t xml:space="preserve">Manihot esculenta </w:t>
      </w:r>
      <w:r>
        <w:rPr>
          <w:rFonts w:ascii="Times New Roman" w:hAnsi="Times New Roman"/>
          <w:i w:val="false"/>
          <w:iCs w:val="false"/>
          <w:sz w:val="20"/>
          <w:szCs w:val="20"/>
        </w:rPr>
        <w:t xml:space="preserve">subsp </w:t>
      </w:r>
      <w:r>
        <w:rPr>
          <w:rFonts w:ascii="Times New Roman" w:hAnsi="Times New Roman"/>
          <w:i/>
          <w:iCs/>
          <w:sz w:val="20"/>
          <w:szCs w:val="20"/>
        </w:rPr>
        <w:t>esculenta</w:t>
      </w:r>
      <w:r>
        <w:rPr>
          <w:rFonts w:ascii="Times New Roman" w:hAnsi="Times New Roman"/>
          <w:sz w:val="20"/>
          <w:szCs w:val="20"/>
        </w:rPr>
        <w:t xml:space="preserve">) and the wild relative from which the CMD1 locus is thought to derive,  </w:t>
      </w:r>
      <w:r>
        <w:rPr>
          <w:rFonts w:ascii="Times New Roman" w:hAnsi="Times New Roman"/>
          <w:i/>
          <w:iCs/>
          <w:sz w:val="20"/>
          <w:szCs w:val="20"/>
        </w:rPr>
        <w:t xml:space="preserve">Manihot glaziovii, </w:t>
      </w:r>
      <w:r>
        <w:rPr>
          <w:rFonts w:ascii="Times New Roman" w:hAnsi="Times New Roman"/>
          <w:sz w:val="20"/>
          <w:szCs w:val="20"/>
        </w:rPr>
        <w:t>screened with six molecular markers associated with the cassava mosaic disease (CMD) resistance quantitative trait loci (QTLs) CMD1, CMD2 and CMD3.</w:t>
      </w:r>
      <w:r>
        <w:rPr>
          <w:rStyle w:val="Emphasis"/>
          <w:rFonts w:ascii="Times New Roman" w:hAnsi="Times New Roman"/>
          <w:i w:val="false"/>
          <w:i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aI:</w:t>
      </w:r>
      <w:r>
        <w:rPr>
          <w:rStyle w:val="Emphasis"/>
          <w:rFonts w:ascii="Times New Roman" w:hAnsi="Times New Roman"/>
          <w:i w:val="false"/>
          <w:i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Screening results are presented for simple sequence repeat (SSR) marker the SSRY40 marker linked to the CMD1 resistance locus. Marker amplicons were resolved on an  8% polyacrylamide gel, run at 110 V, 400 mA, for 70 min, and visualised using the acidic silver staining.  A 50 bp GeneRuler 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aII:</w:t>
      </w:r>
      <w:r>
        <w:rPr>
          <w:rStyle w:val="Emphasis"/>
          <w:rFonts w:ascii="Times New Roman" w:hAnsi="Times New Roman"/>
          <w:i w:val="false"/>
          <w:iCs w:val="false"/>
          <w:sz w:val="20"/>
          <w:szCs w:val="20"/>
        </w:rPr>
        <w:t xml:space="preserve"> Amplicons from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</w:t>
      </w:r>
      <w:r>
        <w:rPr>
          <w:rStyle w:val="Emphasis"/>
          <w:rFonts w:ascii="Times New Roman" w:hAnsi="Times New Roman"/>
          <w:i w:val="false"/>
          <w:iCs w:val="false"/>
          <w:sz w:val="20"/>
          <w:szCs w:val="20"/>
        </w:rPr>
        <w:t xml:space="preserve"> resolved on 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3% agarose gel with 20 ppm Ethidium Bromide (EtBr) stain, run at 80 V, 400 mA, and visualised after 90 min. A 50 bp GeneRuler</w:t>
      </w:r>
      <w:r>
        <w:rPr>
          <w:rStyle w:val="Emphasis"/>
          <w:rFonts w:ascii="Times New Roman" w:hAnsi="Times New Roman"/>
          <w:b w:val="false"/>
          <w:b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bI:</w:t>
      </w:r>
      <w:r>
        <w:rPr>
          <w:rStyle w:val="Emphasis"/>
          <w:rFonts w:ascii="Times New Roman" w:hAnsi="Times New Roman"/>
          <w:i w:val="false"/>
          <w:iCs w:val="false"/>
          <w:sz w:val="20"/>
          <w:szCs w:val="20"/>
        </w:rPr>
        <w:t xml:space="preserve"> Results for CMD2 linked SSRY28 marker. run as in aI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bII:</w:t>
      </w:r>
      <w:r>
        <w:rPr>
          <w:rStyle w:val="Emphasis"/>
          <w:rFonts w:ascii="Times New Roman" w:hAnsi="Times New Roman"/>
          <w:i w:val="false"/>
          <w:iCs w:val="false"/>
          <w:sz w:val="20"/>
          <w:szCs w:val="20"/>
        </w:rPr>
        <w:t xml:space="preserve">  Amplicons from Ib, resolved on agarose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Results for the CMD2 linked marker NS158, run conditions as in aI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cII: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Amplicons from Ib, resolved on agarose as in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aII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</w:t>
      </w:r>
      <w:r>
        <w:br w:type="page"/>
      </w:r>
    </w:p>
    <w:p>
      <w:pPr>
        <w:pStyle w:val="Normal"/>
        <w:bidi w:val="0"/>
        <w:spacing w:before="0" w:after="0"/>
        <w:jc w:val="both"/>
        <w:rPr>
          <w:rFonts w:ascii="Times New Roman" w:hAnsi="Times New Roman"/>
        </w:rPr>
      </w:pPr>
      <w: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5752465"/>
            <wp:effectExtent l="0" t="0" r="0" b="0"/>
            <wp:wrapSquare wrapText="largest"/>
            <wp:docPr id="3" name="Image5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" descr="" title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5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u w:val="single"/>
        </w:rPr>
        <w:t>Fig S2:</w:t>
      </w:r>
      <w:r>
        <w:rPr>
          <w:rFonts w:ascii="Times New Roman" w:hAnsi="Times New Roman"/>
          <w:u w:val="single"/>
        </w:rPr>
        <w:t xml:space="preserve"> Electrophoretic screening for  molecular markers linked to cassava mosaic disease resistance</w:t>
      </w:r>
    </w:p>
    <w:p>
      <w:pPr>
        <w:pStyle w:val="Normal"/>
        <w:bidi w:val="0"/>
        <w:jc w:val="both"/>
        <w:rPr/>
      </w:pPr>
      <w:r>
        <w:rPr>
          <w:rFonts w:ascii="Times New Roman" w:hAnsi="Times New Roman"/>
          <w:sz w:val="20"/>
          <w:szCs w:val="20"/>
        </w:rPr>
        <w:t xml:space="preserve">Results are presented for 22 </w:t>
      </w:r>
      <w:r>
        <w:rPr>
          <w:rFonts w:ascii="Times New Roman" w:hAnsi="Times New Roman"/>
          <w:i/>
          <w:iCs/>
          <w:sz w:val="20"/>
          <w:szCs w:val="20"/>
        </w:rPr>
        <w:t>Manihot</w:t>
      </w:r>
      <w:r>
        <w:rPr>
          <w:rFonts w:ascii="Times New Roman" w:hAnsi="Times New Roman"/>
          <w:sz w:val="20"/>
          <w:szCs w:val="20"/>
        </w:rPr>
        <w:t xml:space="preserve"> germplasm, including 21 cassava germplasm (</w:t>
      </w:r>
      <w:r>
        <w:rPr>
          <w:rFonts w:ascii="Times New Roman" w:hAnsi="Times New Roman"/>
          <w:i/>
          <w:iCs/>
          <w:sz w:val="20"/>
          <w:szCs w:val="20"/>
        </w:rPr>
        <w:t xml:space="preserve">Manihot esculenta </w:t>
      </w:r>
      <w:r>
        <w:rPr>
          <w:rFonts w:ascii="Times New Roman" w:hAnsi="Times New Roman"/>
          <w:i w:val="false"/>
          <w:iCs w:val="false"/>
          <w:sz w:val="20"/>
          <w:szCs w:val="20"/>
        </w:rPr>
        <w:t xml:space="preserve">subsp </w:t>
      </w:r>
      <w:r>
        <w:rPr>
          <w:rFonts w:ascii="Times New Roman" w:hAnsi="Times New Roman"/>
          <w:i/>
          <w:iCs/>
          <w:sz w:val="20"/>
          <w:szCs w:val="20"/>
        </w:rPr>
        <w:t>esculenta</w:t>
      </w:r>
      <w:r>
        <w:rPr>
          <w:rFonts w:ascii="Times New Roman" w:hAnsi="Times New Roman"/>
          <w:sz w:val="20"/>
          <w:szCs w:val="20"/>
        </w:rPr>
        <w:t xml:space="preserve">) and the wild relative from which the CMD1 locus is thought to derive,  </w:t>
      </w:r>
      <w:r>
        <w:rPr>
          <w:rFonts w:ascii="Times New Roman" w:hAnsi="Times New Roman"/>
          <w:i/>
          <w:iCs/>
          <w:sz w:val="20"/>
          <w:szCs w:val="20"/>
        </w:rPr>
        <w:t xml:space="preserve">Manihot glaziovii, </w:t>
      </w:r>
      <w:r>
        <w:rPr>
          <w:rFonts w:ascii="Times New Roman" w:hAnsi="Times New Roman"/>
          <w:sz w:val="20"/>
          <w:szCs w:val="20"/>
        </w:rPr>
        <w:t>screened with six molecular markers associated with the cassava mosaic disease (CMD) resistance quantitative trait loci (QTLs) CMD1, CMD2 and CMD3.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dI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: Results for the CMD2 linked NS169 marker.  Marker amplicons were resolved on an  8% polyacrylamide gel, run at 110 V, 400 mA, for 70 min, and visualised using the acidic silver staining.  A 50 bp GeneRuler  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dII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: Amplicons from (dI)  resolved on 3% agarose gel with 20 ppm EtBr stain, run at 80 V, 400 mA, and visualised after 90 min. A 50 bp GeneRuler 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e: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 Screening results are presented for the sequence characterised amplified region (SCAR) marker RME1, linked to the CMD2 resistance locus. Marker amplicons were resolved on 1.5% agarose gel with 20 ppm EtBr run at 80 V, 400 mA, and visualised after 90 min. A 1kb GeneRuler (Invitrogen, Thermofisher) was included as a molecular weight marker.  Screening results are presented for the sequence characterised amplified region (SCAR) marker RME1, linked to the CMD2 resistance locus. Marker amplicons were resolved on 1.5% agarose gel with 20 ppm EtBr run at 80 V, 400 mA, and visualised after 90 min. A 1kb GeneRuler (Invitrogen, Thermofisher) was included as a molecular weight marker.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fI: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 Results for the CMD3 linked marker NS198, run condition as as in dI </w:t>
      </w:r>
      <w:r>
        <w:rPr>
          <w:rStyle w:val="Emphasis"/>
          <w:rFonts w:ascii="Times New Roman" w:hAnsi="Times New Roman"/>
          <w:b/>
          <w:bCs/>
          <w:i w:val="false"/>
          <w:iCs w:val="false"/>
          <w:sz w:val="20"/>
          <w:szCs w:val="20"/>
        </w:rPr>
        <w:t>fII</w:t>
      </w:r>
      <w:r>
        <w:rPr>
          <w:rStyle w:val="Emphasis"/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  <w:t xml:space="preserve">: Amplicons from fl, resolved on agarose as in dII. </w:t>
      </w:r>
    </w:p>
    <w:p>
      <w:pPr>
        <w:pStyle w:val="Normal"/>
        <w:bidi w:val="0"/>
        <w:jc w:val="both"/>
        <w:rPr>
          <w:rStyle w:val="Emphasis"/>
          <w:rFonts w:ascii="Times New Roman" w:hAnsi="Times New Roman"/>
          <w:b w:val="false"/>
          <w:bCs w:val="false"/>
          <w:i w:val="false"/>
          <w:i w:val="false"/>
          <w:iCs w:val="false"/>
          <w:sz w:val="20"/>
          <w:szCs w:val="20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</w:r>
    </w:p>
    <w:p>
      <w:pPr>
        <w:pStyle w:val="Normal"/>
        <w:bidi w:val="0"/>
        <w:jc w:val="both"/>
        <w:rPr>
          <w:rFonts w:ascii="Times New Roman" w:hAnsi="Times New Roman"/>
          <w:b/>
          <w:bCs/>
          <w:i w:val="false"/>
          <w:i w:val="false"/>
          <w:iCs w:val="false"/>
          <w:sz w:val="20"/>
          <w:szCs w:val="20"/>
        </w:rPr>
      </w:pPr>
      <w:r>
        <w:rPr>
          <w:rFonts w:ascii="Times New Roman" w:hAnsi="Times New Roman"/>
          <w:b/>
          <w:bCs/>
          <w:i w:val="false"/>
          <w:iCs w:val="false"/>
          <w:sz w:val="20"/>
          <w:szCs w:val="20"/>
        </w:rPr>
      </w:r>
    </w:p>
    <w:p>
      <w:pPr>
        <w:pStyle w:val="Normal"/>
        <w:bidi w:val="0"/>
        <w:jc w:val="start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</w:r>
    </w:p>
    <w:p>
      <w:pPr>
        <w:pStyle w:val="Normal"/>
        <w:bidi w:val="0"/>
        <w:jc w:val="both"/>
        <w:rPr>
          <w:rStyle w:val="Emphasis"/>
          <w:rFonts w:ascii="Times New Roman" w:hAnsi="Times New Roman"/>
          <w:b w:val="false"/>
          <w:bCs w:val="false"/>
          <w:i w:val="false"/>
          <w:i w:val="false"/>
          <w:iCs w:val="false"/>
          <w:sz w:val="20"/>
          <w:szCs w:val="20"/>
        </w:rPr>
      </w:pPr>
      <w:r>
        <w:rPr>
          <w:rFonts w:ascii="Times New Roman" w:hAnsi="Times New Roman"/>
          <w:b w:val="false"/>
          <w:bCs w:val="false"/>
          <w:i w:val="false"/>
          <w:iCs w:val="false"/>
          <w:sz w:val="20"/>
          <w:szCs w:val="20"/>
        </w:rPr>
      </w:r>
    </w:p>
    <w:p>
      <w:pPr>
        <w:pStyle w:val="Normal"/>
        <w:bidi w:val="0"/>
        <w:jc w:val="both"/>
        <w:rPr>
          <w:b w:val="false"/>
          <w:bCs w:val="false"/>
          <w:i w:val="false"/>
          <w:i w:val="false"/>
          <w:iCs w:val="false"/>
          <w:vertAlign w:val="superscript"/>
        </w:rPr>
      </w:pPr>
      <w:r>
        <w:rPr>
          <w:b w:val="false"/>
          <w:bCs w:val="false"/>
          <w:i w:val="false"/>
          <w:iCs w:val="false"/>
          <w:vertAlign w:val="superscript"/>
        </w:rPr>
      </w:r>
    </w:p>
    <w:p>
      <w:pPr>
        <w:pStyle w:val="Normal"/>
        <w:bidi w:val="0"/>
        <w:jc w:val="both"/>
        <w:rPr>
          <w:rFonts w:ascii="Times New Roman" w:hAnsi="Times New Roman"/>
          <w:sz w:val="18"/>
          <w:szCs w:val="18"/>
          <w:vertAlign w:val="superscript"/>
        </w:rPr>
      </w:pPr>
      <w:r>
        <w:rPr>
          <w:rFonts w:ascii="Times New Roman" w:hAnsi="Times New Roman"/>
          <w:sz w:val="18"/>
          <w:szCs w:val="18"/>
          <w:vertAlign w:val="superscript"/>
        </w:rPr>
      </w:r>
    </w:p>
    <w:p>
      <w:pPr>
        <w:pStyle w:val="Normal"/>
        <w:bidi w:val="0"/>
        <w:jc w:val="both"/>
        <w:rPr>
          <w:rFonts w:ascii="Times New Roman" w:hAnsi="Times New Roman"/>
          <w:sz w:val="18"/>
          <w:szCs w:val="18"/>
          <w:vertAlign w:val="superscript"/>
        </w:rPr>
      </w:pPr>
      <w:r>
        <w:rPr>
          <w:rFonts w:ascii="Times New Roman" w:hAnsi="Times New Roman"/>
          <w:sz w:val="18"/>
          <w:szCs w:val="18"/>
          <w:vertAlign w:val="superscript"/>
        </w:rPr>
      </w:r>
    </w:p>
    <w:p>
      <w:pPr>
        <w:pStyle w:val="Normal"/>
        <w:rPr>
          <w:rFonts w:ascii="Times New Roman" w:hAnsi="Times New Roman"/>
        </w:rPr>
      </w:pPr>
      <w: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57150</wp:posOffset>
            </wp:positionH>
            <wp:positionV relativeFrom="paragraph">
              <wp:posOffset>635</wp:posOffset>
            </wp:positionV>
            <wp:extent cx="6120130" cy="5473065"/>
            <wp:effectExtent l="0" t="0" r="0" b="0"/>
            <wp:wrapSquare wrapText="largest"/>
            <wp:docPr id="4" name="Image3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" descr="" title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47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u w:val="single"/>
        </w:rPr>
        <w:t>Fig S3.</w:t>
      </w:r>
      <w:r>
        <w:rPr>
          <w:rFonts w:ascii="Times New Roman" w:hAnsi="Times New Roman"/>
          <w:u w:val="single"/>
        </w:rPr>
        <w:t xml:space="preserve"> Viral load post challenge with South African cassava mosaic virus </w:t>
      </w:r>
    </w:p>
    <w:p>
      <w:pPr>
        <w:pStyle w:val="Normal"/>
        <w:bidi w:val="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Viral load is presented for 22 cassava germplasm at 12, 32 and 67 days post inoculation (dpi) with agroinfectious clones of Begomovirus warburgi .</w:t>
      </w:r>
      <w:r>
        <w:rPr>
          <w:rFonts w:ascii="Times New Roman" w:hAnsi="Times New Roman"/>
          <w:i w:val="false"/>
          <w:iCs w:val="false"/>
          <w:sz w:val="20"/>
          <w:szCs w:val="20"/>
        </w:rPr>
        <w:t xml:space="preserve"> </w:t>
      </w:r>
      <w:r>
        <w:rPr>
          <w:rFonts w:ascii="Times New Roman" w:hAnsi="Times New Roman"/>
          <w:bCs w:val="false"/>
          <w:sz w:val="20"/>
          <w:szCs w:val="20"/>
          <w:u w:val="none"/>
        </w:rPr>
        <w:t xml:space="preserve"> Viral load, is given by the copy number of the </w:t>
      </w:r>
      <w:r>
        <w:rPr>
          <w:rFonts w:ascii="Times New Roman" w:hAnsi="Times New Roman"/>
          <w:bCs w:val="false"/>
          <w:i/>
          <w:iCs/>
          <w:sz w:val="20"/>
          <w:szCs w:val="20"/>
          <w:u w:val="none"/>
        </w:rPr>
        <w:t>AV1</w:t>
      </w:r>
      <w:r>
        <w:rPr>
          <w:rFonts w:ascii="Times New Roman" w:hAnsi="Times New Roman"/>
          <w:bCs w:val="false"/>
          <w:sz w:val="20"/>
          <w:szCs w:val="20"/>
          <w:u w:val="none"/>
        </w:rPr>
        <w:t xml:space="preserve"> viral coat protein genes per </w:t>
      </w:r>
      <w:r>
        <w:rPr>
          <w:rFonts w:eastAsia="Noto Serif CJK SC" w:cs="Noto Sans Devanagari" w:ascii="Times New Roman" w:hAnsi="Times New Roman"/>
          <w:bCs w:val="false"/>
          <w:sz w:val="20"/>
          <w:szCs w:val="20"/>
          <w:u w:val="none"/>
        </w:rPr>
        <w:t xml:space="preserve">µg of total DNA extracted from SACMV infected leaf tissue, determined via qPCR. </w:t>
      </w:r>
      <w:r>
        <w:rPr>
          <w:rFonts w:ascii="Times New Roman" w:hAnsi="Times New Roman"/>
          <w:bCs w:val="false"/>
          <w:sz w:val="20"/>
          <w:szCs w:val="20"/>
          <w:u w:val="none"/>
        </w:rPr>
        <w:t xml:space="preserve">Error bars represent 95% confidence intervals obtained from error propagation via second order corrected Taylor expansion. Where viral load differed significantly between time-points for a given germplasm the transitions is marked with an asterix (* for p&lt;0.01, **p&lt;0.0001)  The R package </w:t>
      </w:r>
      <w:r>
        <w:rPr>
          <w:rFonts w:ascii="Times New Roman" w:hAnsi="Times New Roman"/>
          <w:bCs w:val="false"/>
          <w:i/>
          <w:iCs/>
          <w:sz w:val="20"/>
          <w:szCs w:val="20"/>
          <w:u w:val="none"/>
        </w:rPr>
        <w:t>ggplot2</w:t>
      </w:r>
      <w:r>
        <w:rPr>
          <w:rFonts w:ascii="Times New Roman" w:hAnsi="Times New Roman"/>
          <w:bCs w:val="false"/>
          <w:sz w:val="20"/>
          <w:szCs w:val="20"/>
          <w:u w:val="none"/>
        </w:rPr>
        <w:t xml:space="preserve"> was used for data visualisation </w:t>
      </w:r>
      <w:r>
        <w:rPr>
          <w:rFonts w:ascii="Times New Roman" w:hAnsi="Times New Roman"/>
          <w:b/>
          <w:bCs/>
          <w:sz w:val="20"/>
          <w:szCs w:val="20"/>
          <w:u w:val="none"/>
        </w:rPr>
        <w:t>a</w:t>
      </w:r>
      <w:r>
        <w:rPr>
          <w:rFonts w:ascii="Times New Roman" w:hAnsi="Times New Roman"/>
          <w:bCs w:val="false"/>
          <w:sz w:val="20"/>
          <w:szCs w:val="20"/>
          <w:u w:val="none"/>
        </w:rPr>
        <w:t xml:space="preserve">: Viral load is presented for eight cassava germplasm which showed a susceptible response to SACMV. Germplasm are arranged left to right from most to least susceptible.  </w:t>
      </w:r>
      <w:r>
        <w:rPr>
          <w:rFonts w:ascii="Times New Roman" w:hAnsi="Times New Roman"/>
          <w:b/>
          <w:bCs/>
          <w:sz w:val="20"/>
          <w:szCs w:val="20"/>
          <w:u w:val="none"/>
        </w:rPr>
        <w:t>b</w:t>
      </w:r>
      <w:r>
        <w:rPr>
          <w:rFonts w:ascii="Times New Roman" w:hAnsi="Times New Roman"/>
          <w:bCs w:val="false"/>
          <w:sz w:val="20"/>
          <w:szCs w:val="20"/>
          <w:u w:val="none"/>
        </w:rPr>
        <w:t xml:space="preserve">: Leaf symptom severity is presented which showed a tolerance response to SACMV. Germplasm are arranged left to right from least to most tolerant. </w:t>
      </w:r>
      <w:r>
        <w:rPr>
          <w:rFonts w:ascii="Times New Roman" w:hAnsi="Times New Roman"/>
          <w:b/>
          <w:bCs/>
          <w:sz w:val="20"/>
          <w:szCs w:val="20"/>
          <w:u w:val="none"/>
        </w:rPr>
        <w:t>c</w:t>
      </w:r>
      <w:r>
        <w:rPr>
          <w:rFonts w:ascii="Times New Roman" w:hAnsi="Times New Roman"/>
          <w:bCs w:val="false"/>
          <w:sz w:val="20"/>
          <w:szCs w:val="20"/>
          <w:u w:val="none"/>
        </w:rPr>
        <w:t>: Leaf symptom severity is presented for seven cassava germplasm which showed a resistance response to SACMV.  Germplasm are arranged left to right from least to most resistant</w:t>
      </w:r>
    </w:p>
    <w:p>
      <w:pPr>
        <w:pStyle w:val="Normal"/>
        <w:bidi w:val="0"/>
        <w:jc w:val="both"/>
        <w:rPr>
          <w:rFonts w:ascii="Times New Roman" w:hAnsi="Times New Roman"/>
          <w:sz w:val="18"/>
          <w:szCs w:val="18"/>
          <w:vertAlign w:val="superscript"/>
        </w:rPr>
      </w:pPr>
      <w:r>
        <w:rPr>
          <w:rFonts w:ascii="Times New Roman" w:hAnsi="Times New Roman"/>
          <w:sz w:val="18"/>
          <w:szCs w:val="18"/>
          <w:vertAlign w:val="superscript"/>
        </w:rPr>
      </w:r>
    </w:p>
    <w:p>
      <w:pPr>
        <w:pStyle w:val="Normal"/>
        <w:bidi w:val="0"/>
        <w:jc w:val="start"/>
        <w:rPr>
          <w:bCs w:val="false"/>
          <w:u w:val="none"/>
        </w:rPr>
      </w:pPr>
      <w:r>
        <w:rPr>
          <w:bCs w:val="false"/>
          <w:u w:val="none"/>
        </w:rPr>
      </w:r>
      <w:r>
        <w:br w:type="page"/>
      </w:r>
    </w:p>
    <w:p>
      <w:pPr>
        <w:pStyle w:val="Normal"/>
        <w:bidi w:val="0"/>
        <w:spacing w:before="0" w:after="0"/>
        <w:jc w:val="star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start"/>
        <w:rPr>
          <w:rFonts w:ascii="Times New Roman" w:hAnsi="Times New Roman" w:eastAsia="DejaVu Sans" w:cs="Times New Roman"/>
          <w:color w:val="000000"/>
          <w:kern w:val="0"/>
          <w:lang w:val="en-GB" w:eastAsia="zh-CN" w:bidi="hi-IN"/>
        </w:rPr>
      </w:pPr>
      <w:r>
        <w:rPr>
          <w:rFonts w:eastAsia="DejaVu Sans" w:cs="Times New Roman" w:ascii="Times New Roman" w:hAnsi="Times New Roman"/>
          <w:color w:val="000000"/>
          <w:kern w:val="0"/>
          <w:lang w:val="en-GB" w:eastAsia="zh-CN" w:bidi="hi-IN"/>
        </w:rPr>
      </w:r>
    </w:p>
    <w:p>
      <w:pPr>
        <w:pStyle w:val="Normal"/>
        <w:bidi w:val="0"/>
        <w:jc w:val="start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</w:r>
      <w:r>
        <w:br w:type="page"/>
      </w:r>
    </w:p>
    <w:p>
      <w:pPr>
        <w:pStyle w:val="Normal"/>
        <w:bidi w:val="0"/>
        <w:spacing w:before="0" w:after="0"/>
        <w:jc w:val="star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spacing w:lineRule="auto" w:line="276"/>
        <w:jc w:val="start"/>
        <w:rPr>
          <w:rFonts w:ascii="Times New Roman" w:hAnsi="Times New Roman"/>
          <w:sz w:val="18"/>
          <w:szCs w:val="18"/>
          <w:u w:val="single"/>
        </w:rPr>
      </w:pPr>
      <w:r>
        <w:rPr>
          <w:rFonts w:ascii="Times New Roman" w:hAnsi="Times New Roman"/>
          <w:sz w:val="18"/>
          <w:szCs w:val="18"/>
          <w:u w:val="single"/>
        </w:rPr>
      </w:r>
      <w:r>
        <w:br w:type="page"/>
      </w:r>
    </w:p>
    <w:p>
      <w:pPr>
        <w:pStyle w:val="Normal"/>
        <w:bidi w:val="0"/>
        <w:spacing w:before="0" w:after="0"/>
        <w:jc w:val="start"/>
        <w:rPr>
          <w:rFonts w:ascii="Times New Roman" w:hAnsi="Times New Roman"/>
        </w:rPr>
      </w:pPr>
      <w:r>
        <w:rPr>
          <w:rFonts w:ascii="Times New Roman" w:hAnsi="Times New Roman"/>
        </w:rPr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1" w:characterSet="utf-8"/>
    <w:family w:val="roman"/>
    <w:pitch w:val="variable"/>
  </w:font>
  <w:font w:name="Liberation Sans">
    <w:altName w:val="Arial"/>
    <w:charset w:val="01" w:characterSet="utf-8"/>
    <w:family w:val="swiss"/>
    <w:pitch w:val="variable"/>
  </w:font>
  <w:font w:name="Times New Roman">
    <w:charset w:val="01" w:characterSet="utf-8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%1"/>
      <w:lvlJc w:val="start"/>
      <w:pPr>
        <w:tabs>
          <w:tab w:val="num" w:pos="0"/>
        </w:tabs>
        <w:ind w:start="0" w:hanging="0"/>
      </w:pPr>
      <w:rPr/>
    </w:lvl>
    <w:lvl w:ilvl="1">
      <w:start w:val="1"/>
      <w:numFmt w:val="none"/>
      <w:suff w:val="nothing"/>
      <w:lvlText w:val="%2"/>
      <w:lvlJc w:val="start"/>
      <w:pPr>
        <w:tabs>
          <w:tab w:val="num" w:pos="0"/>
        </w:tabs>
        <w:ind w:start="0" w:hanging="0"/>
      </w:pPr>
      <w:rPr/>
    </w:lvl>
    <w:lvl w:ilvl="2">
      <w:start w:val="1"/>
      <w:numFmt w:val="none"/>
      <w:suff w:val="nothing"/>
      <w:lvlText w:val="%3"/>
      <w:lvlJc w:val="start"/>
      <w:pPr>
        <w:tabs>
          <w:tab w:val="num" w:pos="0"/>
        </w:tabs>
        <w:ind w:start="0" w:hanging="0"/>
      </w:pPr>
      <w:rPr/>
    </w:lvl>
    <w:lvl w:ilvl="3">
      <w:start w:val="1"/>
      <w:numFmt w:val="none"/>
      <w:suff w:val="nothing"/>
      <w:lvlText w:val="%4"/>
      <w:lvlJc w:val="start"/>
      <w:pPr>
        <w:tabs>
          <w:tab w:val="num" w:pos="0"/>
        </w:tabs>
        <w:ind w:start="0" w:hanging="0"/>
      </w:pPr>
      <w:rPr/>
    </w:lvl>
    <w:lvl w:ilvl="4">
      <w:start w:val="1"/>
      <w:numFmt w:val="none"/>
      <w:suff w:val="nothing"/>
      <w:lvlText w:val="%5"/>
      <w:lvlJc w:val="start"/>
      <w:pPr>
        <w:tabs>
          <w:tab w:val="num" w:pos="0"/>
        </w:tabs>
        <w:ind w:start="0" w:hanging="0"/>
      </w:pPr>
      <w:rPr/>
    </w:lvl>
    <w:lvl w:ilvl="5">
      <w:start w:val="1"/>
      <w:numFmt w:val="none"/>
      <w:suff w:val="nothing"/>
      <w:lvlText w:val="%6"/>
      <w:lvlJc w:val="start"/>
      <w:pPr>
        <w:tabs>
          <w:tab w:val="num" w:pos="0"/>
        </w:tabs>
        <w:ind w:start="0" w:hanging="0"/>
      </w:pPr>
      <w:rPr/>
    </w:lvl>
    <w:lvl w:ilvl="6">
      <w:start w:val="1"/>
      <w:numFmt w:val="none"/>
      <w:suff w:val="nothing"/>
      <w:lvlText w:val="%7"/>
      <w:lvlJc w:val="start"/>
      <w:pPr>
        <w:tabs>
          <w:tab w:val="num" w:pos="0"/>
        </w:tabs>
        <w:ind w:start="0" w:hanging="0"/>
      </w:pPr>
      <w:rPr/>
    </w:lvl>
    <w:lvl w:ilvl="7">
      <w:start w:val="1"/>
      <w:numFmt w:val="none"/>
      <w:suff w:val="nothing"/>
      <w:lvlText w:val="%8"/>
      <w:lvlJc w:val="start"/>
      <w:pPr>
        <w:tabs>
          <w:tab w:val="num" w:pos="0"/>
        </w:tabs>
        <w:ind w:start="0" w:hanging="0"/>
      </w:pPr>
      <w:rPr/>
    </w:lvl>
    <w:lvl w:ilvl="8">
      <w:start w:val="1"/>
      <w:numFmt w:val="none"/>
      <w:suff w:val="nothing"/>
      <w:lvlText w:val="%9"/>
      <w:lvlJc w:val="start"/>
      <w:pPr>
        <w:tabs>
          <w:tab w:val="num" w:pos="0"/>
        </w:tabs>
        <w:ind w:start="0" w:hanging="0"/>
      </w:pPr>
      <w:rPr/>
    </w:lvl>
  </w:abstractNum>
  <w:abstractNum w:abstractNumId="2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hyphenationZone w:val="0"/>
  <w:compat>
    <w:compatSetting w:name="compatibilityMode" w:uri="http://schemas.microsoft.com/office/word" w:val="15"/>
    <w:compatSetting w:name="useWord2013TrackBottomHyphenation" w:uri="http://schemas.microsoft.com/office/word" w:val="1"/>
    <w:compatSetting w:name="allowHyphenationAtTrackBottom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oto Serif CJK SC" w:cs="Noto Sans Devanagari"/>
        <w:kern w:val="2"/>
        <w:sz w:val="24"/>
        <w:szCs w:val="24"/>
        <w:lang w:val="en-ZA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true"/>
      <w:bidi w:val="0"/>
      <w:spacing w:before="0" w:after="0"/>
      <w:jc w:val="start"/>
    </w:pPr>
    <w:rPr>
      <w:rFonts w:ascii="Liberation Serif" w:hAnsi="Liberation Serif" w:eastAsia="Noto Serif CJK SC" w:cs="Noto Sans Devanagari"/>
      <w:color w:val="auto"/>
      <w:kern w:val="2"/>
      <w:sz w:val="24"/>
      <w:szCs w:val="24"/>
      <w:lang w:val="en-ZA" w:eastAsia="zh-CN" w:bidi="hi-IN"/>
    </w:rPr>
  </w:style>
  <w:style w:type="paragraph" w:styleId="Heading4">
    <w:name w:val="heading 4"/>
    <w:basedOn w:val="Heading"/>
    <w:next w:val="BodyText"/>
    <w:qFormat/>
    <w:pPr>
      <w:numPr>
        <w:ilvl w:val="3"/>
        <w:numId w:val="1"/>
      </w:numPr>
      <w:spacing w:before="120" w:after="120"/>
      <w:outlineLvl w:val="3"/>
    </w:pPr>
    <w:rPr>
      <w:b/>
      <w:bCs/>
      <w:i/>
      <w:iCs/>
      <w:sz w:val="26"/>
      <w:szCs w:val="26"/>
    </w:rPr>
  </w:style>
  <w:style w:type="character" w:styleId="Emphasis">
    <w:name w:val="Emphasis"/>
    <w:qFormat/>
    <w:rPr>
      <w:i/>
      <w:iCs/>
    </w:rPr>
  </w:style>
  <w:style w:type="paragraph" w:styleId="Heading">
    <w:name w:val="Heading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Noto Sans CJK SC" w:cs="Noto Sans Devanagari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Noto Sans Devanagar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numbering" Target="numbering.xml"/><Relationship Id="rId7" Type="http://schemas.openxmlformats.org/officeDocument/2006/relationships/fontTable" Target="fontTable.xml"/><Relationship Id="rId8" Type="http://schemas.openxmlformats.org/officeDocument/2006/relationships/settings" Target="settings.xml"/><Relationship Id="rId9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351</TotalTime>
  <Application>LibreOffice/25.2.7.2$Linux_X86_64 LibreOffice_project/520$Build-2</Application>
  <AppVersion>15.0000</AppVersion>
  <Pages>6</Pages>
  <Words>1024</Words>
  <Characters>5338</Characters>
  <CharactersWithSpaces>6395</CharactersWithSpaces>
  <Paragraphs>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2026-01-24T02:50:56Z</dcterms:created>
  <dc:creator>Keelan Krinsky</dc:creator>
  <dc:description/>
  <dc:language>en-ZA</dc:language>
  <cp:lastModifiedBy>MCB PhD Thesis Style Guidelines</cp:lastModifiedBy>
  <dcterms:modified xsi:type="dcterms:W3CDTF">2026-02-22T23:04:41Z</dcterms:modified>
  <cp:revision>27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