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3A0F94" w14:textId="77777777" w:rsidR="00B27C0D" w:rsidRDefault="00E44949">
      <w:pPr>
        <w:jc w:val="center"/>
        <w:rPr>
          <w:b/>
          <w:sz w:val="24"/>
        </w:rPr>
      </w:pPr>
      <w:r>
        <w:rPr>
          <w:rFonts w:hint="eastAsia"/>
          <w:b/>
          <w:sz w:val="24"/>
        </w:rPr>
        <w:t>A</w:t>
      </w:r>
      <w:r>
        <w:rPr>
          <w:b/>
          <w:sz w:val="24"/>
        </w:rPr>
        <w:t>dditional file 1</w:t>
      </w:r>
    </w:p>
    <w:p w14:paraId="48747728" w14:textId="77777777" w:rsidR="00B27C0D" w:rsidRDefault="00B27C0D">
      <w:pPr>
        <w:jc w:val="center"/>
        <w:rPr>
          <w:sz w:val="24"/>
        </w:rPr>
      </w:pPr>
    </w:p>
    <w:p w14:paraId="370C23EE" w14:textId="4AFCE00A" w:rsidR="00B27C0D" w:rsidRDefault="00E44949">
      <w:pPr>
        <w:spacing w:line="360" w:lineRule="auto"/>
        <w:jc w:val="center"/>
        <w:rPr>
          <w:rFonts w:ascii="Times New Roman" w:hAnsi="Times New Roman" w:cs="Times New Roman"/>
          <w:bCs/>
          <w:sz w:val="24"/>
        </w:rPr>
      </w:pPr>
      <w:r>
        <w:rPr>
          <w:rFonts w:ascii="Times New Roman" w:hAnsi="Times New Roman" w:cs="Times New Roman"/>
          <w:bCs/>
          <w:sz w:val="24"/>
        </w:rPr>
        <w:t>Cascading rupture of patches of high seismic energy release controls the growth process of episodic tremor and slip events</w:t>
      </w:r>
    </w:p>
    <w:p w14:paraId="67CB389A" w14:textId="77777777" w:rsidR="00B27C0D" w:rsidRPr="00FC202E" w:rsidRDefault="00B27C0D">
      <w:pPr>
        <w:jc w:val="center"/>
        <w:rPr>
          <w:sz w:val="24"/>
        </w:rPr>
      </w:pPr>
    </w:p>
    <w:p w14:paraId="7A474F4C" w14:textId="77777777" w:rsidR="00B27C0D" w:rsidRDefault="00E44949">
      <w:pPr>
        <w:spacing w:line="360" w:lineRule="auto"/>
        <w:jc w:val="center"/>
        <w:rPr>
          <w:rFonts w:ascii="Times New Roman" w:hAnsi="Times New Roman" w:cs="Times New Roman"/>
          <w:sz w:val="24"/>
        </w:rPr>
      </w:pPr>
      <w:r>
        <w:rPr>
          <w:rFonts w:ascii="Times New Roman" w:hAnsi="Times New Roman" w:cs="Times New Roman"/>
          <w:sz w:val="24"/>
        </w:rPr>
        <w:t>Keita Nakamoto</w:t>
      </w:r>
      <w:r>
        <w:rPr>
          <w:rFonts w:ascii="Times New Roman" w:hAnsi="Times New Roman" w:cs="Times New Roman" w:hint="eastAsia"/>
          <w:sz w:val="24"/>
        </w:rPr>
        <w:t>,</w:t>
      </w:r>
      <w:r>
        <w:rPr>
          <w:rFonts w:ascii="Times New Roman" w:hAnsi="Times New Roman" w:cs="Times New Roman"/>
          <w:sz w:val="24"/>
        </w:rPr>
        <w:t xml:space="preserve"> Yoshihiro </w:t>
      </w:r>
      <w:proofErr w:type="spellStart"/>
      <w:r>
        <w:rPr>
          <w:rFonts w:ascii="Times New Roman" w:hAnsi="Times New Roman" w:cs="Times New Roman"/>
          <w:sz w:val="24"/>
        </w:rPr>
        <w:t>Hiramatsu</w:t>
      </w:r>
      <w:proofErr w:type="spellEnd"/>
      <w:r>
        <w:rPr>
          <w:rFonts w:ascii="Times New Roman" w:hAnsi="Times New Roman" w:cs="Times New Roman"/>
          <w:sz w:val="24"/>
        </w:rPr>
        <w:t xml:space="preserve">, Takahiko </w:t>
      </w:r>
      <w:proofErr w:type="spellStart"/>
      <w:r>
        <w:rPr>
          <w:rFonts w:ascii="Times New Roman" w:hAnsi="Times New Roman" w:cs="Times New Roman"/>
          <w:sz w:val="24"/>
        </w:rPr>
        <w:t>Uchide</w:t>
      </w:r>
      <w:proofErr w:type="spellEnd"/>
      <w:r>
        <w:rPr>
          <w:rFonts w:ascii="Times New Roman" w:hAnsi="Times New Roman" w:cs="Times New Roman"/>
          <w:sz w:val="24"/>
        </w:rPr>
        <w:t xml:space="preserve">, </w:t>
      </w:r>
      <w:proofErr w:type="spellStart"/>
      <w:r>
        <w:rPr>
          <w:rFonts w:ascii="Times New Roman" w:hAnsi="Times New Roman" w:cs="Times New Roman"/>
          <w:sz w:val="24"/>
        </w:rPr>
        <w:t>Kazutoshi</w:t>
      </w:r>
      <w:proofErr w:type="spellEnd"/>
      <w:r>
        <w:rPr>
          <w:rFonts w:ascii="Times New Roman" w:hAnsi="Times New Roman" w:cs="Times New Roman"/>
          <w:sz w:val="24"/>
        </w:rPr>
        <w:t xml:space="preserve"> </w:t>
      </w:r>
      <w:proofErr w:type="spellStart"/>
      <w:r>
        <w:rPr>
          <w:rFonts w:ascii="Times New Roman" w:hAnsi="Times New Roman" w:cs="Times New Roman"/>
          <w:sz w:val="24"/>
        </w:rPr>
        <w:t>Imanishi</w:t>
      </w:r>
      <w:proofErr w:type="spellEnd"/>
    </w:p>
    <w:p w14:paraId="1CBA1145" w14:textId="77777777" w:rsidR="00B27C0D" w:rsidRDefault="00B27C0D">
      <w:pPr>
        <w:spacing w:line="360" w:lineRule="auto"/>
        <w:jc w:val="center"/>
        <w:rPr>
          <w:rFonts w:ascii="Times New Roman" w:hAnsi="Times New Roman" w:cs="Times New Roman"/>
          <w:sz w:val="24"/>
        </w:rPr>
      </w:pPr>
    </w:p>
    <w:p w14:paraId="293544E2" w14:textId="77777777" w:rsidR="00B27C0D" w:rsidRDefault="00E44949">
      <w:pPr>
        <w:spacing w:line="360" w:lineRule="auto"/>
        <w:jc w:val="left"/>
        <w:rPr>
          <w:rFonts w:ascii="Times New Roman" w:hAnsi="Times New Roman" w:cs="Times New Roman"/>
          <w:b/>
          <w:bCs/>
          <w:sz w:val="24"/>
        </w:rPr>
      </w:pPr>
      <w:r>
        <w:rPr>
          <w:rFonts w:ascii="Times New Roman" w:hAnsi="Times New Roman" w:cs="Times New Roman"/>
          <w:b/>
          <w:bCs/>
          <w:sz w:val="24"/>
        </w:rPr>
        <w:t>Migration of tremors, spatial distribution of cumulative seismic energy release, rupture extent along strike direction, and start point of ETS events:</w:t>
      </w:r>
    </w:p>
    <w:p w14:paraId="7BA04A25" w14:textId="77777777" w:rsidR="00B27C0D" w:rsidRDefault="00B27C0D">
      <w:pPr>
        <w:spacing w:line="360" w:lineRule="auto"/>
        <w:jc w:val="left"/>
        <w:rPr>
          <w:rFonts w:ascii="Times New Roman" w:hAnsi="Times New Roman" w:cs="Times New Roman"/>
          <w:sz w:val="24"/>
        </w:rPr>
      </w:pPr>
    </w:p>
    <w:p w14:paraId="4F49688C" w14:textId="0CBAF191" w:rsidR="00B27C0D" w:rsidRDefault="00E44949">
      <w:pPr>
        <w:spacing w:line="360" w:lineRule="auto"/>
        <w:jc w:val="left"/>
        <w:rPr>
          <w:rFonts w:ascii="Times New Roman" w:hAnsi="Times New Roman" w:cs="Times New Roman"/>
          <w:sz w:val="24"/>
        </w:rPr>
      </w:pPr>
      <w:r>
        <w:rPr>
          <w:rFonts w:ascii="Times New Roman" w:hAnsi="Times New Roman" w:cs="Times New Roman"/>
          <w:sz w:val="24"/>
        </w:rPr>
        <w:t xml:space="preserve">Analyses of seismic array data in the </w:t>
      </w:r>
      <w:proofErr w:type="spellStart"/>
      <w:r>
        <w:rPr>
          <w:rFonts w:ascii="Times New Roman" w:hAnsi="Times New Roman" w:cs="Times New Roman"/>
          <w:sz w:val="24"/>
        </w:rPr>
        <w:t>Kii</w:t>
      </w:r>
      <w:proofErr w:type="spellEnd"/>
      <w:r>
        <w:rPr>
          <w:rFonts w:ascii="Times New Roman" w:hAnsi="Times New Roman" w:cs="Times New Roman"/>
          <w:sz w:val="24"/>
        </w:rPr>
        <w:t xml:space="preserve"> Peninsula reveal the detailed rupture process of 17 ETS events in the Nankai subduction zone. The rupture process is represented here by the migration of tremor and the spatial distribution of cumulative seismic energy release during the 14 ETS events not shown in the main text (Fig. S1) and the </w:t>
      </w:r>
      <w:r>
        <w:rPr>
          <w:rFonts w:ascii="Times New Roman" w:hAnsi="Times New Roman" w:cs="Times New Roman"/>
          <w:bCs/>
          <w:color w:val="000000" w:themeColor="text1"/>
          <w:sz w:val="24"/>
        </w:rPr>
        <w:t xml:space="preserve">rupture extent along strike and the location of the start point for all ETS events </w:t>
      </w:r>
      <w:r>
        <w:rPr>
          <w:rFonts w:ascii="Times New Roman" w:hAnsi="Times New Roman" w:cs="Times New Roman"/>
          <w:sz w:val="24"/>
        </w:rPr>
        <w:t>(Fig. S2)</w:t>
      </w:r>
      <w:r>
        <w:rPr>
          <w:rFonts w:ascii="Times New Roman" w:hAnsi="Times New Roman" w:cs="Times New Roman"/>
          <w:bCs/>
          <w:color w:val="000000" w:themeColor="text1"/>
          <w:sz w:val="24"/>
        </w:rPr>
        <w:t>.</w:t>
      </w:r>
    </w:p>
    <w:p w14:paraId="4E3CAD7B" w14:textId="77777777" w:rsidR="00B27C0D" w:rsidRDefault="00B27C0D">
      <w:pPr>
        <w:spacing w:line="360" w:lineRule="auto"/>
        <w:jc w:val="left"/>
        <w:rPr>
          <w:rFonts w:ascii="Times New Roman" w:hAnsi="Times New Roman" w:cs="Times New Roman"/>
          <w:sz w:val="24"/>
        </w:rPr>
      </w:pPr>
    </w:p>
    <w:p w14:paraId="08D833BC" w14:textId="77777777" w:rsidR="00B27C0D" w:rsidRDefault="00B27C0D">
      <w:pPr>
        <w:spacing w:line="360" w:lineRule="auto"/>
        <w:jc w:val="left"/>
        <w:rPr>
          <w:rFonts w:ascii="Times New Roman" w:hAnsi="Times New Roman" w:cs="Times New Roman"/>
          <w:sz w:val="24"/>
        </w:rPr>
      </w:pPr>
    </w:p>
    <w:p w14:paraId="694563EC" w14:textId="22F7124E" w:rsidR="00B27C0D" w:rsidRDefault="00B83DD2">
      <w:pPr>
        <w:spacing w:line="360" w:lineRule="auto"/>
        <w:jc w:val="left"/>
        <w:rPr>
          <w:rFonts w:ascii="Times New Roman" w:hAnsi="Times New Roman" w:cs="Times New Roman"/>
          <w:sz w:val="24"/>
        </w:rPr>
      </w:pPr>
      <w:r>
        <w:rPr>
          <w:rFonts w:ascii="Times New Roman" w:hAnsi="Times New Roman" w:cs="Times New Roman"/>
          <w:noProof/>
          <w:sz w:val="24"/>
        </w:rPr>
        <w:lastRenderedPageBreak/>
        <w:drawing>
          <wp:inline distT="0" distB="0" distL="0" distR="0" wp14:anchorId="7B85FDC5" wp14:editId="25A1CDC2">
            <wp:extent cx="6116320" cy="6797675"/>
            <wp:effectExtent l="0" t="0" r="5080" b="0"/>
            <wp:docPr id="6" name="図 6" descr="会社名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図 6" descr="会社名 が含まれている画像&#10;&#10;自動的に生成された説明"/>
                    <pic:cNvPicPr/>
                  </pic:nvPicPr>
                  <pic:blipFill>
                    <a:blip r:embed="rId4"/>
                    <a:stretch>
                      <a:fillRect/>
                    </a:stretch>
                  </pic:blipFill>
                  <pic:spPr>
                    <a:xfrm>
                      <a:off x="0" y="0"/>
                      <a:ext cx="6116320" cy="6797675"/>
                    </a:xfrm>
                    <a:prstGeom prst="rect">
                      <a:avLst/>
                    </a:prstGeom>
                  </pic:spPr>
                </pic:pic>
              </a:graphicData>
            </a:graphic>
          </wp:inline>
        </w:drawing>
      </w:r>
    </w:p>
    <w:p w14:paraId="26C88373" w14:textId="5B919254" w:rsidR="00AF7BAD" w:rsidRPr="001F4CD2" w:rsidRDefault="00E44949" w:rsidP="00AF7BAD">
      <w:pPr>
        <w:spacing w:line="480" w:lineRule="auto"/>
        <w:rPr>
          <w:rFonts w:ascii="Times New Roman" w:hAnsi="Times New Roman" w:cs="Times New Roman"/>
          <w:sz w:val="24"/>
        </w:rPr>
      </w:pPr>
      <w:r>
        <w:rPr>
          <w:rFonts w:ascii="Times New Roman" w:hAnsi="Times New Roman" w:cs="Times New Roman"/>
          <w:b/>
          <w:color w:val="000000" w:themeColor="text1"/>
          <w:sz w:val="24"/>
        </w:rPr>
        <w:t xml:space="preserve">Figure S1. </w:t>
      </w:r>
      <w:r w:rsidR="00AF7BAD" w:rsidRPr="001F4CD2">
        <w:rPr>
          <w:rFonts w:ascii="Times New Roman" w:hAnsi="Times New Roman" w:cs="Times New Roman"/>
          <w:bCs/>
          <w:color w:val="000000" w:themeColor="text1"/>
          <w:sz w:val="24"/>
        </w:rPr>
        <w:t xml:space="preserve">Plots showing (upper) </w:t>
      </w:r>
      <w:r w:rsidR="00AF7BAD" w:rsidRPr="001F4CD2">
        <w:rPr>
          <w:rFonts w:ascii="Times New Roman" w:hAnsi="Times New Roman" w:cs="Times New Roman"/>
          <w:bCs/>
          <w:sz w:val="24"/>
        </w:rPr>
        <w:t>the mig</w:t>
      </w:r>
      <w:r w:rsidR="00AF7BAD" w:rsidRPr="001F4CD2">
        <w:rPr>
          <w:rFonts w:ascii="Times New Roman" w:hAnsi="Times New Roman" w:cs="Times New Roman"/>
          <w:sz w:val="24"/>
        </w:rPr>
        <w:t xml:space="preserve">ration of tremors and (lower) the spatial distribution of cumulative seismic energy of all ETS events other than those in Fig. </w:t>
      </w:r>
      <w:r w:rsidR="00C265C2">
        <w:rPr>
          <w:rFonts w:ascii="Times New Roman" w:hAnsi="Times New Roman" w:cs="Times New Roman"/>
          <w:sz w:val="24"/>
        </w:rPr>
        <w:t>4</w:t>
      </w:r>
      <w:r w:rsidR="00AF7BAD" w:rsidRPr="001F4CD2">
        <w:rPr>
          <w:rFonts w:ascii="Times New Roman" w:hAnsi="Times New Roman" w:cs="Times New Roman"/>
          <w:sz w:val="24"/>
        </w:rPr>
        <w:t xml:space="preserve"> (ETS 3, 9, and 20). All symbols are the same as in Fig. </w:t>
      </w:r>
      <w:r w:rsidR="00C265C2">
        <w:rPr>
          <w:rFonts w:ascii="Times New Roman" w:hAnsi="Times New Roman" w:cs="Times New Roman"/>
          <w:sz w:val="24"/>
        </w:rPr>
        <w:t>4</w:t>
      </w:r>
      <w:r w:rsidR="00AF7BAD" w:rsidRPr="001F4CD2">
        <w:rPr>
          <w:rFonts w:ascii="Times New Roman" w:hAnsi="Times New Roman" w:cs="Times New Roman"/>
          <w:sz w:val="24"/>
        </w:rPr>
        <w:t>.</w:t>
      </w:r>
    </w:p>
    <w:p w14:paraId="26175085" w14:textId="7567A8A4" w:rsidR="00B27C0D" w:rsidRDefault="00B27C0D">
      <w:pPr>
        <w:spacing w:line="360" w:lineRule="auto"/>
        <w:rPr>
          <w:rFonts w:ascii="Times New Roman" w:hAnsi="Times New Roman" w:cs="Times New Roman"/>
          <w:sz w:val="24"/>
        </w:rPr>
      </w:pPr>
    </w:p>
    <w:p w14:paraId="6778B47D" w14:textId="77777777" w:rsidR="00B27C0D" w:rsidRDefault="00E44949">
      <w:pPr>
        <w:widowControl/>
        <w:jc w:val="left"/>
        <w:rPr>
          <w:rFonts w:ascii="Times New Roman" w:hAnsi="Times New Roman" w:cs="Times New Roman"/>
          <w:color w:val="000000" w:themeColor="text1"/>
          <w:sz w:val="24"/>
        </w:rPr>
      </w:pPr>
      <w:r>
        <w:rPr>
          <w:rFonts w:ascii="Times New Roman" w:hAnsi="Times New Roman" w:cs="Times New Roman"/>
          <w:color w:val="000000" w:themeColor="text1"/>
          <w:sz w:val="24"/>
        </w:rPr>
        <w:br w:type="page"/>
      </w:r>
    </w:p>
    <w:p w14:paraId="1CB105C4" w14:textId="1FFCE7A5" w:rsidR="00B27C0D" w:rsidRDefault="00B83DD2">
      <w:pPr>
        <w:spacing w:line="480" w:lineRule="auto"/>
        <w:ind w:firstLineChars="50" w:firstLine="120"/>
        <w:rPr>
          <w:rFonts w:ascii="Times New Roman" w:hAnsi="Times New Roman" w:cs="Times New Roman"/>
          <w:color w:val="000000" w:themeColor="text1"/>
          <w:sz w:val="24"/>
        </w:rPr>
      </w:pPr>
      <w:r>
        <w:rPr>
          <w:rFonts w:ascii="Times New Roman" w:hAnsi="Times New Roman" w:cs="Times New Roman"/>
          <w:noProof/>
          <w:color w:val="000000" w:themeColor="text1"/>
          <w:sz w:val="24"/>
        </w:rPr>
        <w:lastRenderedPageBreak/>
        <w:drawing>
          <wp:inline distT="0" distB="0" distL="0" distR="0" wp14:anchorId="444F684D" wp14:editId="702FBB70">
            <wp:extent cx="6116320" cy="6809105"/>
            <wp:effectExtent l="0" t="0" r="5080" b="0"/>
            <wp:docPr id="7" name="図 7" descr="多角形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図 7" descr="多角形 が含まれている画像&#10;&#10;自動的に生成された説明"/>
                    <pic:cNvPicPr/>
                  </pic:nvPicPr>
                  <pic:blipFill>
                    <a:blip r:embed="rId5"/>
                    <a:stretch>
                      <a:fillRect/>
                    </a:stretch>
                  </pic:blipFill>
                  <pic:spPr>
                    <a:xfrm>
                      <a:off x="0" y="0"/>
                      <a:ext cx="6116320" cy="6809105"/>
                    </a:xfrm>
                    <a:prstGeom prst="rect">
                      <a:avLst/>
                    </a:prstGeom>
                  </pic:spPr>
                </pic:pic>
              </a:graphicData>
            </a:graphic>
          </wp:inline>
        </w:drawing>
      </w:r>
    </w:p>
    <w:p w14:paraId="4E36E853" w14:textId="77777777" w:rsidR="00B27C0D" w:rsidRDefault="00E44949">
      <w:pPr>
        <w:spacing w:line="360" w:lineRule="auto"/>
        <w:jc w:val="left"/>
        <w:rPr>
          <w:rFonts w:ascii="Times New Roman" w:hAnsi="Times New Roman" w:cs="Times New Roman"/>
          <w:b/>
          <w:color w:val="000000" w:themeColor="text1"/>
          <w:sz w:val="24"/>
        </w:rPr>
      </w:pPr>
      <w:r>
        <w:rPr>
          <w:rFonts w:ascii="Times New Roman" w:hAnsi="Times New Roman" w:cs="Times New Roman"/>
          <w:b/>
          <w:color w:val="000000" w:themeColor="text1"/>
          <w:sz w:val="24"/>
        </w:rPr>
        <w:t xml:space="preserve">Figure S1. </w:t>
      </w:r>
      <w:r>
        <w:rPr>
          <w:rFonts w:ascii="Times New Roman" w:hAnsi="Times New Roman" w:cs="Times New Roman"/>
          <w:bCs/>
          <w:color w:val="000000" w:themeColor="text1"/>
          <w:sz w:val="24"/>
        </w:rPr>
        <w:t>continued.</w:t>
      </w:r>
    </w:p>
    <w:p w14:paraId="2B7B93DE" w14:textId="77777777" w:rsidR="00B27C0D" w:rsidRDefault="00E44949">
      <w:pPr>
        <w:widowControl/>
        <w:jc w:val="left"/>
        <w:rPr>
          <w:rFonts w:ascii="Times New Roman" w:hAnsi="Times New Roman" w:cs="Times New Roman"/>
          <w:b/>
          <w:color w:val="000000" w:themeColor="text1"/>
          <w:sz w:val="24"/>
        </w:rPr>
      </w:pPr>
      <w:r>
        <w:rPr>
          <w:rFonts w:ascii="Times New Roman" w:hAnsi="Times New Roman" w:cs="Times New Roman"/>
          <w:b/>
          <w:color w:val="000000" w:themeColor="text1"/>
          <w:sz w:val="24"/>
        </w:rPr>
        <w:br w:type="page"/>
      </w:r>
    </w:p>
    <w:p w14:paraId="3EE46BB6" w14:textId="77777777" w:rsidR="00B27C0D" w:rsidRDefault="00B27C0D">
      <w:pPr>
        <w:spacing w:line="360" w:lineRule="auto"/>
        <w:jc w:val="left"/>
        <w:rPr>
          <w:rFonts w:ascii="Times New Roman" w:hAnsi="Times New Roman" w:cs="Times New Roman"/>
          <w:b/>
          <w:color w:val="000000" w:themeColor="text1"/>
          <w:sz w:val="24"/>
        </w:rPr>
      </w:pPr>
    </w:p>
    <w:p w14:paraId="5C050A92" w14:textId="473A5DC9" w:rsidR="00B27C0D" w:rsidRDefault="00B83DD2">
      <w:pPr>
        <w:spacing w:line="360" w:lineRule="auto"/>
        <w:jc w:val="left"/>
        <w:rPr>
          <w:rFonts w:ascii="Times New Roman" w:hAnsi="Times New Roman" w:cs="Times New Roman"/>
          <w:b/>
          <w:color w:val="000000" w:themeColor="text1"/>
          <w:sz w:val="24"/>
        </w:rPr>
      </w:pPr>
      <w:r>
        <w:rPr>
          <w:rFonts w:ascii="Times New Roman" w:hAnsi="Times New Roman" w:cs="Times New Roman"/>
          <w:b/>
          <w:noProof/>
          <w:color w:val="000000" w:themeColor="text1"/>
          <w:sz w:val="24"/>
        </w:rPr>
        <w:drawing>
          <wp:inline distT="0" distB="0" distL="0" distR="0" wp14:anchorId="252CB4E6" wp14:editId="7AA69F85">
            <wp:extent cx="5880100" cy="4419600"/>
            <wp:effectExtent l="0" t="0" r="0" b="0"/>
            <wp:docPr id="8" name="図 8"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図 8" descr="ダイアグラム&#10;&#10;自動的に生成された説明"/>
                    <pic:cNvPicPr/>
                  </pic:nvPicPr>
                  <pic:blipFill>
                    <a:blip r:embed="rId6"/>
                    <a:stretch>
                      <a:fillRect/>
                    </a:stretch>
                  </pic:blipFill>
                  <pic:spPr>
                    <a:xfrm>
                      <a:off x="0" y="0"/>
                      <a:ext cx="5880100" cy="4419600"/>
                    </a:xfrm>
                    <a:prstGeom prst="rect">
                      <a:avLst/>
                    </a:prstGeom>
                  </pic:spPr>
                </pic:pic>
              </a:graphicData>
            </a:graphic>
          </wp:inline>
        </w:drawing>
      </w:r>
    </w:p>
    <w:p w14:paraId="48735AA1" w14:textId="77777777" w:rsidR="00B27C0D" w:rsidRDefault="00B27C0D">
      <w:pPr>
        <w:spacing w:line="360" w:lineRule="auto"/>
        <w:jc w:val="left"/>
        <w:rPr>
          <w:rFonts w:ascii="Times New Roman" w:hAnsi="Times New Roman" w:cs="Times New Roman"/>
          <w:b/>
          <w:color w:val="000000" w:themeColor="text1"/>
          <w:sz w:val="24"/>
        </w:rPr>
      </w:pPr>
    </w:p>
    <w:p w14:paraId="0C68B94B" w14:textId="77777777" w:rsidR="00B27C0D" w:rsidRDefault="00E44949">
      <w:pPr>
        <w:spacing w:line="360" w:lineRule="auto"/>
        <w:jc w:val="left"/>
        <w:rPr>
          <w:rFonts w:ascii="Times New Roman" w:hAnsi="Times New Roman" w:cs="Times New Roman"/>
          <w:b/>
          <w:color w:val="000000" w:themeColor="text1"/>
          <w:sz w:val="24"/>
        </w:rPr>
      </w:pPr>
      <w:r>
        <w:rPr>
          <w:rFonts w:ascii="Times New Roman" w:hAnsi="Times New Roman" w:cs="Times New Roman"/>
          <w:b/>
          <w:color w:val="000000" w:themeColor="text1"/>
          <w:sz w:val="24"/>
        </w:rPr>
        <w:t xml:space="preserve">Figure S1. </w:t>
      </w:r>
      <w:r>
        <w:rPr>
          <w:rFonts w:ascii="Times New Roman" w:hAnsi="Times New Roman" w:cs="Times New Roman"/>
          <w:bCs/>
          <w:color w:val="000000" w:themeColor="text1"/>
          <w:sz w:val="24"/>
        </w:rPr>
        <w:t>continued.</w:t>
      </w:r>
    </w:p>
    <w:p w14:paraId="28992DD1" w14:textId="77777777" w:rsidR="00B27C0D" w:rsidRDefault="00E44949">
      <w:pPr>
        <w:widowControl/>
        <w:jc w:val="left"/>
        <w:rPr>
          <w:rFonts w:ascii="Times New Roman" w:hAnsi="Times New Roman" w:cs="Times New Roman"/>
          <w:b/>
          <w:color w:val="000000" w:themeColor="text1"/>
          <w:sz w:val="24"/>
        </w:rPr>
      </w:pPr>
      <w:r>
        <w:rPr>
          <w:rFonts w:ascii="Times New Roman" w:hAnsi="Times New Roman" w:cs="Times New Roman"/>
          <w:b/>
          <w:color w:val="000000" w:themeColor="text1"/>
          <w:sz w:val="24"/>
        </w:rPr>
        <w:br w:type="page"/>
      </w:r>
    </w:p>
    <w:p w14:paraId="177F6DEA" w14:textId="77777777" w:rsidR="00B27C0D" w:rsidRDefault="00E44949">
      <w:pPr>
        <w:spacing w:line="360" w:lineRule="auto"/>
        <w:jc w:val="left"/>
        <w:rPr>
          <w:rFonts w:ascii="Times New Roman" w:hAnsi="Times New Roman" w:cs="Times New Roman"/>
          <w:b/>
          <w:color w:val="000000" w:themeColor="text1"/>
          <w:sz w:val="24"/>
        </w:rPr>
      </w:pPr>
      <w:r>
        <w:rPr>
          <w:rFonts w:ascii="Times New Roman" w:hAnsi="Times New Roman" w:cs="Times New Roman"/>
          <w:b/>
          <w:noProof/>
          <w:color w:val="000000" w:themeColor="text1"/>
          <w:sz w:val="24"/>
          <w:lang w:eastAsia="en-US"/>
        </w:rPr>
        <w:lastRenderedPageBreak/>
        <w:drawing>
          <wp:inline distT="0" distB="0" distL="0" distR="0" wp14:anchorId="58895238" wp14:editId="2724191E">
            <wp:extent cx="5396230" cy="7581265"/>
            <wp:effectExtent l="0" t="0" r="1270" b="635"/>
            <wp:docPr id="4" name="図 4" descr="パソコンの画面&#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4" descr="パソコンの画面&#10;&#10;自動的に生成された説明"/>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96230" cy="7581265"/>
                    </a:xfrm>
                    <a:prstGeom prst="rect">
                      <a:avLst/>
                    </a:prstGeom>
                  </pic:spPr>
                </pic:pic>
              </a:graphicData>
            </a:graphic>
          </wp:inline>
        </w:drawing>
      </w:r>
    </w:p>
    <w:p w14:paraId="6E50561C" w14:textId="08834A69" w:rsidR="00B27C0D" w:rsidRDefault="00E44949" w:rsidP="00AF7BAD">
      <w:pPr>
        <w:spacing w:line="360" w:lineRule="auto"/>
        <w:jc w:val="left"/>
        <w:rPr>
          <w:rFonts w:ascii="Times New Roman" w:hAnsi="Times New Roman" w:cs="Times New Roman"/>
          <w:sz w:val="24"/>
        </w:rPr>
      </w:pPr>
      <w:r>
        <w:rPr>
          <w:rFonts w:ascii="Times New Roman" w:hAnsi="Times New Roman" w:cs="Times New Roman"/>
          <w:b/>
          <w:color w:val="000000" w:themeColor="text1"/>
          <w:sz w:val="24"/>
        </w:rPr>
        <w:t xml:space="preserve">Figure S2. </w:t>
      </w:r>
      <w:r w:rsidR="00AF7BAD" w:rsidRPr="001F4CD2">
        <w:rPr>
          <w:rFonts w:ascii="Times New Roman" w:hAnsi="Times New Roman" w:cs="Times New Roman"/>
          <w:bCs/>
          <w:color w:val="000000" w:themeColor="text1"/>
          <w:sz w:val="24"/>
        </w:rPr>
        <w:t>Plots of all ETS events showing t</w:t>
      </w:r>
      <w:r w:rsidR="00AF7BAD" w:rsidRPr="001F4CD2">
        <w:rPr>
          <w:rFonts w:ascii="Times New Roman" w:hAnsi="Times New Roman" w:cs="Times New Roman"/>
          <w:sz w:val="24"/>
        </w:rPr>
        <w:t xml:space="preserve">he spatial distribution of cumulative seismic energy release in the plane of the plate interface, with symbols showing </w:t>
      </w:r>
      <w:r w:rsidR="00AF7BAD" w:rsidRPr="001F4CD2">
        <w:rPr>
          <w:rFonts w:ascii="Times New Roman" w:hAnsi="Times New Roman" w:cs="Times New Roman"/>
          <w:bCs/>
          <w:color w:val="000000" w:themeColor="text1"/>
          <w:sz w:val="24"/>
        </w:rPr>
        <w:t xml:space="preserve">the rupture extent along the strike direction (black bar) </w:t>
      </w:r>
      <w:r w:rsidR="00AF7BAD" w:rsidRPr="001F4CD2">
        <w:rPr>
          <w:rFonts w:ascii="Times New Roman" w:hAnsi="Times New Roman" w:cs="Times New Roman"/>
          <w:sz w:val="24"/>
        </w:rPr>
        <w:t xml:space="preserve">and the start point (red star). Black rectangles represent the location of high-energy patches as shown in Fig. </w:t>
      </w:r>
      <w:r w:rsidR="00C265C2">
        <w:rPr>
          <w:rFonts w:ascii="Times New Roman" w:hAnsi="Times New Roman" w:cs="Times New Roman"/>
          <w:sz w:val="24"/>
        </w:rPr>
        <w:t>4</w:t>
      </w:r>
      <w:r w:rsidR="00AF7BAD" w:rsidRPr="001F4CD2">
        <w:rPr>
          <w:rFonts w:ascii="Times New Roman" w:hAnsi="Times New Roman" w:cs="Times New Roman"/>
          <w:sz w:val="24"/>
        </w:rPr>
        <w:t>.</w:t>
      </w:r>
    </w:p>
    <w:p w14:paraId="1B046596" w14:textId="77777777" w:rsidR="00B27C0D" w:rsidRDefault="00B27C0D">
      <w:pPr>
        <w:spacing w:line="360" w:lineRule="auto"/>
        <w:jc w:val="left"/>
        <w:rPr>
          <w:rFonts w:ascii="Times New Roman" w:hAnsi="Times New Roman" w:cs="Times New Roman"/>
          <w:sz w:val="24"/>
        </w:rPr>
      </w:pPr>
    </w:p>
    <w:p w14:paraId="12B9F73F" w14:textId="77777777" w:rsidR="00B27C0D" w:rsidRDefault="00B27C0D">
      <w:pPr>
        <w:spacing w:line="360" w:lineRule="auto"/>
        <w:jc w:val="left"/>
        <w:rPr>
          <w:rFonts w:ascii="Times New Roman" w:hAnsi="Times New Roman" w:cs="Times New Roman"/>
          <w:sz w:val="24"/>
        </w:rPr>
      </w:pPr>
    </w:p>
    <w:p w14:paraId="034EF7DE" w14:textId="77777777" w:rsidR="00B27C0D" w:rsidRDefault="00E44949">
      <w:pPr>
        <w:spacing w:line="360" w:lineRule="auto"/>
        <w:jc w:val="left"/>
        <w:rPr>
          <w:rFonts w:ascii="Times New Roman" w:hAnsi="Times New Roman" w:cs="Times New Roman"/>
          <w:sz w:val="24"/>
        </w:rPr>
      </w:pPr>
      <w:r>
        <w:rPr>
          <w:rFonts w:ascii="Times New Roman" w:hAnsi="Times New Roman" w:cs="Times New Roman" w:hint="eastAsia"/>
          <w:noProof/>
          <w:sz w:val="24"/>
          <w:lang w:eastAsia="en-US"/>
        </w:rPr>
        <w:drawing>
          <wp:inline distT="0" distB="0" distL="0" distR="0" wp14:anchorId="2EE46785" wp14:editId="0B642812">
            <wp:extent cx="6116320" cy="6854190"/>
            <wp:effectExtent l="0" t="0" r="5080" b="3810"/>
            <wp:docPr id="5" name="図 5" descr="抽象, スクリーンショット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5" descr="抽象, スクリーンショット が含まれている画像&#10;&#10;自動的に生成された説明"/>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16320" cy="6854190"/>
                    </a:xfrm>
                    <a:prstGeom prst="rect">
                      <a:avLst/>
                    </a:prstGeom>
                  </pic:spPr>
                </pic:pic>
              </a:graphicData>
            </a:graphic>
          </wp:inline>
        </w:drawing>
      </w:r>
    </w:p>
    <w:p w14:paraId="0787BA2C" w14:textId="77777777" w:rsidR="00B27C0D" w:rsidRDefault="00B27C0D">
      <w:pPr>
        <w:spacing w:line="360" w:lineRule="auto"/>
        <w:jc w:val="left"/>
        <w:rPr>
          <w:rFonts w:ascii="Times New Roman" w:hAnsi="Times New Roman" w:cs="Times New Roman"/>
          <w:sz w:val="24"/>
        </w:rPr>
      </w:pPr>
    </w:p>
    <w:p w14:paraId="7CFDD824" w14:textId="77777777" w:rsidR="00B27C0D" w:rsidRDefault="00E44949">
      <w:pPr>
        <w:spacing w:line="360" w:lineRule="auto"/>
        <w:jc w:val="left"/>
        <w:rPr>
          <w:rFonts w:ascii="Times New Roman" w:hAnsi="Times New Roman" w:cs="Times New Roman"/>
          <w:b/>
          <w:color w:val="000000" w:themeColor="text1"/>
          <w:sz w:val="24"/>
        </w:rPr>
      </w:pPr>
      <w:r>
        <w:rPr>
          <w:rFonts w:ascii="Times New Roman" w:hAnsi="Times New Roman" w:cs="Times New Roman"/>
          <w:b/>
          <w:color w:val="000000" w:themeColor="text1"/>
          <w:sz w:val="24"/>
        </w:rPr>
        <w:t xml:space="preserve">Figure S2. </w:t>
      </w:r>
      <w:r>
        <w:rPr>
          <w:rFonts w:ascii="Times New Roman" w:hAnsi="Times New Roman" w:cs="Times New Roman"/>
          <w:bCs/>
          <w:color w:val="000000" w:themeColor="text1"/>
          <w:sz w:val="24"/>
        </w:rPr>
        <w:t>continued.</w:t>
      </w:r>
    </w:p>
    <w:p w14:paraId="3159C9B7" w14:textId="77777777" w:rsidR="00B27C0D" w:rsidRDefault="00B27C0D">
      <w:pPr>
        <w:spacing w:line="360" w:lineRule="auto"/>
        <w:jc w:val="left"/>
        <w:rPr>
          <w:rFonts w:ascii="Times New Roman" w:hAnsi="Times New Roman" w:cs="Times New Roman"/>
          <w:sz w:val="24"/>
        </w:rPr>
      </w:pPr>
    </w:p>
    <w:sectPr w:rsidR="00B27C0D">
      <w:pgSz w:w="11900" w:h="16840"/>
      <w:pgMar w:top="1134" w:right="1134" w:bottom="1134" w:left="1134"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modern"/>
    <w:pitch w:val="fixed"/>
    <w:sig w:usb0="E00002FF" w:usb1="6AC7FDFB" w:usb2="08000012" w:usb3="00000000" w:csb0="0002009F" w:csb1="00000000"/>
  </w:font>
  <w:font w:name="ＭＳ Ｐゴシック">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27C0D"/>
    <w:rsid w:val="00137025"/>
    <w:rsid w:val="00AF7BAD"/>
    <w:rsid w:val="00B27C0D"/>
    <w:rsid w:val="00B83DD2"/>
    <w:rsid w:val="00C265C2"/>
    <w:rsid w:val="00E44949"/>
    <w:rsid w:val="00FC20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73680776"/>
  <w15:docId w15:val="{F2AD452E-D9FD-004C-BA1D-3C7E3A8CE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rFonts w:ascii="ＭＳ 明朝" w:eastAsia="ＭＳ 明朝"/>
      <w:sz w:val="18"/>
      <w:szCs w:val="18"/>
    </w:rPr>
  </w:style>
  <w:style w:type="character" w:customStyle="1" w:styleId="a4">
    <w:name w:val="吹き出し (文字)"/>
    <w:basedOn w:val="a0"/>
    <w:link w:val="a3"/>
    <w:uiPriority w:val="99"/>
    <w:semiHidden/>
    <w:rPr>
      <w:rFonts w:ascii="ＭＳ 明朝" w:eastAsia="ＭＳ 明朝"/>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Arial-Times New Roman">
      <a:majorFont>
        <a:latin typeface="Arial"/>
        <a:ea typeface="ＭＳ ゴシック"/>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ＭＳ 明朝"/>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217</Words>
  <Characters>1240</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平松 良浩</dc:creator>
  <cp:keywords/>
  <dc:description/>
  <cp:lastModifiedBy>平松 良浩</cp:lastModifiedBy>
  <cp:revision>7</cp:revision>
  <dcterms:created xsi:type="dcterms:W3CDTF">2020-09-05T07:54:00Z</dcterms:created>
  <dcterms:modified xsi:type="dcterms:W3CDTF">2020-09-27T01:33:00Z</dcterms:modified>
</cp:coreProperties>
</file>