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76E8AD" w14:textId="6984A0BA" w:rsidR="00074309" w:rsidRPr="00626500" w:rsidRDefault="007C4B09" w:rsidP="00360B8A">
      <w:pPr>
        <w:rPr>
          <w:rFonts w:ascii="Arial" w:hAnsi="Arial" w:cs="Arial"/>
          <w:b/>
          <w:bCs/>
          <w:sz w:val="24"/>
          <w:szCs w:val="24"/>
        </w:rPr>
      </w:pPr>
      <w:r w:rsidRPr="00626500">
        <w:rPr>
          <w:rFonts w:ascii="Arial" w:hAnsi="Arial" w:cs="Arial"/>
          <w:b/>
          <w:bCs/>
          <w:sz w:val="24"/>
          <w:szCs w:val="24"/>
        </w:rPr>
        <w:t>Supplementary Methods</w:t>
      </w:r>
    </w:p>
    <w:p w14:paraId="3FC9204C" w14:textId="77777777" w:rsidR="00074309" w:rsidRPr="00EE3D69" w:rsidRDefault="007C4B09" w:rsidP="00360B8A">
      <w:pPr>
        <w:rPr>
          <w:rFonts w:ascii="Arial" w:hAnsi="Arial" w:cs="Arial"/>
          <w:b/>
          <w:bCs/>
          <w:sz w:val="20"/>
          <w:szCs w:val="20"/>
        </w:rPr>
      </w:pPr>
      <w:r w:rsidRPr="00EE3D69">
        <w:rPr>
          <w:rFonts w:ascii="Arial" w:hAnsi="Arial" w:cs="Arial"/>
          <w:b/>
          <w:bCs/>
          <w:sz w:val="20"/>
          <w:szCs w:val="20"/>
        </w:rPr>
        <w:t>S1. Detailed study design and regulatory framework</w:t>
      </w:r>
    </w:p>
    <w:p w14:paraId="7A81F91B" w14:textId="77777777" w:rsidR="00074309" w:rsidRPr="00EE3D69" w:rsidRDefault="007C4B09" w:rsidP="00360B8A">
      <w:pPr>
        <w:rPr>
          <w:rFonts w:ascii="Arial" w:hAnsi="Arial" w:cs="Arial"/>
          <w:sz w:val="20"/>
          <w:szCs w:val="20"/>
        </w:rPr>
      </w:pPr>
      <w:r w:rsidRPr="00EE3D69">
        <w:rPr>
          <w:rFonts w:ascii="Arial" w:hAnsi="Arial" w:cs="Arial"/>
          <w:b/>
          <w:bCs/>
          <w:sz w:val="20"/>
          <w:szCs w:val="20"/>
        </w:rPr>
        <w:t>S1.1 Trial classification and regulatory pathway</w:t>
      </w:r>
      <w:r w:rsidR="004C4AAC" w:rsidRPr="00EE3D69">
        <w:rPr>
          <w:rFonts w:ascii="Arial" w:hAnsi="Arial" w:cs="Arial"/>
          <w:sz w:val="20"/>
          <w:szCs w:val="20"/>
        </w:rPr>
        <w:t xml:space="preserve">. </w:t>
      </w:r>
      <w:r w:rsidRPr="00EE3D69">
        <w:rPr>
          <w:rFonts w:ascii="Arial" w:hAnsi="Arial" w:cs="Arial"/>
          <w:sz w:val="20"/>
          <w:szCs w:val="20"/>
        </w:rPr>
        <w:t>This study was an exploratory, single-center, first-in-human clinical investigation designed to evaluate the safety, feasibility, and preliminary biological activity of regenerative constructs generated using the BSM1 device. The trial was conducted in accordance with applicable Japanese regulatory guidance issued by the Pharmaceuticals and Medical Devices Agency (PMDA). and relevant national clinical research regulations.</w:t>
      </w:r>
    </w:p>
    <w:p w14:paraId="77C33354" w14:textId="77777777" w:rsidR="004C4AAC" w:rsidRPr="00EE3D69" w:rsidRDefault="004C4AAC" w:rsidP="00360B8A">
      <w:pPr>
        <w:rPr>
          <w:rFonts w:ascii="Arial" w:hAnsi="Arial" w:cs="Arial"/>
          <w:sz w:val="20"/>
          <w:szCs w:val="20"/>
        </w:rPr>
      </w:pPr>
    </w:p>
    <w:p w14:paraId="4BE3CDD3" w14:textId="77777777" w:rsidR="00CC2BA6" w:rsidRPr="00EE3D69" w:rsidRDefault="007C4B09" w:rsidP="00360B8A">
      <w:pPr>
        <w:rPr>
          <w:rFonts w:ascii="Arial" w:hAnsi="Arial" w:cs="Arial"/>
          <w:sz w:val="20"/>
          <w:szCs w:val="20"/>
        </w:rPr>
      </w:pPr>
      <w:r w:rsidRPr="00EE3D69">
        <w:rPr>
          <w:rFonts w:ascii="Arial" w:hAnsi="Arial" w:cs="Arial"/>
          <w:b/>
          <w:bCs/>
          <w:sz w:val="20"/>
          <w:szCs w:val="20"/>
        </w:rPr>
        <w:t>S1.2 Study timeline and visit schedule</w:t>
      </w:r>
      <w:r w:rsidR="004C4AAC" w:rsidRPr="00EE3D69">
        <w:rPr>
          <w:rFonts w:ascii="Arial" w:hAnsi="Arial" w:cs="Arial"/>
          <w:sz w:val="20"/>
          <w:szCs w:val="20"/>
        </w:rPr>
        <w:t xml:space="preserve">. </w:t>
      </w:r>
      <w:r w:rsidRPr="00EE3D69">
        <w:rPr>
          <w:rFonts w:ascii="Arial" w:hAnsi="Arial" w:cs="Arial"/>
          <w:sz w:val="20"/>
          <w:szCs w:val="20"/>
        </w:rPr>
        <w:t>The study consisted of a screening/enrollment phase, a subcutaneous embedding phase for in vivo construct generation, and a post-application follow-up phase.</w:t>
      </w:r>
      <w:r w:rsidR="00910C49">
        <w:rPr>
          <w:rFonts w:ascii="Arial" w:hAnsi="Arial" w:cs="Arial"/>
          <w:sz w:val="20"/>
          <w:szCs w:val="20"/>
        </w:rPr>
        <w:t xml:space="preserve"> </w:t>
      </w:r>
      <w:r w:rsidRPr="00EE3D69">
        <w:rPr>
          <w:rFonts w:ascii="Arial" w:hAnsi="Arial" w:cs="Arial"/>
          <w:sz w:val="20"/>
          <w:szCs w:val="20"/>
        </w:rPr>
        <w:t>At Visit 1 (V1), eligible patients were registered after confirmation of inclusion and exclusion criteria.</w:t>
      </w:r>
      <w:r w:rsidR="00910C49">
        <w:rPr>
          <w:rFonts w:ascii="Arial" w:hAnsi="Arial" w:cs="Arial"/>
          <w:sz w:val="20"/>
          <w:szCs w:val="20"/>
        </w:rPr>
        <w:t xml:space="preserve"> </w:t>
      </w:r>
      <w:r w:rsidRPr="00EE3D69">
        <w:rPr>
          <w:rFonts w:ascii="Arial" w:hAnsi="Arial" w:cs="Arial"/>
          <w:sz w:val="20"/>
          <w:szCs w:val="20"/>
        </w:rPr>
        <w:t>At Visit 2 (V2), two to four BSM1 devices were surgically implanted subcutaneously.</w:t>
      </w:r>
      <w:r w:rsidR="00910C49">
        <w:rPr>
          <w:rFonts w:ascii="Arial" w:hAnsi="Arial" w:cs="Arial"/>
          <w:sz w:val="20"/>
          <w:szCs w:val="20"/>
        </w:rPr>
        <w:t xml:space="preserve"> </w:t>
      </w:r>
      <w:r w:rsidRPr="00EE3D69">
        <w:rPr>
          <w:rFonts w:ascii="Arial" w:hAnsi="Arial" w:cs="Arial"/>
          <w:sz w:val="20"/>
          <w:szCs w:val="20"/>
        </w:rPr>
        <w:t>A safety assessment was conducted at Visit 3 (V3), one week after device implantation, to evaluate local and systemic adverse events during the embedding period.</w:t>
      </w:r>
      <w:r w:rsidR="00910C49">
        <w:rPr>
          <w:rFonts w:ascii="Arial" w:hAnsi="Arial" w:cs="Arial"/>
          <w:sz w:val="20"/>
          <w:szCs w:val="20"/>
        </w:rPr>
        <w:t xml:space="preserve"> </w:t>
      </w:r>
      <w:r w:rsidRPr="00EE3D69">
        <w:rPr>
          <w:rFonts w:ascii="Arial" w:hAnsi="Arial" w:cs="Arial"/>
          <w:sz w:val="20"/>
          <w:szCs w:val="20"/>
        </w:rPr>
        <w:t xml:space="preserve">At Visit 4 (V4), three weeks after implantation, the devices were surgically retrieved and the regenerated </w:t>
      </w:r>
      <w:proofErr w:type="spellStart"/>
      <w:r w:rsidRPr="00EE3D69">
        <w:rPr>
          <w:rFonts w:ascii="Arial" w:hAnsi="Arial" w:cs="Arial"/>
          <w:sz w:val="20"/>
          <w:szCs w:val="20"/>
        </w:rPr>
        <w:t>biococktails</w:t>
      </w:r>
      <w:proofErr w:type="spellEnd"/>
      <w:r w:rsidRPr="00EE3D69">
        <w:rPr>
          <w:rFonts w:ascii="Arial" w:hAnsi="Arial" w:cs="Arial"/>
          <w:sz w:val="20"/>
          <w:szCs w:val="20"/>
        </w:rPr>
        <w:t xml:space="preserve"> were applied to the prepared wound sites.</w:t>
      </w:r>
    </w:p>
    <w:p w14:paraId="267A6E93" w14:textId="77777777" w:rsidR="00074309" w:rsidRPr="00EE3D69" w:rsidRDefault="007C4B09">
      <w:pPr>
        <w:ind w:firstLine="840"/>
        <w:rPr>
          <w:rFonts w:ascii="Arial" w:hAnsi="Arial" w:cs="Arial"/>
          <w:sz w:val="20"/>
          <w:szCs w:val="20"/>
        </w:rPr>
      </w:pPr>
      <w:r w:rsidRPr="00EE3D69">
        <w:rPr>
          <w:rFonts w:ascii="Arial" w:hAnsi="Arial" w:cs="Arial"/>
          <w:sz w:val="20"/>
          <w:szCs w:val="20"/>
        </w:rPr>
        <w:t>Follow-up visits were conducted at 1, 2, 3, and 4 weeks after application (V5–V8) to assess wound healing progression and safety.</w:t>
      </w:r>
      <w:r w:rsidR="00910C49">
        <w:rPr>
          <w:rFonts w:ascii="Arial" w:hAnsi="Arial" w:cs="Arial"/>
          <w:sz w:val="20"/>
          <w:szCs w:val="20"/>
        </w:rPr>
        <w:t xml:space="preserve"> </w:t>
      </w:r>
      <w:r w:rsidRPr="00EE3D69">
        <w:rPr>
          <w:rFonts w:ascii="Arial" w:hAnsi="Arial" w:cs="Arial"/>
          <w:sz w:val="20"/>
          <w:szCs w:val="20"/>
        </w:rPr>
        <w:t>Extended follow-up assessments were performed at 8 weeks (V9) and 12 weeks (V10) after application to evaluate clinical outcomes and adverse events within the predefined safety monitoring window.</w:t>
      </w:r>
    </w:p>
    <w:p w14:paraId="2D866472" w14:textId="77777777" w:rsidR="004C4AAC" w:rsidRPr="00EE3D69" w:rsidRDefault="004C4AAC" w:rsidP="00360B8A">
      <w:pPr>
        <w:rPr>
          <w:rFonts w:ascii="Arial" w:hAnsi="Arial" w:cs="Arial"/>
          <w:sz w:val="20"/>
          <w:szCs w:val="20"/>
        </w:rPr>
      </w:pPr>
    </w:p>
    <w:p w14:paraId="4D1CD29D" w14:textId="77777777" w:rsidR="00074309" w:rsidRPr="00EE3D69" w:rsidRDefault="007C4B09" w:rsidP="00360B8A">
      <w:pPr>
        <w:rPr>
          <w:rFonts w:ascii="Arial" w:hAnsi="Arial" w:cs="Arial"/>
          <w:sz w:val="20"/>
          <w:szCs w:val="20"/>
        </w:rPr>
      </w:pPr>
      <w:r w:rsidRPr="00EE3D69">
        <w:rPr>
          <w:rFonts w:ascii="Arial" w:hAnsi="Arial" w:cs="Arial"/>
          <w:b/>
          <w:bCs/>
          <w:sz w:val="20"/>
          <w:szCs w:val="20"/>
        </w:rPr>
        <w:t>S1.3</w:t>
      </w:r>
      <w:r w:rsidRPr="00EE3D69">
        <w:rPr>
          <w:rFonts w:ascii="Arial" w:hAnsi="Arial" w:cs="Arial"/>
          <w:sz w:val="20"/>
          <w:szCs w:val="20"/>
        </w:rPr>
        <w:t xml:space="preserve"> </w:t>
      </w:r>
      <w:r w:rsidRPr="00EE3D69">
        <w:rPr>
          <w:rFonts w:ascii="Arial" w:hAnsi="Arial" w:cs="Arial"/>
          <w:b/>
          <w:bCs/>
          <w:sz w:val="20"/>
          <w:szCs w:val="20"/>
        </w:rPr>
        <w:t>Trial registration and oversight</w:t>
      </w:r>
      <w:r w:rsidR="00BD54F4">
        <w:rPr>
          <w:rFonts w:ascii="Arial" w:hAnsi="Arial" w:cs="Arial"/>
          <w:sz w:val="20"/>
          <w:szCs w:val="20"/>
        </w:rPr>
        <w:t xml:space="preserve">. </w:t>
      </w:r>
      <w:r w:rsidRPr="00EE3D69">
        <w:rPr>
          <w:rFonts w:ascii="Arial" w:hAnsi="Arial" w:cs="Arial"/>
          <w:sz w:val="20"/>
          <w:szCs w:val="20"/>
        </w:rPr>
        <w:t>This investigator-initiated clinical trial was prospectively registered with the Japan Registry of Clinical Trials (</w:t>
      </w:r>
      <w:proofErr w:type="spellStart"/>
      <w:r w:rsidRPr="00EE3D69">
        <w:rPr>
          <w:rFonts w:ascii="Arial" w:hAnsi="Arial" w:cs="Arial"/>
          <w:sz w:val="20"/>
          <w:szCs w:val="20"/>
        </w:rPr>
        <w:t>jRCT</w:t>
      </w:r>
      <w:proofErr w:type="spellEnd"/>
      <w:r w:rsidRPr="00EE3D69">
        <w:rPr>
          <w:rFonts w:ascii="Arial" w:hAnsi="Arial" w:cs="Arial"/>
          <w:sz w:val="20"/>
          <w:szCs w:val="20"/>
        </w:rPr>
        <w:t xml:space="preserve">; No. jRCT2032230318) prior to patient enrollment. The study protocol, including predefined primary and secondary endpoints, was approved by the institutional review board of Yokohama General Hospital (approval No. </w:t>
      </w:r>
      <w:proofErr w:type="spellStart"/>
      <w:r w:rsidRPr="00EE3D69">
        <w:rPr>
          <w:rFonts w:ascii="Arial" w:hAnsi="Arial" w:cs="Arial"/>
          <w:sz w:val="20"/>
          <w:szCs w:val="20"/>
        </w:rPr>
        <w:t>Yokorin</w:t>
      </w:r>
      <w:proofErr w:type="spellEnd"/>
      <w:r w:rsidRPr="00EE3D69">
        <w:rPr>
          <w:rFonts w:ascii="Arial" w:hAnsi="Arial" w:cs="Arial"/>
          <w:sz w:val="20"/>
          <w:szCs w:val="20"/>
        </w:rPr>
        <w:t xml:space="preserve"> 202312)</w:t>
      </w:r>
      <w:r w:rsidRPr="00EE3D69">
        <w:rPr>
          <w:rFonts w:ascii="Arial" w:hAnsi="Arial" w:cs="Arial" w:hint="eastAsia"/>
          <w:sz w:val="20"/>
          <w:szCs w:val="20"/>
        </w:rPr>
        <w:t xml:space="preserve">　</w:t>
      </w:r>
      <w:r w:rsidRPr="00EE3D69">
        <w:rPr>
          <w:rFonts w:ascii="Arial" w:hAnsi="Arial" w:cs="Arial"/>
          <w:sz w:val="20"/>
          <w:szCs w:val="20"/>
        </w:rPr>
        <w:t>and conducted in accordance with the Declaration of Helsinki and applicable national regulations.</w:t>
      </w:r>
    </w:p>
    <w:p w14:paraId="65C8A1BB" w14:textId="77777777" w:rsidR="00074309" w:rsidRPr="00EE3D69" w:rsidRDefault="007C4B09">
      <w:pPr>
        <w:ind w:firstLine="840"/>
        <w:rPr>
          <w:rFonts w:ascii="Arial" w:hAnsi="Arial" w:cs="Arial"/>
          <w:sz w:val="20"/>
          <w:szCs w:val="20"/>
        </w:rPr>
      </w:pPr>
      <w:r w:rsidRPr="00EE3D69">
        <w:rPr>
          <w:rFonts w:ascii="Arial" w:hAnsi="Arial" w:cs="Arial"/>
          <w:sz w:val="20"/>
          <w:szCs w:val="20"/>
        </w:rPr>
        <w:t>The principal investigator was responsible for study conduct, safety monitoring, and regulatory compliance. Serious adverse events were reported according to institutional and national regulatory requirements.</w:t>
      </w:r>
    </w:p>
    <w:p w14:paraId="07B19106" w14:textId="77777777" w:rsidR="004C4AAC" w:rsidRPr="00EE3D69" w:rsidRDefault="004C4AAC" w:rsidP="00360B8A">
      <w:pPr>
        <w:rPr>
          <w:rFonts w:ascii="Arial" w:hAnsi="Arial" w:cs="Arial"/>
          <w:sz w:val="20"/>
          <w:szCs w:val="20"/>
        </w:rPr>
      </w:pPr>
    </w:p>
    <w:p w14:paraId="5CF174D3" w14:textId="77777777" w:rsidR="00074309" w:rsidRPr="00EE3D69" w:rsidRDefault="007C4B09" w:rsidP="00360B8A">
      <w:pPr>
        <w:rPr>
          <w:rFonts w:ascii="Arial" w:hAnsi="Arial" w:cs="Arial"/>
          <w:b/>
          <w:bCs/>
          <w:sz w:val="20"/>
          <w:szCs w:val="20"/>
        </w:rPr>
      </w:pPr>
      <w:r w:rsidRPr="00EE3D69">
        <w:rPr>
          <w:rFonts w:ascii="Arial" w:hAnsi="Arial" w:cs="Arial"/>
          <w:b/>
          <w:bCs/>
          <w:sz w:val="20"/>
          <w:szCs w:val="20"/>
        </w:rPr>
        <w:t>S2. Eligibility criteria</w:t>
      </w:r>
    </w:p>
    <w:p w14:paraId="361BA017" w14:textId="75307AB9" w:rsidR="00074309" w:rsidRPr="00B6064D" w:rsidRDefault="007C4B09" w:rsidP="00360B8A">
      <w:pPr>
        <w:rPr>
          <w:rFonts w:ascii="Arial" w:hAnsi="Arial" w:cs="Arial"/>
          <w:sz w:val="20"/>
          <w:szCs w:val="20"/>
        </w:rPr>
      </w:pPr>
      <w:r w:rsidRPr="00EE3D69">
        <w:rPr>
          <w:rFonts w:ascii="Arial" w:hAnsi="Arial" w:cs="Arial"/>
          <w:b/>
          <w:bCs/>
          <w:sz w:val="20"/>
          <w:szCs w:val="20"/>
        </w:rPr>
        <w:t xml:space="preserve">S2.1 </w:t>
      </w:r>
      <w:r w:rsidR="00B6064D">
        <w:rPr>
          <w:rFonts w:ascii="Arial" w:hAnsi="Arial" w:cs="Arial"/>
          <w:b/>
          <w:bCs/>
          <w:sz w:val="20"/>
          <w:szCs w:val="20"/>
        </w:rPr>
        <w:t>I</w:t>
      </w:r>
      <w:r w:rsidRPr="00EE3D69">
        <w:rPr>
          <w:rFonts w:ascii="Arial" w:hAnsi="Arial" w:cs="Arial"/>
          <w:b/>
          <w:bCs/>
          <w:sz w:val="20"/>
          <w:szCs w:val="20"/>
        </w:rPr>
        <w:t>nclusion Criteria</w:t>
      </w:r>
      <w:r w:rsidR="00B6064D">
        <w:rPr>
          <w:rFonts w:ascii="Arial" w:hAnsi="Arial" w:cs="Arial"/>
          <w:b/>
          <w:bCs/>
          <w:sz w:val="20"/>
          <w:szCs w:val="20"/>
        </w:rPr>
        <w:t>.</w:t>
      </w:r>
      <w:r w:rsidR="00B6064D" w:rsidRPr="00B6064D">
        <w:rPr>
          <w:rFonts w:ascii="Arial" w:hAnsi="Arial" w:cs="Arial"/>
          <w:sz w:val="20"/>
          <w:szCs w:val="20"/>
        </w:rPr>
        <w:t xml:space="preserve"> The full inclusion criteria were as follows:</w:t>
      </w:r>
    </w:p>
    <w:p w14:paraId="5CD9593C" w14:textId="77777777" w:rsidR="00074309" w:rsidRPr="00EE3D69" w:rsidRDefault="007C4B09" w:rsidP="00360B8A">
      <w:pPr>
        <w:rPr>
          <w:rFonts w:ascii="Arial" w:hAnsi="Arial" w:cs="Arial"/>
          <w:sz w:val="20"/>
          <w:szCs w:val="20"/>
        </w:rPr>
      </w:pPr>
      <w:r w:rsidRPr="00EE3D69">
        <w:rPr>
          <w:rFonts w:ascii="Arial" w:hAnsi="Arial" w:cs="Arial"/>
          <w:sz w:val="20"/>
          <w:szCs w:val="20"/>
        </w:rPr>
        <w:t>(1) Age ≥18 years at the time of consent.</w:t>
      </w:r>
    </w:p>
    <w:p w14:paraId="19414C8F" w14:textId="77777777" w:rsidR="00074309" w:rsidRPr="00EE3D69" w:rsidRDefault="007C4B09" w:rsidP="00360B8A">
      <w:pPr>
        <w:rPr>
          <w:rFonts w:ascii="Arial" w:hAnsi="Arial" w:cs="Arial"/>
          <w:sz w:val="20"/>
          <w:szCs w:val="20"/>
        </w:rPr>
      </w:pPr>
      <w:r w:rsidRPr="00EE3D69">
        <w:rPr>
          <w:rFonts w:ascii="Arial" w:hAnsi="Arial" w:cs="Arial"/>
          <w:sz w:val="20"/>
          <w:szCs w:val="20"/>
        </w:rPr>
        <w:t>(2) Diagnosis of Type 1 or Type 2 diabetes mellitus.</w:t>
      </w:r>
    </w:p>
    <w:p w14:paraId="7922C3CA" w14:textId="77777777" w:rsidR="00074309" w:rsidRPr="00EE3D69" w:rsidRDefault="007C4B09" w:rsidP="00360B8A">
      <w:pPr>
        <w:rPr>
          <w:rFonts w:ascii="Arial" w:hAnsi="Arial" w:cs="Arial"/>
          <w:sz w:val="20"/>
          <w:szCs w:val="20"/>
        </w:rPr>
      </w:pPr>
      <w:r w:rsidRPr="00EE3D69">
        <w:rPr>
          <w:rFonts w:ascii="Arial" w:hAnsi="Arial" w:cs="Arial"/>
          <w:sz w:val="20"/>
          <w:szCs w:val="20"/>
        </w:rPr>
        <w:lastRenderedPageBreak/>
        <w:t>(3) DFUs unresponsive to standard therapy.</w:t>
      </w:r>
    </w:p>
    <w:p w14:paraId="45BE2547" w14:textId="77777777" w:rsidR="00074309" w:rsidRPr="00EE3D69" w:rsidRDefault="007C4B09" w:rsidP="00360B8A">
      <w:pPr>
        <w:rPr>
          <w:rFonts w:ascii="Arial" w:hAnsi="Arial" w:cs="Arial"/>
          <w:sz w:val="20"/>
          <w:szCs w:val="20"/>
        </w:rPr>
      </w:pPr>
      <w:r w:rsidRPr="00EE3D69">
        <w:rPr>
          <w:rFonts w:ascii="Arial" w:hAnsi="Arial" w:cs="Arial"/>
          <w:sz w:val="20"/>
          <w:szCs w:val="20"/>
        </w:rPr>
        <w:t>(4) Wound, ischemia, and foot infection (</w:t>
      </w:r>
      <w:proofErr w:type="spellStart"/>
      <w:r w:rsidRPr="00EE3D69">
        <w:rPr>
          <w:rFonts w:ascii="Arial" w:hAnsi="Arial" w:cs="Arial"/>
          <w:sz w:val="20"/>
          <w:szCs w:val="20"/>
        </w:rPr>
        <w:t>WIfI</w:t>
      </w:r>
      <w:proofErr w:type="spellEnd"/>
      <w:r w:rsidRPr="00EE3D69">
        <w:rPr>
          <w:rFonts w:ascii="Arial" w:hAnsi="Arial" w:cs="Arial"/>
          <w:sz w:val="20"/>
          <w:szCs w:val="20"/>
        </w:rPr>
        <w:t>) classification</w:t>
      </w:r>
      <w:r w:rsidRPr="00EE3D69">
        <w:rPr>
          <w:rFonts w:ascii="Arial" w:hAnsi="Arial" w:cs="Arial"/>
          <w:sz w:val="20"/>
          <w:szCs w:val="20"/>
          <w:vertAlign w:val="superscript"/>
        </w:rPr>
        <w:t>7</w:t>
      </w:r>
      <w:r w:rsidRPr="00EE3D69">
        <w:rPr>
          <w:rFonts w:ascii="Arial" w:hAnsi="Arial" w:cs="Arial"/>
          <w:sz w:val="20"/>
          <w:szCs w:val="20"/>
        </w:rPr>
        <w:t>: Wound: 1–3; Ischemia: 0–2; foot Infection: 0–2; and clinical stage 3 or 4.</w:t>
      </w:r>
    </w:p>
    <w:p w14:paraId="2AA8E93D" w14:textId="77777777" w:rsidR="00074309" w:rsidRPr="00EE3D69" w:rsidRDefault="007C4B09" w:rsidP="00360B8A">
      <w:pPr>
        <w:rPr>
          <w:rFonts w:ascii="Arial" w:hAnsi="Arial" w:cs="Arial"/>
          <w:sz w:val="20"/>
          <w:szCs w:val="20"/>
        </w:rPr>
      </w:pPr>
      <w:r w:rsidRPr="00EE3D69">
        <w:rPr>
          <w:rFonts w:ascii="Arial" w:hAnsi="Arial" w:cs="Arial"/>
          <w:sz w:val="20"/>
          <w:szCs w:val="20"/>
        </w:rPr>
        <w:t>(5) Expected skin defect of ≥4 cm², including the heel area, after debridement; or anticipated need for additional resection of healthy tissue outside and proximal to the wound for wound closure.</w:t>
      </w:r>
    </w:p>
    <w:p w14:paraId="2D0897D6" w14:textId="77777777" w:rsidR="00074309" w:rsidRPr="00EE3D69" w:rsidRDefault="007C4B09" w:rsidP="00360B8A">
      <w:pPr>
        <w:rPr>
          <w:rFonts w:ascii="Arial" w:hAnsi="Arial" w:cs="Arial"/>
          <w:sz w:val="20"/>
          <w:szCs w:val="20"/>
        </w:rPr>
      </w:pPr>
      <w:r w:rsidRPr="00EE3D69">
        <w:rPr>
          <w:rFonts w:ascii="Arial" w:hAnsi="Arial" w:cs="Arial"/>
          <w:sz w:val="20"/>
          <w:szCs w:val="20"/>
        </w:rPr>
        <w:t xml:space="preserve">(6) Expected survival for ≥12 months and ability to complete a 12-week follow-up after </w:t>
      </w:r>
      <w:proofErr w:type="spellStart"/>
      <w:r w:rsidRPr="00EE3D69">
        <w:rPr>
          <w:rFonts w:ascii="Arial" w:hAnsi="Arial" w:cs="Arial"/>
          <w:sz w:val="20"/>
          <w:szCs w:val="20"/>
        </w:rPr>
        <w:t>biococktail</w:t>
      </w:r>
      <w:proofErr w:type="spellEnd"/>
      <w:r w:rsidRPr="00EE3D69">
        <w:rPr>
          <w:rFonts w:ascii="Arial" w:hAnsi="Arial" w:cs="Arial"/>
          <w:sz w:val="20"/>
          <w:szCs w:val="20"/>
        </w:rPr>
        <w:t xml:space="preserve"> application.</w:t>
      </w:r>
    </w:p>
    <w:p w14:paraId="3DB5BBF1" w14:textId="77777777" w:rsidR="00074309" w:rsidRPr="00EE3D69" w:rsidRDefault="007C4B09" w:rsidP="00360B8A">
      <w:pPr>
        <w:rPr>
          <w:rFonts w:ascii="Arial" w:hAnsi="Arial" w:cs="Arial"/>
          <w:sz w:val="20"/>
          <w:szCs w:val="20"/>
        </w:rPr>
      </w:pPr>
      <w:r w:rsidRPr="00EE3D69">
        <w:rPr>
          <w:rFonts w:ascii="Arial" w:hAnsi="Arial" w:cs="Arial"/>
          <w:sz w:val="20"/>
          <w:szCs w:val="20"/>
        </w:rPr>
        <w:t>(7) Written informed consent provided.</w:t>
      </w:r>
    </w:p>
    <w:p w14:paraId="08554A34" w14:textId="77777777" w:rsidR="004C4AAC" w:rsidRPr="00EE3D69" w:rsidRDefault="004C4AAC" w:rsidP="00360B8A">
      <w:pPr>
        <w:rPr>
          <w:rFonts w:ascii="Arial" w:hAnsi="Arial" w:cs="Arial"/>
          <w:sz w:val="20"/>
          <w:szCs w:val="20"/>
        </w:rPr>
      </w:pPr>
    </w:p>
    <w:p w14:paraId="7FF7E629" w14:textId="2C4F746B" w:rsidR="00074309" w:rsidRPr="00EE3D69" w:rsidRDefault="007C4B09" w:rsidP="00360B8A">
      <w:pPr>
        <w:rPr>
          <w:rFonts w:ascii="Arial" w:hAnsi="Arial" w:cs="Arial"/>
          <w:b/>
          <w:bCs/>
          <w:sz w:val="20"/>
          <w:szCs w:val="20"/>
        </w:rPr>
      </w:pPr>
      <w:r w:rsidRPr="00EE3D69">
        <w:rPr>
          <w:rFonts w:ascii="Arial" w:hAnsi="Arial" w:cs="Arial"/>
          <w:b/>
          <w:bCs/>
          <w:sz w:val="20"/>
          <w:szCs w:val="20"/>
        </w:rPr>
        <w:t>S2.2 Exclusion Criteria</w:t>
      </w:r>
      <w:r w:rsidR="00B6064D">
        <w:rPr>
          <w:rFonts w:ascii="Arial" w:hAnsi="Arial" w:cs="Arial"/>
          <w:b/>
          <w:bCs/>
          <w:sz w:val="20"/>
          <w:szCs w:val="20"/>
        </w:rPr>
        <w:t>.</w:t>
      </w:r>
      <w:r w:rsidR="00B6064D" w:rsidRPr="00B6064D">
        <w:rPr>
          <w:rFonts w:ascii="Arial" w:hAnsi="Arial" w:cs="Arial"/>
          <w:sz w:val="20"/>
          <w:szCs w:val="20"/>
        </w:rPr>
        <w:t xml:space="preserve"> The full exclusion criteria were as follows:</w:t>
      </w:r>
    </w:p>
    <w:p w14:paraId="6445BC63" w14:textId="77777777" w:rsidR="00074309" w:rsidRPr="00EE3D69" w:rsidRDefault="007C4B09" w:rsidP="00360B8A">
      <w:pPr>
        <w:rPr>
          <w:rFonts w:ascii="Arial" w:hAnsi="Arial" w:cs="Arial"/>
          <w:sz w:val="20"/>
          <w:szCs w:val="20"/>
        </w:rPr>
      </w:pPr>
      <w:r w:rsidRPr="00EE3D69">
        <w:rPr>
          <w:rFonts w:ascii="Arial" w:hAnsi="Arial" w:cs="Arial"/>
          <w:sz w:val="20"/>
          <w:szCs w:val="20"/>
        </w:rPr>
        <w:t>(1) Overall condition that made securing the implantation period difficult due to imminent limb amputation or other urgent conditions.</w:t>
      </w:r>
    </w:p>
    <w:p w14:paraId="625907CA" w14:textId="77777777" w:rsidR="00074309" w:rsidRPr="00EE3D69" w:rsidRDefault="007C4B09" w:rsidP="00360B8A">
      <w:pPr>
        <w:rPr>
          <w:rFonts w:ascii="Arial" w:hAnsi="Arial" w:cs="Arial"/>
          <w:sz w:val="20"/>
          <w:szCs w:val="20"/>
        </w:rPr>
      </w:pPr>
      <w:r w:rsidRPr="00EE3D69">
        <w:rPr>
          <w:rFonts w:ascii="Arial" w:hAnsi="Arial" w:cs="Arial"/>
          <w:sz w:val="20"/>
          <w:szCs w:val="20"/>
        </w:rPr>
        <w:t>(2) Severe malnutrition (Controlling Nutritional Status [CONUT] score 8–12)</w:t>
      </w:r>
      <w:r w:rsidRPr="00EE3D69">
        <w:rPr>
          <w:rFonts w:ascii="Arial" w:hAnsi="Arial" w:cs="Arial"/>
          <w:sz w:val="20"/>
          <w:szCs w:val="20"/>
          <w:vertAlign w:val="superscript"/>
        </w:rPr>
        <w:t>8,9</w:t>
      </w:r>
      <w:r w:rsidRPr="00EE3D69">
        <w:rPr>
          <w:rFonts w:ascii="Arial" w:hAnsi="Arial" w:cs="Arial"/>
          <w:sz w:val="20"/>
          <w:szCs w:val="20"/>
        </w:rPr>
        <w:t xml:space="preserve"> or severe comorbidities deemed unsuitable for surgical procedures.</w:t>
      </w:r>
    </w:p>
    <w:p w14:paraId="0C8CCAD2" w14:textId="77777777" w:rsidR="00074309" w:rsidRPr="00EE3D69" w:rsidRDefault="007C4B09" w:rsidP="00360B8A">
      <w:pPr>
        <w:rPr>
          <w:rFonts w:ascii="Arial" w:hAnsi="Arial" w:cs="Arial"/>
          <w:sz w:val="20"/>
          <w:szCs w:val="20"/>
        </w:rPr>
      </w:pPr>
      <w:r w:rsidRPr="00EE3D69">
        <w:rPr>
          <w:rFonts w:ascii="Arial" w:hAnsi="Arial" w:cs="Arial"/>
          <w:sz w:val="20"/>
          <w:szCs w:val="20"/>
        </w:rPr>
        <w:t>(3) Lacking adequate space for implantation of two or more investigational devices due to poor skin condition or a history of exposure to subcutaneous implants.</w:t>
      </w:r>
    </w:p>
    <w:p w14:paraId="104D8620" w14:textId="77777777" w:rsidR="00074309" w:rsidRPr="00EE3D69" w:rsidRDefault="007C4B09" w:rsidP="00360B8A">
      <w:pPr>
        <w:rPr>
          <w:rFonts w:ascii="Arial" w:hAnsi="Arial" w:cs="Arial"/>
          <w:sz w:val="20"/>
          <w:szCs w:val="20"/>
        </w:rPr>
      </w:pPr>
      <w:r w:rsidRPr="00EE3D69">
        <w:rPr>
          <w:rFonts w:ascii="Arial" w:hAnsi="Arial" w:cs="Arial"/>
          <w:sz w:val="20"/>
          <w:szCs w:val="20"/>
        </w:rPr>
        <w:t>(4) Underwent invasive surgery within 30 days prior to enrollment, except for procedures related to foot wounds or vascular reconstruction.</w:t>
      </w:r>
    </w:p>
    <w:p w14:paraId="091F3712" w14:textId="77777777" w:rsidR="00074309" w:rsidRPr="00EE3D69" w:rsidRDefault="007C4B09" w:rsidP="00360B8A">
      <w:pPr>
        <w:rPr>
          <w:rFonts w:ascii="Arial" w:hAnsi="Arial" w:cs="Arial"/>
          <w:sz w:val="20"/>
          <w:szCs w:val="20"/>
        </w:rPr>
      </w:pPr>
      <w:r w:rsidRPr="00EE3D69">
        <w:rPr>
          <w:rFonts w:ascii="Arial" w:hAnsi="Arial" w:cs="Arial"/>
          <w:sz w:val="20"/>
          <w:szCs w:val="20"/>
        </w:rPr>
        <w:t>(5) Allergy to stainless steel or polyolefin resin.</w:t>
      </w:r>
    </w:p>
    <w:p w14:paraId="0D905EEC" w14:textId="77777777" w:rsidR="00074309" w:rsidRPr="00EE3D69" w:rsidRDefault="007C4B09" w:rsidP="00360B8A">
      <w:pPr>
        <w:rPr>
          <w:rFonts w:ascii="Arial" w:hAnsi="Arial" w:cs="Arial"/>
          <w:sz w:val="20"/>
          <w:szCs w:val="20"/>
        </w:rPr>
      </w:pPr>
      <w:r w:rsidRPr="00EE3D69">
        <w:rPr>
          <w:rFonts w:ascii="Arial" w:hAnsi="Arial" w:cs="Arial"/>
          <w:sz w:val="20"/>
          <w:szCs w:val="20"/>
        </w:rPr>
        <w:t>(6) Uncontrolled diabetes (fasting blood glucose ≥200 mg/dL).</w:t>
      </w:r>
    </w:p>
    <w:p w14:paraId="76962BBE" w14:textId="77777777" w:rsidR="00074309" w:rsidRPr="00EE3D69" w:rsidRDefault="007C4B09" w:rsidP="00360B8A">
      <w:pPr>
        <w:rPr>
          <w:rFonts w:ascii="Arial" w:hAnsi="Arial" w:cs="Arial"/>
          <w:sz w:val="20"/>
          <w:szCs w:val="20"/>
        </w:rPr>
      </w:pPr>
      <w:r w:rsidRPr="00EE3D69">
        <w:rPr>
          <w:rFonts w:ascii="Arial" w:hAnsi="Arial" w:cs="Arial"/>
          <w:sz w:val="20"/>
          <w:szCs w:val="20"/>
        </w:rPr>
        <w:t>(7) History of, or currently diagnosed with, malignant tumors (except cases with no recurrence or new onset for at least 5 years post-treatment).</w:t>
      </w:r>
    </w:p>
    <w:p w14:paraId="7A191813" w14:textId="77777777" w:rsidR="00074309" w:rsidRPr="00EE3D69" w:rsidRDefault="007C4B09" w:rsidP="00360B8A">
      <w:pPr>
        <w:rPr>
          <w:rFonts w:ascii="Arial" w:hAnsi="Arial" w:cs="Arial"/>
          <w:sz w:val="20"/>
          <w:szCs w:val="20"/>
        </w:rPr>
      </w:pPr>
      <w:r w:rsidRPr="00EE3D69">
        <w:rPr>
          <w:rFonts w:ascii="Arial" w:hAnsi="Arial" w:cs="Arial"/>
          <w:sz w:val="20"/>
          <w:szCs w:val="20"/>
        </w:rPr>
        <w:t>(8) Participated in another clinical trial or interventional study within 3 months prior to enrollment.</w:t>
      </w:r>
    </w:p>
    <w:p w14:paraId="2FBD7B14" w14:textId="77777777" w:rsidR="00074309" w:rsidRPr="00EE3D69" w:rsidRDefault="007C4B09" w:rsidP="00360B8A">
      <w:pPr>
        <w:rPr>
          <w:rFonts w:ascii="Arial" w:hAnsi="Arial" w:cs="Arial"/>
          <w:sz w:val="20"/>
          <w:szCs w:val="20"/>
        </w:rPr>
      </w:pPr>
      <w:r w:rsidRPr="00EE3D69">
        <w:rPr>
          <w:rFonts w:ascii="Arial" w:hAnsi="Arial" w:cs="Arial"/>
          <w:sz w:val="20"/>
          <w:szCs w:val="20"/>
        </w:rPr>
        <w:t xml:space="preserve">(9) Previous implantation of the investigational device or previous </w:t>
      </w:r>
      <w:proofErr w:type="spellStart"/>
      <w:r w:rsidRPr="00EE3D69">
        <w:rPr>
          <w:rFonts w:ascii="Arial" w:hAnsi="Arial" w:cs="Arial"/>
          <w:sz w:val="20"/>
          <w:szCs w:val="20"/>
        </w:rPr>
        <w:t>biosheet</w:t>
      </w:r>
      <w:proofErr w:type="spellEnd"/>
      <w:r w:rsidRPr="00EE3D69">
        <w:rPr>
          <w:rFonts w:ascii="Arial" w:hAnsi="Arial" w:cs="Arial"/>
          <w:sz w:val="20"/>
          <w:szCs w:val="20"/>
        </w:rPr>
        <w:t xml:space="preserve"> application.</w:t>
      </w:r>
    </w:p>
    <w:p w14:paraId="13277095" w14:textId="77777777" w:rsidR="00074309" w:rsidRPr="00EE3D69" w:rsidRDefault="007C4B09" w:rsidP="00360B8A">
      <w:pPr>
        <w:rPr>
          <w:rFonts w:ascii="Arial" w:hAnsi="Arial" w:cs="Arial"/>
          <w:sz w:val="20"/>
          <w:szCs w:val="20"/>
        </w:rPr>
      </w:pPr>
      <w:r w:rsidRPr="00EE3D69">
        <w:rPr>
          <w:rFonts w:ascii="Arial" w:hAnsi="Arial" w:cs="Arial"/>
          <w:sz w:val="20"/>
          <w:szCs w:val="20"/>
        </w:rPr>
        <w:t>(10) Receiving immunosuppressive therapy for autoimmune disease or organ transplantation.</w:t>
      </w:r>
    </w:p>
    <w:p w14:paraId="6B16AE16" w14:textId="77777777" w:rsidR="00074309" w:rsidRPr="00EE3D69" w:rsidRDefault="007C4B09" w:rsidP="00360B8A">
      <w:pPr>
        <w:rPr>
          <w:rFonts w:ascii="Arial" w:hAnsi="Arial" w:cs="Arial"/>
          <w:sz w:val="20"/>
          <w:szCs w:val="20"/>
        </w:rPr>
      </w:pPr>
      <w:r w:rsidRPr="00EE3D69">
        <w:rPr>
          <w:rFonts w:ascii="Arial" w:hAnsi="Arial" w:cs="Arial"/>
          <w:sz w:val="20"/>
          <w:szCs w:val="20"/>
        </w:rPr>
        <w:t>(11) Pregnant or breastfeeding, tested positive on pregnancy tests at eligibility confirmation, or unwilling to use contraception during the trial period.</w:t>
      </w:r>
    </w:p>
    <w:p w14:paraId="60217767" w14:textId="77777777" w:rsidR="00074309" w:rsidRPr="00EE3D69" w:rsidRDefault="007C4B09" w:rsidP="00360B8A">
      <w:pPr>
        <w:rPr>
          <w:rFonts w:ascii="Arial" w:hAnsi="Arial" w:cs="Arial"/>
          <w:sz w:val="20"/>
          <w:szCs w:val="20"/>
        </w:rPr>
      </w:pPr>
      <w:r w:rsidRPr="00EE3D69">
        <w:rPr>
          <w:rFonts w:ascii="Arial" w:hAnsi="Arial" w:cs="Arial"/>
          <w:sz w:val="20"/>
          <w:szCs w:val="20"/>
        </w:rPr>
        <w:t>(12) Ulcers that are unsuitable for adequate debridement (expected wound area ≥25 cm² post-debridement).</w:t>
      </w:r>
    </w:p>
    <w:p w14:paraId="7EEE9C88" w14:textId="77777777" w:rsidR="00074309" w:rsidRPr="00EE3D69" w:rsidRDefault="007C4B09" w:rsidP="00360B8A">
      <w:pPr>
        <w:rPr>
          <w:rFonts w:ascii="Arial" w:hAnsi="Arial" w:cs="Arial"/>
          <w:sz w:val="20"/>
          <w:szCs w:val="20"/>
        </w:rPr>
      </w:pPr>
      <w:r w:rsidRPr="00EE3D69">
        <w:rPr>
          <w:rFonts w:ascii="Arial" w:hAnsi="Arial" w:cs="Arial"/>
          <w:sz w:val="20"/>
          <w:szCs w:val="20"/>
        </w:rPr>
        <w:t>(13) Severe ischemia causing rapid necrosis progression despite debridement (e.g., severe limb ischemia or vasculitis-induced refractory wounds unsuitable for revascularization).</w:t>
      </w:r>
    </w:p>
    <w:p w14:paraId="22F7FFC0" w14:textId="77777777" w:rsidR="00074309" w:rsidRPr="00EE3D69" w:rsidRDefault="007C4B09" w:rsidP="00360B8A">
      <w:pPr>
        <w:rPr>
          <w:rFonts w:ascii="Arial" w:hAnsi="Arial" w:cs="Arial"/>
          <w:sz w:val="20"/>
          <w:szCs w:val="20"/>
        </w:rPr>
      </w:pPr>
      <w:r w:rsidRPr="00EE3D69">
        <w:rPr>
          <w:rFonts w:ascii="Arial" w:hAnsi="Arial" w:cs="Arial"/>
          <w:sz w:val="20"/>
          <w:szCs w:val="20"/>
        </w:rPr>
        <w:t>(14) Expected to undergo major amputation during the trial period due to progressive ulceration, gangrene, or sepsis.</w:t>
      </w:r>
    </w:p>
    <w:p w14:paraId="1F1B236C" w14:textId="77777777" w:rsidR="00074309" w:rsidRPr="00EE3D69" w:rsidRDefault="007C4B09" w:rsidP="00360B8A">
      <w:pPr>
        <w:rPr>
          <w:rFonts w:ascii="Arial" w:hAnsi="Arial" w:cs="Arial"/>
          <w:sz w:val="20"/>
          <w:szCs w:val="20"/>
        </w:rPr>
      </w:pPr>
      <w:r w:rsidRPr="00EE3D69">
        <w:rPr>
          <w:rFonts w:ascii="Arial" w:hAnsi="Arial" w:cs="Arial"/>
          <w:sz w:val="20"/>
          <w:szCs w:val="20"/>
        </w:rPr>
        <w:t>(15) Severe systemic infections (C-reactive protein &gt; 5 mg/dL).</w:t>
      </w:r>
    </w:p>
    <w:p w14:paraId="6F2AA253" w14:textId="77777777" w:rsidR="00074309" w:rsidRPr="00EE3D69" w:rsidRDefault="007C4B09" w:rsidP="00360B8A">
      <w:pPr>
        <w:rPr>
          <w:rFonts w:ascii="Arial" w:hAnsi="Arial" w:cs="Arial"/>
          <w:sz w:val="20"/>
          <w:szCs w:val="20"/>
        </w:rPr>
      </w:pPr>
      <w:r w:rsidRPr="00EE3D69">
        <w:rPr>
          <w:rFonts w:ascii="Arial" w:hAnsi="Arial" w:cs="Arial"/>
          <w:sz w:val="20"/>
          <w:szCs w:val="20"/>
        </w:rPr>
        <w:t>(16) Any patient deemed inappropriate by the investigator for trial participation due to clinical condition or safety concerns.</w:t>
      </w:r>
    </w:p>
    <w:p w14:paraId="5EF4B288" w14:textId="77777777" w:rsidR="004C4AAC" w:rsidRPr="00EE3D69" w:rsidRDefault="004C4AAC" w:rsidP="00360B8A">
      <w:pPr>
        <w:rPr>
          <w:rFonts w:ascii="Arial" w:hAnsi="Arial" w:cs="Arial"/>
          <w:sz w:val="20"/>
          <w:szCs w:val="20"/>
        </w:rPr>
      </w:pPr>
    </w:p>
    <w:p w14:paraId="51A23DEA" w14:textId="77777777" w:rsidR="00074309" w:rsidRPr="00EE3D69" w:rsidRDefault="007C4B09" w:rsidP="00360B8A">
      <w:pPr>
        <w:rPr>
          <w:rFonts w:ascii="Arial" w:hAnsi="Arial" w:cs="Arial"/>
          <w:b/>
          <w:bCs/>
          <w:sz w:val="20"/>
          <w:szCs w:val="20"/>
        </w:rPr>
      </w:pPr>
      <w:r w:rsidRPr="00EE3D69">
        <w:rPr>
          <w:rFonts w:ascii="Arial" w:hAnsi="Arial" w:cs="Arial"/>
          <w:b/>
          <w:bCs/>
          <w:sz w:val="20"/>
          <w:szCs w:val="20"/>
        </w:rPr>
        <w:t>S3. Study endpoints and outcome definitions</w:t>
      </w:r>
    </w:p>
    <w:p w14:paraId="7E655357" w14:textId="77777777" w:rsidR="00074309" w:rsidRPr="00EE3D69" w:rsidRDefault="007C4B09" w:rsidP="00360B8A">
      <w:pPr>
        <w:rPr>
          <w:rFonts w:ascii="Arial" w:hAnsi="Arial" w:cs="Arial"/>
          <w:sz w:val="20"/>
          <w:szCs w:val="20"/>
        </w:rPr>
      </w:pPr>
      <w:r w:rsidRPr="00EE3D69">
        <w:rPr>
          <w:rFonts w:ascii="Arial" w:hAnsi="Arial" w:cs="Arial"/>
          <w:b/>
          <w:bCs/>
          <w:sz w:val="20"/>
          <w:szCs w:val="20"/>
        </w:rPr>
        <w:t>S3.1 Primary endpoint</w:t>
      </w:r>
      <w:r w:rsidR="00531DB7">
        <w:rPr>
          <w:rFonts w:ascii="Arial" w:hAnsi="Arial" w:cs="Arial"/>
          <w:sz w:val="20"/>
          <w:szCs w:val="20"/>
        </w:rPr>
        <w:t xml:space="preserve">. </w:t>
      </w:r>
      <w:r w:rsidRPr="00EE3D69">
        <w:rPr>
          <w:rFonts w:ascii="Arial" w:hAnsi="Arial" w:cs="Arial"/>
          <w:sz w:val="20"/>
          <w:szCs w:val="20"/>
        </w:rPr>
        <w:t>The primary endpoint of this exploratory study was the successful in vivo formation of autologous regenerative constructs generated through in-body tissue architecture. Successful formation was defined as the retrieval of constructs meeting predefined quality criteria, including macroscopic structural integrity and the presence of pluripotent stem cell–associated cell populations, as assessed by histological and molecular analyses. Constructs that failed to meet these criteria were classified as non-evaluable and were excluded from downstream biological analyses. The primary endpoint was assessed at the time of construct retrieval prior to clinical application.</w:t>
      </w:r>
    </w:p>
    <w:p w14:paraId="0E1D3DBE" w14:textId="77777777" w:rsidR="004C4AAC" w:rsidRPr="00EE3D69" w:rsidRDefault="004C4AAC" w:rsidP="00360B8A">
      <w:pPr>
        <w:rPr>
          <w:rFonts w:ascii="Arial" w:hAnsi="Arial" w:cs="Arial"/>
          <w:sz w:val="20"/>
          <w:szCs w:val="20"/>
        </w:rPr>
      </w:pPr>
    </w:p>
    <w:p w14:paraId="499E4904" w14:textId="77777777" w:rsidR="00074309" w:rsidRPr="00EE3D69" w:rsidRDefault="007C4B09" w:rsidP="00360B8A">
      <w:pPr>
        <w:rPr>
          <w:rFonts w:ascii="Arial" w:hAnsi="Arial" w:cs="Arial"/>
          <w:sz w:val="20"/>
          <w:szCs w:val="20"/>
        </w:rPr>
      </w:pPr>
      <w:r w:rsidRPr="00EE3D69">
        <w:rPr>
          <w:rFonts w:ascii="Arial" w:hAnsi="Arial" w:cs="Arial"/>
          <w:b/>
          <w:bCs/>
          <w:sz w:val="20"/>
          <w:szCs w:val="20"/>
        </w:rPr>
        <w:t>S3.2 Secondary clinical endpoints</w:t>
      </w:r>
      <w:r w:rsidR="00531DB7">
        <w:rPr>
          <w:rFonts w:ascii="Arial" w:hAnsi="Arial" w:cs="Arial"/>
          <w:sz w:val="20"/>
          <w:szCs w:val="20"/>
        </w:rPr>
        <w:t xml:space="preserve">. </w:t>
      </w:r>
      <w:r w:rsidRPr="00EE3D69">
        <w:rPr>
          <w:rFonts w:ascii="Arial" w:hAnsi="Arial" w:cs="Arial"/>
          <w:sz w:val="20"/>
          <w:szCs w:val="20"/>
        </w:rPr>
        <w:t>Secondary clinical endpoints were designed to evaluate wound healing outcomes following a single application of the autologous regenerative constructs. These endpoints included longitudinal changes in wound area and wound depth, assessed at predefined follow-up visits using standardized clinical measurement protocols. Clinical severity was further assessed using changes in the Wound, Ischemia, and foot Infection (</w:t>
      </w:r>
      <w:proofErr w:type="spellStart"/>
      <w:r w:rsidRPr="00EE3D69">
        <w:rPr>
          <w:rFonts w:ascii="Arial" w:hAnsi="Arial" w:cs="Arial"/>
          <w:sz w:val="20"/>
          <w:szCs w:val="20"/>
        </w:rPr>
        <w:t>WIfI</w:t>
      </w:r>
      <w:proofErr w:type="spellEnd"/>
      <w:r w:rsidRPr="00EE3D69">
        <w:rPr>
          <w:rFonts w:ascii="Arial" w:hAnsi="Arial" w:cs="Arial"/>
          <w:sz w:val="20"/>
          <w:szCs w:val="20"/>
        </w:rPr>
        <w:t>) classification. Limb-related outcomes, including the requirement for extensive surgical debridement or amputation, were recorded throughout the follow-up period.</w:t>
      </w:r>
    </w:p>
    <w:p w14:paraId="6CE3DD7F" w14:textId="77777777" w:rsidR="004C4AAC" w:rsidRPr="00EE3D69" w:rsidRDefault="004C4AAC" w:rsidP="00360B8A">
      <w:pPr>
        <w:rPr>
          <w:rFonts w:ascii="Arial" w:hAnsi="Arial" w:cs="Arial"/>
          <w:sz w:val="20"/>
          <w:szCs w:val="20"/>
        </w:rPr>
      </w:pPr>
    </w:p>
    <w:p w14:paraId="0D954E4B" w14:textId="77777777" w:rsidR="00074309" w:rsidRPr="00EE3D69" w:rsidRDefault="007C4B09" w:rsidP="00360B8A">
      <w:pPr>
        <w:rPr>
          <w:rFonts w:ascii="Arial" w:hAnsi="Arial" w:cs="Arial"/>
          <w:sz w:val="20"/>
          <w:szCs w:val="20"/>
        </w:rPr>
      </w:pPr>
      <w:r w:rsidRPr="00EE3D69">
        <w:rPr>
          <w:rFonts w:ascii="Arial" w:hAnsi="Arial" w:cs="Arial"/>
          <w:b/>
          <w:bCs/>
          <w:sz w:val="20"/>
          <w:szCs w:val="20"/>
        </w:rPr>
        <w:t>S3.3 Secondary biological endpoints</w:t>
      </w:r>
      <w:r w:rsidR="00531DB7">
        <w:rPr>
          <w:rFonts w:ascii="Arial" w:hAnsi="Arial" w:cs="Arial"/>
          <w:sz w:val="20"/>
          <w:szCs w:val="20"/>
        </w:rPr>
        <w:t xml:space="preserve">. </w:t>
      </w:r>
      <w:r w:rsidRPr="00EE3D69">
        <w:rPr>
          <w:rFonts w:ascii="Arial" w:hAnsi="Arial" w:cs="Arial"/>
          <w:sz w:val="20"/>
          <w:szCs w:val="20"/>
        </w:rPr>
        <w:t>Secondary biological endpoints focused on characterizing the cellular and molecular features of the in vivo–assembled regenerative constructs. Histological endpoints included the presence and spatial organization of heterogeneous cell populations, extracellular matrix components, and vascular structures consistent with a multicellular regenerative niche. Molecular endpoints were defined by transcriptomic profiles indicative of regenerative signaling pathways, including genes associated with angiogenesis, immune modulation, extracellular matrix remodeling, and growth factor signaling. These biological endpoints were evaluated using excised constructs obtained at the time of clinical application.</w:t>
      </w:r>
    </w:p>
    <w:p w14:paraId="1C2D4281" w14:textId="77777777" w:rsidR="004C4AAC" w:rsidRPr="00EE3D69" w:rsidRDefault="004C4AAC" w:rsidP="00360B8A">
      <w:pPr>
        <w:rPr>
          <w:rFonts w:ascii="Arial" w:hAnsi="Arial" w:cs="Arial"/>
          <w:sz w:val="20"/>
          <w:szCs w:val="20"/>
        </w:rPr>
      </w:pPr>
    </w:p>
    <w:p w14:paraId="17EED183" w14:textId="77777777" w:rsidR="00074309" w:rsidRPr="00EE3D69" w:rsidRDefault="007C4B09" w:rsidP="00360B8A">
      <w:pPr>
        <w:rPr>
          <w:rFonts w:ascii="Arial" w:hAnsi="Arial" w:cs="Arial"/>
          <w:sz w:val="20"/>
          <w:szCs w:val="20"/>
        </w:rPr>
      </w:pPr>
      <w:r w:rsidRPr="00EE3D69">
        <w:rPr>
          <w:rFonts w:ascii="Arial" w:hAnsi="Arial" w:cs="Arial"/>
          <w:b/>
          <w:bCs/>
          <w:sz w:val="20"/>
          <w:szCs w:val="20"/>
        </w:rPr>
        <w:t>S3.4 Safety endpoints</w:t>
      </w:r>
      <w:r w:rsidR="00531DB7">
        <w:rPr>
          <w:rFonts w:ascii="Arial" w:hAnsi="Arial" w:cs="Arial"/>
          <w:sz w:val="20"/>
          <w:szCs w:val="20"/>
        </w:rPr>
        <w:t xml:space="preserve">. </w:t>
      </w:r>
      <w:r w:rsidRPr="00EE3D69">
        <w:rPr>
          <w:rFonts w:ascii="Arial" w:hAnsi="Arial" w:cs="Arial"/>
          <w:sz w:val="20"/>
          <w:szCs w:val="20"/>
        </w:rPr>
        <w:t>Safety endpoints included the incidence and severity of adverse events occurring during the subcutaneous implantation period and during the 12-week follow-up after construct application. Adverse events were classified as serious or non-serious according to predefined criteria and were further categorized as device-related, procedure-related, or unrelated to the investigational intervention. All serious adverse events and deaths were reviewed for potential causality by the study investigators.</w:t>
      </w:r>
    </w:p>
    <w:p w14:paraId="12E14BC5" w14:textId="77777777" w:rsidR="004C4AAC" w:rsidRPr="00EE3D69" w:rsidRDefault="004C4AAC" w:rsidP="00360B8A">
      <w:pPr>
        <w:rPr>
          <w:rFonts w:ascii="Arial" w:hAnsi="Arial" w:cs="Arial"/>
          <w:sz w:val="20"/>
          <w:szCs w:val="20"/>
        </w:rPr>
      </w:pPr>
    </w:p>
    <w:p w14:paraId="4B7500C5" w14:textId="77777777" w:rsidR="00074309" w:rsidRPr="00EE3D69" w:rsidRDefault="007C4B09" w:rsidP="00360B8A">
      <w:pPr>
        <w:rPr>
          <w:rFonts w:ascii="Arial" w:hAnsi="Arial" w:cs="Arial"/>
          <w:sz w:val="20"/>
          <w:szCs w:val="20"/>
        </w:rPr>
      </w:pPr>
      <w:r w:rsidRPr="00EE3D69">
        <w:rPr>
          <w:rFonts w:ascii="Arial" w:hAnsi="Arial" w:cs="Arial"/>
          <w:b/>
          <w:bCs/>
          <w:sz w:val="20"/>
          <w:szCs w:val="20"/>
        </w:rPr>
        <w:lastRenderedPageBreak/>
        <w:t>S3.5 Exploratory endpoints</w:t>
      </w:r>
      <w:r w:rsidR="00A00A12">
        <w:rPr>
          <w:rFonts w:ascii="Arial" w:hAnsi="Arial" w:cs="Arial"/>
          <w:sz w:val="20"/>
          <w:szCs w:val="20"/>
        </w:rPr>
        <w:t xml:space="preserve">. </w:t>
      </w:r>
      <w:r w:rsidRPr="00EE3D69">
        <w:rPr>
          <w:rFonts w:ascii="Arial" w:hAnsi="Arial" w:cs="Arial"/>
          <w:sz w:val="20"/>
          <w:szCs w:val="20"/>
        </w:rPr>
        <w:t>Exploratory endpoints were prespecified to assess potential associations between clinical outcomes and biological characteristics of the regenerative constructs. These included correlative analyses between wound healing trajectories and histological or transcriptomic features of the constructs. Exploratory endpoints were intended to generate hypotheses regarding mechanisms of action and were not used to draw definitive conclusions regarding efficacy.</w:t>
      </w:r>
    </w:p>
    <w:p w14:paraId="10F95EE0" w14:textId="77777777" w:rsidR="004C4AAC" w:rsidRPr="00EE3D69" w:rsidRDefault="004C4AAC" w:rsidP="00360B8A">
      <w:pPr>
        <w:rPr>
          <w:rFonts w:ascii="Arial" w:hAnsi="Arial" w:cs="Arial"/>
          <w:sz w:val="20"/>
          <w:szCs w:val="20"/>
        </w:rPr>
      </w:pPr>
    </w:p>
    <w:p w14:paraId="62AB6EC4" w14:textId="77777777" w:rsidR="00074309" w:rsidRPr="00EE3D69" w:rsidRDefault="007C4B09" w:rsidP="00360B8A">
      <w:pPr>
        <w:rPr>
          <w:rFonts w:ascii="Arial" w:hAnsi="Arial" w:cs="Arial"/>
          <w:b/>
          <w:bCs/>
          <w:sz w:val="20"/>
          <w:szCs w:val="20"/>
        </w:rPr>
      </w:pPr>
      <w:r w:rsidRPr="00EE3D69">
        <w:rPr>
          <w:rFonts w:ascii="Arial" w:hAnsi="Arial" w:cs="Arial"/>
          <w:b/>
          <w:bCs/>
          <w:sz w:val="20"/>
          <w:szCs w:val="20"/>
        </w:rPr>
        <w:t>S4. In-body tissue architecture device and implantation procedure</w:t>
      </w:r>
    </w:p>
    <w:p w14:paraId="58CD091D" w14:textId="50045868" w:rsidR="00074309" w:rsidRPr="00EE3D69" w:rsidRDefault="007C4B09" w:rsidP="00360B8A">
      <w:pPr>
        <w:rPr>
          <w:rFonts w:ascii="Arial" w:hAnsi="Arial" w:cs="Arial"/>
          <w:sz w:val="20"/>
          <w:szCs w:val="20"/>
        </w:rPr>
      </w:pPr>
      <w:r w:rsidRPr="00EE3D69">
        <w:rPr>
          <w:rFonts w:ascii="Arial" w:hAnsi="Arial" w:cs="Arial"/>
          <w:b/>
          <w:bCs/>
          <w:sz w:val="20"/>
          <w:szCs w:val="20"/>
        </w:rPr>
        <w:t>S4.1 Device structure and materials</w:t>
      </w:r>
      <w:r w:rsidR="00A00A12">
        <w:rPr>
          <w:rFonts w:ascii="Arial" w:hAnsi="Arial" w:cs="Arial"/>
          <w:sz w:val="20"/>
          <w:szCs w:val="20"/>
        </w:rPr>
        <w:t xml:space="preserve">. </w:t>
      </w:r>
      <w:r w:rsidRPr="00EE3D69">
        <w:rPr>
          <w:rFonts w:ascii="Arial" w:hAnsi="Arial" w:cs="Arial"/>
          <w:sz w:val="20"/>
          <w:szCs w:val="20"/>
        </w:rPr>
        <w:t xml:space="preserve">The investigational device </w:t>
      </w:r>
      <w:r w:rsidRPr="00EE3D69">
        <w:rPr>
          <w:rFonts w:ascii="Arial" w:hAnsi="Arial" w:cs="Arial"/>
          <w:b/>
          <w:bCs/>
          <w:sz w:val="20"/>
          <w:szCs w:val="20"/>
        </w:rPr>
        <w:t>BSM1</w:t>
      </w:r>
      <w:r w:rsidRPr="00EE3D69">
        <w:rPr>
          <w:rFonts w:ascii="Arial" w:hAnsi="Arial" w:cs="Arial"/>
          <w:sz w:val="20"/>
          <w:szCs w:val="20"/>
        </w:rPr>
        <w:t xml:space="preserve"> is composed of an elliptic porous stainless-steel outer cylinder (25 × 13 × 60 mm), a polyolefin</w:t>
      </w:r>
      <w:r w:rsidR="002C75CF">
        <w:rPr>
          <w:rFonts w:ascii="Arial" w:hAnsi="Arial" w:cs="Arial" w:hint="eastAsia"/>
          <w:sz w:val="20"/>
          <w:szCs w:val="20"/>
        </w:rPr>
        <w:t xml:space="preserve"> resin</w:t>
      </w:r>
      <w:r w:rsidRPr="00EE3D69">
        <w:rPr>
          <w:rFonts w:ascii="Arial" w:hAnsi="Arial" w:cs="Arial"/>
          <w:sz w:val="20"/>
          <w:szCs w:val="20"/>
        </w:rPr>
        <w:t>-based plastic central plate positioned within the cylinder, and two lids. No cells or bioactive agents are incorporated into the device prior to implantation.</w:t>
      </w:r>
    </w:p>
    <w:p w14:paraId="0631A16C" w14:textId="77777777" w:rsidR="004C4AAC" w:rsidRPr="00EE3D69" w:rsidRDefault="004C4AAC" w:rsidP="00360B8A">
      <w:pPr>
        <w:rPr>
          <w:rFonts w:ascii="Arial" w:hAnsi="Arial" w:cs="Arial"/>
          <w:sz w:val="20"/>
          <w:szCs w:val="20"/>
        </w:rPr>
      </w:pPr>
    </w:p>
    <w:p w14:paraId="516C813F" w14:textId="099202FD" w:rsidR="00074309" w:rsidRPr="00EE3D69" w:rsidRDefault="007C4B09" w:rsidP="00360B8A">
      <w:pPr>
        <w:rPr>
          <w:rFonts w:ascii="Arial" w:hAnsi="Arial" w:cs="Arial"/>
          <w:sz w:val="20"/>
          <w:szCs w:val="20"/>
        </w:rPr>
      </w:pPr>
      <w:r w:rsidRPr="00EE3D69">
        <w:rPr>
          <w:rFonts w:ascii="Arial" w:hAnsi="Arial" w:cs="Arial"/>
          <w:b/>
          <w:bCs/>
          <w:sz w:val="20"/>
          <w:szCs w:val="20"/>
        </w:rPr>
        <w:t>S4.2 Subcutaneous implantation protocol</w:t>
      </w:r>
      <w:r w:rsidR="00A00A12">
        <w:rPr>
          <w:rFonts w:ascii="Arial" w:hAnsi="Arial" w:cs="Arial"/>
          <w:sz w:val="20"/>
          <w:szCs w:val="20"/>
        </w:rPr>
        <w:t xml:space="preserve">. </w:t>
      </w:r>
      <w:r w:rsidRPr="00EE3D69">
        <w:rPr>
          <w:rFonts w:ascii="Arial" w:hAnsi="Arial" w:cs="Arial"/>
          <w:sz w:val="20"/>
          <w:szCs w:val="20"/>
        </w:rPr>
        <w:t>Under general anesthesia, two to four BSM1 devices were implanted subcutaneously by creating pockets in the abdominal or thoracic region. The implantation sites were selected based on anatomical suitability and surgical accessibility. After placement, the devices were secured within the subcutaneous pockets and the incisions were closed according to standard surgical practice.</w:t>
      </w:r>
    </w:p>
    <w:p w14:paraId="261063A1" w14:textId="77777777" w:rsidR="004C4AAC" w:rsidRPr="00EE3D69" w:rsidRDefault="004C4AAC" w:rsidP="00360B8A">
      <w:pPr>
        <w:rPr>
          <w:rFonts w:ascii="Arial" w:hAnsi="Arial" w:cs="Arial"/>
          <w:sz w:val="20"/>
          <w:szCs w:val="20"/>
        </w:rPr>
      </w:pPr>
    </w:p>
    <w:p w14:paraId="0CB9B912" w14:textId="77777777" w:rsidR="00074309" w:rsidRPr="00EE3D69" w:rsidRDefault="007C4B09" w:rsidP="00360B8A">
      <w:pPr>
        <w:rPr>
          <w:rFonts w:ascii="Arial" w:hAnsi="Arial" w:cs="Arial"/>
          <w:sz w:val="20"/>
          <w:szCs w:val="20"/>
        </w:rPr>
      </w:pPr>
      <w:r w:rsidRPr="00EE3D69">
        <w:rPr>
          <w:rFonts w:ascii="Arial" w:hAnsi="Arial" w:cs="Arial"/>
          <w:b/>
          <w:bCs/>
          <w:sz w:val="20"/>
          <w:szCs w:val="20"/>
        </w:rPr>
        <w:t>S4.3 In vivo assembly period and monitoring</w:t>
      </w:r>
      <w:r w:rsidR="00A00A12">
        <w:rPr>
          <w:rFonts w:ascii="Arial" w:hAnsi="Arial" w:cs="Arial"/>
          <w:sz w:val="20"/>
          <w:szCs w:val="20"/>
        </w:rPr>
        <w:t xml:space="preserve">. </w:t>
      </w:r>
      <w:proofErr w:type="spellStart"/>
      <w:r w:rsidRPr="00EE3D69">
        <w:rPr>
          <w:rFonts w:ascii="Arial" w:hAnsi="Arial" w:cs="Arial"/>
          <w:sz w:val="20"/>
          <w:szCs w:val="20"/>
        </w:rPr>
        <w:t>Biococktails</w:t>
      </w:r>
      <w:proofErr w:type="spellEnd"/>
      <w:r w:rsidRPr="00EE3D69">
        <w:rPr>
          <w:rFonts w:ascii="Arial" w:hAnsi="Arial" w:cs="Arial"/>
          <w:sz w:val="20"/>
          <w:szCs w:val="20"/>
        </w:rPr>
        <w:t xml:space="preserve"> were generated by subcutaneous embedding of the BSM1 devices for a period of 3 weeks. During the implantation period, the implantation sites were monitored by visual inspection and ultrasonography to assess local tissue responses, including hematoma formation, fluid accumulation or exudation, skin impairment, and signs of allergic or inflammatory reactions.</w:t>
      </w:r>
    </w:p>
    <w:p w14:paraId="1C2DB8B5" w14:textId="77777777" w:rsidR="004C4AAC" w:rsidRPr="00EE3D69" w:rsidRDefault="004C4AAC" w:rsidP="00360B8A">
      <w:pPr>
        <w:rPr>
          <w:rFonts w:ascii="Arial" w:hAnsi="Arial" w:cs="Arial"/>
          <w:sz w:val="20"/>
          <w:szCs w:val="20"/>
        </w:rPr>
      </w:pPr>
    </w:p>
    <w:p w14:paraId="59DD8962" w14:textId="77777777" w:rsidR="00074309" w:rsidRPr="00EE3D69" w:rsidRDefault="007C4B09" w:rsidP="00360B8A">
      <w:pPr>
        <w:rPr>
          <w:rFonts w:ascii="Arial" w:hAnsi="Arial" w:cs="Arial"/>
          <w:sz w:val="20"/>
          <w:szCs w:val="20"/>
        </w:rPr>
      </w:pPr>
      <w:r w:rsidRPr="00EE3D69">
        <w:rPr>
          <w:rFonts w:ascii="Arial" w:hAnsi="Arial" w:cs="Arial"/>
          <w:b/>
          <w:bCs/>
          <w:sz w:val="20"/>
          <w:szCs w:val="20"/>
        </w:rPr>
        <w:t>S4.4 Harvesting procedure and handling</w:t>
      </w:r>
      <w:r w:rsidR="00A00A12">
        <w:rPr>
          <w:rFonts w:ascii="Arial" w:hAnsi="Arial" w:cs="Arial"/>
          <w:sz w:val="20"/>
          <w:szCs w:val="20"/>
        </w:rPr>
        <w:t xml:space="preserve">. </w:t>
      </w:r>
      <w:r w:rsidRPr="00EE3D69">
        <w:rPr>
          <w:rFonts w:ascii="Arial" w:hAnsi="Arial" w:cs="Arial"/>
          <w:sz w:val="20"/>
          <w:szCs w:val="20"/>
        </w:rPr>
        <w:t xml:space="preserve">After the in vivo assembly period, the BSM1 devices were surgically retrieved under appropriate anesthesia. The regenerated </w:t>
      </w:r>
      <w:proofErr w:type="spellStart"/>
      <w:r w:rsidRPr="00EE3D69">
        <w:rPr>
          <w:rFonts w:ascii="Arial" w:hAnsi="Arial" w:cs="Arial"/>
          <w:sz w:val="20"/>
          <w:szCs w:val="20"/>
        </w:rPr>
        <w:t>biococktails</w:t>
      </w:r>
      <w:proofErr w:type="spellEnd"/>
      <w:r w:rsidRPr="00EE3D69">
        <w:rPr>
          <w:rFonts w:ascii="Arial" w:hAnsi="Arial" w:cs="Arial"/>
          <w:sz w:val="20"/>
          <w:szCs w:val="20"/>
        </w:rPr>
        <w:t xml:space="preserve"> were carefully removed from the devices and visually inspected to confirm macroscopic integrity. Constructs were then handled using sterile technique and processed immediately for clinical application or subsequent histological and molecular analyses, as specified in the study protocol. No additional ex vivo manipulation or culture was performed prior to application.</w:t>
      </w:r>
    </w:p>
    <w:p w14:paraId="39697E23" w14:textId="77777777" w:rsidR="004C4AAC" w:rsidRPr="00EE3D69" w:rsidRDefault="004C4AAC" w:rsidP="00360B8A">
      <w:pPr>
        <w:rPr>
          <w:rFonts w:ascii="Arial" w:hAnsi="Arial" w:cs="Arial"/>
          <w:sz w:val="20"/>
          <w:szCs w:val="20"/>
        </w:rPr>
      </w:pPr>
    </w:p>
    <w:p w14:paraId="625B6AC0" w14:textId="77777777" w:rsidR="00074309" w:rsidRPr="00EE3D69" w:rsidRDefault="007C4B09" w:rsidP="00360B8A">
      <w:pPr>
        <w:rPr>
          <w:rFonts w:ascii="Arial" w:hAnsi="Arial" w:cs="Arial"/>
          <w:sz w:val="20"/>
          <w:szCs w:val="20"/>
        </w:rPr>
      </w:pPr>
      <w:r w:rsidRPr="00EE3D69">
        <w:rPr>
          <w:rFonts w:ascii="Arial" w:hAnsi="Arial" w:cs="Arial"/>
          <w:b/>
          <w:bCs/>
          <w:sz w:val="20"/>
          <w:szCs w:val="20"/>
        </w:rPr>
        <w:t>S4.5 Quality control criteria for regenerative constructs</w:t>
      </w:r>
      <w:r w:rsidR="00A00A12">
        <w:rPr>
          <w:rFonts w:ascii="Arial" w:hAnsi="Arial" w:cs="Arial"/>
          <w:sz w:val="20"/>
          <w:szCs w:val="20"/>
        </w:rPr>
        <w:t xml:space="preserve">. </w:t>
      </w:r>
      <w:r w:rsidRPr="00EE3D69">
        <w:rPr>
          <w:rFonts w:ascii="Arial" w:hAnsi="Arial" w:cs="Arial"/>
          <w:sz w:val="20"/>
          <w:szCs w:val="20"/>
        </w:rPr>
        <w:t xml:space="preserve">Quality control assessments were performed on all regenerated </w:t>
      </w:r>
      <w:proofErr w:type="spellStart"/>
      <w:r w:rsidRPr="00EE3D69">
        <w:rPr>
          <w:rFonts w:ascii="Arial" w:hAnsi="Arial" w:cs="Arial"/>
          <w:sz w:val="20"/>
          <w:szCs w:val="20"/>
        </w:rPr>
        <w:t>biococktails</w:t>
      </w:r>
      <w:proofErr w:type="spellEnd"/>
      <w:r w:rsidRPr="00EE3D69">
        <w:rPr>
          <w:rFonts w:ascii="Arial" w:hAnsi="Arial" w:cs="Arial"/>
          <w:sz w:val="20"/>
          <w:szCs w:val="20"/>
        </w:rPr>
        <w:t xml:space="preserve"> prior to downstream analyses or clinical application. Constructs were first evaluated by macroscopic inspection to confirm structural integrity and the absence of visible contamination or mechanical damage. Constructs that failed to maintain </w:t>
      </w:r>
      <w:r w:rsidRPr="00EE3D69">
        <w:rPr>
          <w:rFonts w:ascii="Arial" w:hAnsi="Arial" w:cs="Arial"/>
          <w:sz w:val="20"/>
          <w:szCs w:val="20"/>
        </w:rPr>
        <w:lastRenderedPageBreak/>
        <w:t>macroscopic integrity were excluded from further evaluation.</w:t>
      </w:r>
    </w:p>
    <w:p w14:paraId="681B336B" w14:textId="77777777" w:rsidR="00074309" w:rsidRPr="00EE3D69" w:rsidRDefault="007C4B09">
      <w:pPr>
        <w:ind w:firstLine="840"/>
        <w:rPr>
          <w:rFonts w:ascii="Arial" w:hAnsi="Arial" w:cs="Arial"/>
          <w:sz w:val="20"/>
          <w:szCs w:val="20"/>
        </w:rPr>
      </w:pPr>
      <w:r w:rsidRPr="00EE3D69">
        <w:rPr>
          <w:rFonts w:ascii="Arial" w:hAnsi="Arial" w:cs="Arial"/>
          <w:sz w:val="20"/>
          <w:szCs w:val="20"/>
        </w:rPr>
        <w:t>In addition, predefined quantitative criteria were applied to ensure consistency across samples. Constructs that did not meet minimum weight requirements were classified as non-evaluable and were excluded from histological and molecular analyses. Quality control criteria were applied uniformly across all cases and were defined prior to study initiation.</w:t>
      </w:r>
    </w:p>
    <w:p w14:paraId="318A77F0" w14:textId="77777777" w:rsidR="004C4AAC" w:rsidRPr="00EE3D69" w:rsidRDefault="004C4AAC" w:rsidP="00360B8A">
      <w:pPr>
        <w:rPr>
          <w:rFonts w:ascii="Arial" w:hAnsi="Arial" w:cs="Arial"/>
          <w:sz w:val="20"/>
          <w:szCs w:val="20"/>
        </w:rPr>
      </w:pPr>
    </w:p>
    <w:p w14:paraId="769090BF" w14:textId="77777777" w:rsidR="00074309" w:rsidRPr="00EE3D69" w:rsidRDefault="007C4B09" w:rsidP="00360B8A">
      <w:pPr>
        <w:rPr>
          <w:rFonts w:ascii="Arial" w:hAnsi="Arial" w:cs="Arial"/>
          <w:b/>
          <w:bCs/>
          <w:sz w:val="20"/>
          <w:szCs w:val="20"/>
        </w:rPr>
      </w:pPr>
      <w:r w:rsidRPr="00EE3D69">
        <w:rPr>
          <w:rFonts w:ascii="Arial" w:hAnsi="Arial" w:cs="Arial"/>
          <w:b/>
          <w:bCs/>
          <w:sz w:val="20"/>
          <w:szCs w:val="20"/>
        </w:rPr>
        <w:t>S5. Application of regenerative constructs to wound sites</w:t>
      </w:r>
    </w:p>
    <w:p w14:paraId="655A6BE1" w14:textId="77777777" w:rsidR="00074309" w:rsidRPr="00EE3D69" w:rsidRDefault="007C4B09" w:rsidP="00360B8A">
      <w:pPr>
        <w:rPr>
          <w:rFonts w:ascii="Arial" w:hAnsi="Arial" w:cs="Arial"/>
          <w:sz w:val="20"/>
          <w:szCs w:val="20"/>
        </w:rPr>
      </w:pPr>
      <w:r w:rsidRPr="00EE3D69">
        <w:rPr>
          <w:rFonts w:ascii="Arial" w:hAnsi="Arial" w:cs="Arial"/>
          <w:b/>
          <w:bCs/>
          <w:sz w:val="20"/>
          <w:szCs w:val="20"/>
        </w:rPr>
        <w:t>S5.1 Wound bed preparation and debridement</w:t>
      </w:r>
      <w:r w:rsidR="00A00A12">
        <w:rPr>
          <w:rFonts w:ascii="Arial" w:hAnsi="Arial" w:cs="Arial"/>
          <w:sz w:val="20"/>
          <w:szCs w:val="20"/>
        </w:rPr>
        <w:t xml:space="preserve">. </w:t>
      </w:r>
      <w:r w:rsidRPr="00EE3D69">
        <w:rPr>
          <w:rFonts w:ascii="Arial" w:hAnsi="Arial" w:cs="Arial"/>
          <w:sz w:val="20"/>
          <w:szCs w:val="20"/>
        </w:rPr>
        <w:t xml:space="preserve">Prior to application of the regenerated </w:t>
      </w:r>
      <w:proofErr w:type="spellStart"/>
      <w:r w:rsidRPr="00EE3D69">
        <w:rPr>
          <w:rFonts w:ascii="Arial" w:hAnsi="Arial" w:cs="Arial"/>
          <w:sz w:val="20"/>
          <w:szCs w:val="20"/>
        </w:rPr>
        <w:t>biococktails</w:t>
      </w:r>
      <w:proofErr w:type="spellEnd"/>
      <w:r w:rsidRPr="00EE3D69">
        <w:rPr>
          <w:rFonts w:ascii="Arial" w:hAnsi="Arial" w:cs="Arial"/>
          <w:sz w:val="20"/>
          <w:szCs w:val="20"/>
        </w:rPr>
        <w:t>, the wound bed was prepared according to standard surgical and wound care principles. Non-viable tissue was removed through sharp debridement to achieve a clean, well-vascularized wound surface. Hemostasis was achieved before placement of the construct. No additional biologically active agents were applied to the wound bed immediately prior to construct placement.</w:t>
      </w:r>
    </w:p>
    <w:p w14:paraId="56A9C1B6" w14:textId="77777777" w:rsidR="004C4AAC" w:rsidRPr="00EE3D69" w:rsidRDefault="004C4AAC" w:rsidP="00360B8A">
      <w:pPr>
        <w:rPr>
          <w:rFonts w:ascii="Arial" w:hAnsi="Arial" w:cs="Arial"/>
          <w:sz w:val="20"/>
          <w:szCs w:val="20"/>
        </w:rPr>
      </w:pPr>
    </w:p>
    <w:p w14:paraId="141F8F6D" w14:textId="77777777" w:rsidR="00074309" w:rsidRPr="00EE3D69" w:rsidRDefault="007C4B09" w:rsidP="00360B8A">
      <w:pPr>
        <w:rPr>
          <w:rFonts w:ascii="Arial" w:hAnsi="Arial" w:cs="Arial"/>
          <w:sz w:val="20"/>
          <w:szCs w:val="20"/>
        </w:rPr>
      </w:pPr>
      <w:r w:rsidRPr="00EE3D69">
        <w:rPr>
          <w:rFonts w:ascii="Arial" w:hAnsi="Arial" w:cs="Arial"/>
          <w:b/>
          <w:bCs/>
          <w:sz w:val="20"/>
          <w:szCs w:val="20"/>
        </w:rPr>
        <w:t>S5.2 Placement and fixation of constructs</w:t>
      </w:r>
      <w:r w:rsidR="00A00A12">
        <w:rPr>
          <w:rFonts w:ascii="Arial" w:hAnsi="Arial" w:cs="Arial"/>
          <w:sz w:val="20"/>
          <w:szCs w:val="20"/>
        </w:rPr>
        <w:t xml:space="preserve">. </w:t>
      </w:r>
      <w:r w:rsidRPr="00EE3D69">
        <w:rPr>
          <w:rFonts w:ascii="Arial" w:hAnsi="Arial" w:cs="Arial"/>
          <w:sz w:val="20"/>
          <w:szCs w:val="20"/>
        </w:rPr>
        <w:t xml:space="preserve">The regenerated </w:t>
      </w:r>
      <w:proofErr w:type="spellStart"/>
      <w:r w:rsidRPr="00EE3D69">
        <w:rPr>
          <w:rFonts w:ascii="Arial" w:hAnsi="Arial" w:cs="Arial"/>
          <w:sz w:val="20"/>
          <w:szCs w:val="20"/>
        </w:rPr>
        <w:t>biococktails</w:t>
      </w:r>
      <w:proofErr w:type="spellEnd"/>
      <w:r w:rsidRPr="00EE3D69">
        <w:rPr>
          <w:rFonts w:ascii="Arial" w:hAnsi="Arial" w:cs="Arial"/>
          <w:sz w:val="20"/>
          <w:szCs w:val="20"/>
        </w:rPr>
        <w:t xml:space="preserve"> were applied directly to the prepared wound surface in a single procedure. Constructs were positioned to achieve full coverage of the target wound area. When necessary, constructs were secured using standard surgical fixation techniques appropriate for the wound location. No ex vivo modification, expansion, or supplementation of the constructs was performed prior to placement.</w:t>
      </w:r>
    </w:p>
    <w:p w14:paraId="38B6B4A4" w14:textId="77777777" w:rsidR="004C4AAC" w:rsidRPr="00EE3D69" w:rsidRDefault="004C4AAC" w:rsidP="00360B8A">
      <w:pPr>
        <w:rPr>
          <w:rFonts w:ascii="Arial" w:hAnsi="Arial" w:cs="Arial"/>
          <w:sz w:val="20"/>
          <w:szCs w:val="20"/>
        </w:rPr>
      </w:pPr>
    </w:p>
    <w:p w14:paraId="0D3B22DD" w14:textId="77777777" w:rsidR="00074309" w:rsidRPr="00EE3D69" w:rsidRDefault="007C4B09" w:rsidP="00360B8A">
      <w:pPr>
        <w:rPr>
          <w:rFonts w:ascii="Arial" w:hAnsi="Arial" w:cs="Arial"/>
          <w:sz w:val="20"/>
          <w:szCs w:val="20"/>
        </w:rPr>
      </w:pPr>
      <w:r w:rsidRPr="00EE3D69">
        <w:rPr>
          <w:rFonts w:ascii="Arial" w:hAnsi="Arial" w:cs="Arial"/>
          <w:b/>
          <w:bCs/>
          <w:sz w:val="20"/>
          <w:szCs w:val="20"/>
        </w:rPr>
        <w:t>S5.3 Post-application wound management</w:t>
      </w:r>
      <w:r w:rsidR="00A00A12">
        <w:rPr>
          <w:rFonts w:ascii="Arial" w:hAnsi="Arial" w:cs="Arial"/>
          <w:sz w:val="20"/>
          <w:szCs w:val="20"/>
        </w:rPr>
        <w:t xml:space="preserve">. </w:t>
      </w:r>
      <w:r w:rsidRPr="00EE3D69">
        <w:rPr>
          <w:rFonts w:ascii="Arial" w:hAnsi="Arial" w:cs="Arial"/>
          <w:sz w:val="20"/>
          <w:szCs w:val="20"/>
        </w:rPr>
        <w:t>Following application, wounds were managed according to institutional standard care protocols. Protective dressings were applied to maintain a moist wound environment and to prevent mechanical displacement of the construct. Wound sites were monitored at scheduled follow-up visits for signs of infection, inflammation, or graft displacement.</w:t>
      </w:r>
    </w:p>
    <w:p w14:paraId="3D368CA6" w14:textId="77777777" w:rsidR="004C4AAC" w:rsidRPr="00EE3D69" w:rsidRDefault="004C4AAC" w:rsidP="00360B8A">
      <w:pPr>
        <w:rPr>
          <w:rFonts w:ascii="Arial" w:hAnsi="Arial" w:cs="Arial"/>
          <w:sz w:val="20"/>
          <w:szCs w:val="20"/>
        </w:rPr>
      </w:pPr>
    </w:p>
    <w:p w14:paraId="32793CB6" w14:textId="77777777" w:rsidR="00074309" w:rsidRPr="00EE3D69" w:rsidRDefault="007C4B09" w:rsidP="00360B8A">
      <w:pPr>
        <w:rPr>
          <w:rFonts w:ascii="Arial" w:hAnsi="Arial" w:cs="Arial"/>
          <w:sz w:val="20"/>
          <w:szCs w:val="20"/>
        </w:rPr>
      </w:pPr>
      <w:r w:rsidRPr="00EE3D69">
        <w:rPr>
          <w:rFonts w:ascii="Arial" w:hAnsi="Arial" w:cs="Arial"/>
          <w:b/>
          <w:bCs/>
          <w:sz w:val="20"/>
          <w:szCs w:val="20"/>
        </w:rPr>
        <w:t>S5.4 Offloading and standard care protocols</w:t>
      </w:r>
      <w:r w:rsidR="00A00A12">
        <w:rPr>
          <w:rFonts w:ascii="Arial" w:hAnsi="Arial" w:cs="Arial"/>
          <w:sz w:val="20"/>
          <w:szCs w:val="20"/>
        </w:rPr>
        <w:t xml:space="preserve">. </w:t>
      </w:r>
      <w:r w:rsidRPr="00EE3D69">
        <w:rPr>
          <w:rFonts w:ascii="Arial" w:hAnsi="Arial" w:cs="Arial"/>
          <w:sz w:val="20"/>
          <w:szCs w:val="20"/>
        </w:rPr>
        <w:t>Appropriate offloading strategies were implemented for all patients, tailored to ulcer location and patient mobility. Standard care measures included glycemic control optimization, vascular assessment and management when indicated, and infection control according to clinical guidelines. No additional regenerative therapies were administered during the predefined 12-week follow-up period.</w:t>
      </w:r>
    </w:p>
    <w:p w14:paraId="6BC579DD" w14:textId="77777777" w:rsidR="004C4AAC" w:rsidRPr="00EE3D69" w:rsidRDefault="004C4AAC" w:rsidP="00360B8A">
      <w:pPr>
        <w:rPr>
          <w:rFonts w:ascii="Arial" w:hAnsi="Arial" w:cs="Arial"/>
          <w:sz w:val="20"/>
          <w:szCs w:val="20"/>
        </w:rPr>
      </w:pPr>
    </w:p>
    <w:p w14:paraId="701AD327" w14:textId="77777777" w:rsidR="00074309" w:rsidRPr="00EE3D69" w:rsidRDefault="007C4B09" w:rsidP="00360B8A">
      <w:pPr>
        <w:rPr>
          <w:rFonts w:ascii="Arial" w:hAnsi="Arial" w:cs="Arial"/>
          <w:b/>
          <w:bCs/>
          <w:sz w:val="20"/>
          <w:szCs w:val="20"/>
        </w:rPr>
      </w:pPr>
      <w:r w:rsidRPr="00EE3D69">
        <w:rPr>
          <w:rFonts w:ascii="Arial" w:hAnsi="Arial" w:cs="Arial"/>
          <w:b/>
          <w:bCs/>
          <w:sz w:val="20"/>
          <w:szCs w:val="20"/>
        </w:rPr>
        <w:t>S6. Safety monitoring and adverse event classification</w:t>
      </w:r>
    </w:p>
    <w:p w14:paraId="7AEBC780" w14:textId="77777777" w:rsidR="00074309" w:rsidRPr="00EE3D69" w:rsidRDefault="007C4B09" w:rsidP="00360B8A">
      <w:pPr>
        <w:rPr>
          <w:rFonts w:ascii="Arial" w:hAnsi="Arial" w:cs="Arial"/>
          <w:sz w:val="20"/>
          <w:szCs w:val="20"/>
        </w:rPr>
      </w:pPr>
      <w:r w:rsidRPr="00EE3D69">
        <w:rPr>
          <w:rFonts w:ascii="Arial" w:hAnsi="Arial" w:cs="Arial"/>
          <w:b/>
          <w:bCs/>
          <w:sz w:val="20"/>
          <w:szCs w:val="20"/>
        </w:rPr>
        <w:t>S6.1 Definitions of adverse events and serious adverse events</w:t>
      </w:r>
      <w:r w:rsidR="00A00A12">
        <w:rPr>
          <w:rFonts w:ascii="Arial" w:hAnsi="Arial" w:cs="Arial"/>
          <w:sz w:val="20"/>
          <w:szCs w:val="20"/>
        </w:rPr>
        <w:t xml:space="preserve">. </w:t>
      </w:r>
      <w:r w:rsidRPr="00EE3D69">
        <w:rPr>
          <w:rFonts w:ascii="Arial" w:hAnsi="Arial" w:cs="Arial"/>
          <w:sz w:val="20"/>
          <w:szCs w:val="20"/>
        </w:rPr>
        <w:t xml:space="preserve">An adverse event (AE) was defined as any untoward medical occurrence observed during the study period, regardless of its causal relationship to the investigational procedure or regenerative construct. A serious adverse </w:t>
      </w:r>
      <w:r w:rsidRPr="00EE3D69">
        <w:rPr>
          <w:rFonts w:ascii="Arial" w:hAnsi="Arial" w:cs="Arial"/>
          <w:sz w:val="20"/>
          <w:szCs w:val="20"/>
        </w:rPr>
        <w:lastRenderedPageBreak/>
        <w:t>event (SAE) was defined in accordance with international clinical research standards and included events resulting in death, life-threatening conditions, hospitalization or prolongation of hospitalization, persistent or significant disability, or other medically significant conditions.</w:t>
      </w:r>
    </w:p>
    <w:p w14:paraId="03C4AA36" w14:textId="77777777" w:rsidR="004C4AAC" w:rsidRPr="00EE3D69" w:rsidRDefault="004C4AAC" w:rsidP="00360B8A">
      <w:pPr>
        <w:rPr>
          <w:rFonts w:ascii="Arial" w:hAnsi="Arial" w:cs="Arial"/>
          <w:sz w:val="20"/>
          <w:szCs w:val="20"/>
        </w:rPr>
      </w:pPr>
    </w:p>
    <w:p w14:paraId="48AE779F" w14:textId="77777777" w:rsidR="00074309" w:rsidRPr="00EE3D69" w:rsidRDefault="007C4B09" w:rsidP="00360B8A">
      <w:pPr>
        <w:rPr>
          <w:rFonts w:ascii="Arial" w:hAnsi="Arial" w:cs="Arial"/>
          <w:sz w:val="20"/>
          <w:szCs w:val="20"/>
        </w:rPr>
      </w:pPr>
      <w:r w:rsidRPr="00EE3D69">
        <w:rPr>
          <w:rFonts w:ascii="Arial" w:hAnsi="Arial" w:cs="Arial"/>
          <w:b/>
          <w:bCs/>
          <w:sz w:val="20"/>
          <w:szCs w:val="20"/>
        </w:rPr>
        <w:t>S6.2 Device-related and procedure-related event definitions</w:t>
      </w:r>
      <w:r w:rsidR="009B6AC4">
        <w:rPr>
          <w:rFonts w:ascii="Arial" w:hAnsi="Arial" w:cs="Arial"/>
          <w:sz w:val="20"/>
          <w:szCs w:val="20"/>
        </w:rPr>
        <w:t xml:space="preserve">. </w:t>
      </w:r>
      <w:r w:rsidRPr="00EE3D69">
        <w:rPr>
          <w:rFonts w:ascii="Arial" w:hAnsi="Arial" w:cs="Arial"/>
          <w:sz w:val="20"/>
          <w:szCs w:val="20"/>
        </w:rPr>
        <w:t>Adverse events were categorized according to their presumed relationship to the investigational intervention.</w:t>
      </w:r>
    </w:p>
    <w:p w14:paraId="682FE0BB" w14:textId="77777777" w:rsidR="00074309" w:rsidRPr="00EE3D69" w:rsidRDefault="007C4B09">
      <w:pPr>
        <w:ind w:firstLine="840"/>
        <w:rPr>
          <w:rFonts w:ascii="Arial" w:hAnsi="Arial" w:cs="Arial"/>
          <w:sz w:val="20"/>
          <w:szCs w:val="20"/>
        </w:rPr>
      </w:pPr>
      <w:r w:rsidRPr="00EE3D69">
        <w:rPr>
          <w:rFonts w:ascii="Arial" w:hAnsi="Arial" w:cs="Arial"/>
          <w:sz w:val="20"/>
          <w:szCs w:val="20"/>
        </w:rPr>
        <w:t>A device-related event was defined as an adverse event directly attributable to the physical properties, materials, or structural integrity of the BSM1 device, independent of the surgical implantation procedure.</w:t>
      </w:r>
    </w:p>
    <w:p w14:paraId="0FCD5B33" w14:textId="77777777" w:rsidR="00074309" w:rsidRPr="00EE3D69" w:rsidRDefault="007C4B09">
      <w:pPr>
        <w:ind w:firstLine="840"/>
        <w:rPr>
          <w:rFonts w:ascii="Arial" w:hAnsi="Arial" w:cs="Arial"/>
          <w:sz w:val="20"/>
          <w:szCs w:val="20"/>
        </w:rPr>
      </w:pPr>
      <w:r w:rsidRPr="00EE3D69">
        <w:rPr>
          <w:rFonts w:ascii="Arial" w:hAnsi="Arial" w:cs="Arial"/>
          <w:sz w:val="20"/>
          <w:szCs w:val="20"/>
        </w:rPr>
        <w:t>A procedure-related event was defined as an adverse event arising from the surgical implantation or retrieval procedure itself, including events associated with anesthesia, incision, pocket creation, or wound closure, but not attributable to the device materials or structure.</w:t>
      </w:r>
    </w:p>
    <w:p w14:paraId="54307144" w14:textId="77777777" w:rsidR="00074309" w:rsidRPr="00EE3D69" w:rsidRDefault="007C4B09">
      <w:pPr>
        <w:ind w:firstLine="840"/>
        <w:rPr>
          <w:rFonts w:ascii="Arial" w:hAnsi="Arial" w:cs="Arial"/>
          <w:sz w:val="20"/>
          <w:szCs w:val="20"/>
        </w:rPr>
      </w:pPr>
      <w:r w:rsidRPr="00EE3D69">
        <w:rPr>
          <w:rFonts w:ascii="Arial" w:hAnsi="Arial" w:cs="Arial"/>
          <w:sz w:val="20"/>
          <w:szCs w:val="20"/>
        </w:rPr>
        <w:t xml:space="preserve">A </w:t>
      </w:r>
      <w:proofErr w:type="spellStart"/>
      <w:r w:rsidRPr="00EE3D69">
        <w:rPr>
          <w:rFonts w:ascii="Arial" w:hAnsi="Arial" w:cs="Arial"/>
          <w:sz w:val="20"/>
          <w:szCs w:val="20"/>
        </w:rPr>
        <w:t>biococktail</w:t>
      </w:r>
      <w:proofErr w:type="spellEnd"/>
      <w:r w:rsidRPr="00EE3D69">
        <w:rPr>
          <w:rFonts w:ascii="Arial" w:hAnsi="Arial" w:cs="Arial"/>
          <w:sz w:val="20"/>
          <w:szCs w:val="20"/>
        </w:rPr>
        <w:t>-related event was defined as an adverse event occurring after application of the regenerated construct and considered potentially related to its biological properties.</w:t>
      </w:r>
    </w:p>
    <w:p w14:paraId="61763151" w14:textId="77777777" w:rsidR="00074309" w:rsidRPr="00EE3D69" w:rsidRDefault="007C4B09">
      <w:pPr>
        <w:ind w:firstLine="840"/>
        <w:rPr>
          <w:rFonts w:ascii="Arial" w:hAnsi="Arial" w:cs="Arial"/>
          <w:sz w:val="20"/>
          <w:szCs w:val="20"/>
        </w:rPr>
      </w:pPr>
      <w:r w:rsidRPr="00EE3D69">
        <w:rPr>
          <w:rFonts w:ascii="Arial" w:hAnsi="Arial" w:cs="Arial"/>
          <w:sz w:val="20"/>
          <w:szCs w:val="20"/>
        </w:rPr>
        <w:t>Events were classified as unrelated when an alternative clinical explanation was identified and no temporal or biological plausibility supported a relationship to the device, procedure, or regenerated construct.</w:t>
      </w:r>
    </w:p>
    <w:p w14:paraId="29F9233F" w14:textId="77777777" w:rsidR="004C4AAC" w:rsidRPr="00EE3D69" w:rsidRDefault="004C4AAC" w:rsidP="00360B8A">
      <w:pPr>
        <w:rPr>
          <w:rFonts w:ascii="Arial" w:hAnsi="Arial" w:cs="Arial"/>
          <w:sz w:val="20"/>
          <w:szCs w:val="20"/>
        </w:rPr>
      </w:pPr>
    </w:p>
    <w:p w14:paraId="0141F267" w14:textId="77777777" w:rsidR="00074309" w:rsidRPr="00EE3D69" w:rsidRDefault="007C4B09" w:rsidP="00360B8A">
      <w:pPr>
        <w:rPr>
          <w:rFonts w:ascii="Arial" w:hAnsi="Arial" w:cs="Arial"/>
          <w:sz w:val="20"/>
          <w:szCs w:val="20"/>
        </w:rPr>
      </w:pPr>
      <w:r w:rsidRPr="00EE3D69">
        <w:rPr>
          <w:rFonts w:ascii="Arial" w:hAnsi="Arial" w:cs="Arial"/>
          <w:b/>
          <w:bCs/>
          <w:sz w:val="20"/>
          <w:szCs w:val="20"/>
        </w:rPr>
        <w:t>S6.3 Safety monitoring during embedding and follow-up</w:t>
      </w:r>
      <w:r w:rsidR="009B6AC4">
        <w:rPr>
          <w:rFonts w:ascii="Arial" w:hAnsi="Arial" w:cs="Arial"/>
          <w:sz w:val="20"/>
          <w:szCs w:val="20"/>
        </w:rPr>
        <w:t xml:space="preserve">. </w:t>
      </w:r>
      <w:r w:rsidRPr="00EE3D69">
        <w:rPr>
          <w:rFonts w:ascii="Arial" w:hAnsi="Arial" w:cs="Arial"/>
          <w:sz w:val="20"/>
          <w:szCs w:val="20"/>
        </w:rPr>
        <w:t xml:space="preserve">Participants were monitored for adverse events throughout the subcutaneous embedding period and for 12 weeks following application of the regenerated </w:t>
      </w:r>
      <w:proofErr w:type="spellStart"/>
      <w:r w:rsidRPr="00EE3D69">
        <w:rPr>
          <w:rFonts w:ascii="Arial" w:hAnsi="Arial" w:cs="Arial"/>
          <w:sz w:val="20"/>
          <w:szCs w:val="20"/>
        </w:rPr>
        <w:t>biococktails</w:t>
      </w:r>
      <w:proofErr w:type="spellEnd"/>
      <w:r w:rsidRPr="00EE3D69">
        <w:rPr>
          <w:rFonts w:ascii="Arial" w:hAnsi="Arial" w:cs="Arial"/>
          <w:sz w:val="20"/>
          <w:szCs w:val="20"/>
        </w:rPr>
        <w:t>. Safety assessments included clinical examination of implantation and wound sites, evaluation of systemic symptoms, and review of laboratory and imaging findings where clinically indicated.</w:t>
      </w:r>
    </w:p>
    <w:p w14:paraId="7CE255E1" w14:textId="77777777" w:rsidR="004C4AAC" w:rsidRPr="00EE3D69" w:rsidRDefault="004C4AAC" w:rsidP="00360B8A">
      <w:pPr>
        <w:rPr>
          <w:rFonts w:ascii="Arial" w:hAnsi="Arial" w:cs="Arial"/>
          <w:sz w:val="20"/>
          <w:szCs w:val="20"/>
        </w:rPr>
      </w:pPr>
    </w:p>
    <w:p w14:paraId="5C37DB1D" w14:textId="77777777" w:rsidR="00074309" w:rsidRPr="00EE3D69" w:rsidRDefault="007C4B09" w:rsidP="00360B8A">
      <w:pPr>
        <w:rPr>
          <w:rFonts w:ascii="Arial" w:hAnsi="Arial" w:cs="Arial"/>
          <w:sz w:val="20"/>
          <w:szCs w:val="20"/>
        </w:rPr>
      </w:pPr>
      <w:r w:rsidRPr="00EE3D69">
        <w:rPr>
          <w:rFonts w:ascii="Arial" w:hAnsi="Arial" w:cs="Arial"/>
          <w:b/>
          <w:bCs/>
          <w:sz w:val="20"/>
          <w:szCs w:val="20"/>
        </w:rPr>
        <w:t>S6.4 Causality assessment</w:t>
      </w:r>
      <w:r w:rsidR="009B6AC4">
        <w:rPr>
          <w:rFonts w:ascii="Arial" w:hAnsi="Arial" w:cs="Arial"/>
          <w:sz w:val="20"/>
          <w:szCs w:val="20"/>
        </w:rPr>
        <w:t xml:space="preserve">. </w:t>
      </w:r>
      <w:r w:rsidRPr="00EE3D69">
        <w:rPr>
          <w:rFonts w:ascii="Arial" w:hAnsi="Arial" w:cs="Arial"/>
          <w:sz w:val="20"/>
          <w:szCs w:val="20"/>
        </w:rPr>
        <w:t xml:space="preserve">All adverse events were reviewed by the study investigators at the time of identification and categorized as device-related, procedure-related, </w:t>
      </w:r>
      <w:proofErr w:type="spellStart"/>
      <w:r w:rsidRPr="00EE3D69">
        <w:rPr>
          <w:rFonts w:ascii="Arial" w:hAnsi="Arial" w:cs="Arial"/>
          <w:sz w:val="20"/>
          <w:szCs w:val="20"/>
        </w:rPr>
        <w:t>biococktail</w:t>
      </w:r>
      <w:proofErr w:type="spellEnd"/>
      <w:r w:rsidRPr="00EE3D69">
        <w:rPr>
          <w:rFonts w:ascii="Arial" w:hAnsi="Arial" w:cs="Arial"/>
          <w:sz w:val="20"/>
          <w:szCs w:val="20"/>
        </w:rPr>
        <w:t>-related, or unrelated to the investigational intervention. Causality determinations were based on temporal association, clinical evaluation, available laboratory and imaging findings, and assessment of alternative etiologies.</w:t>
      </w:r>
    </w:p>
    <w:p w14:paraId="65DDC7F7" w14:textId="77777777" w:rsidR="00074309" w:rsidRPr="00EE3D69" w:rsidRDefault="007C4B09">
      <w:pPr>
        <w:ind w:firstLine="840"/>
        <w:rPr>
          <w:rFonts w:ascii="Arial" w:hAnsi="Arial" w:cs="Arial"/>
          <w:sz w:val="20"/>
          <w:szCs w:val="20"/>
        </w:rPr>
      </w:pPr>
      <w:r w:rsidRPr="00EE3D69">
        <w:rPr>
          <w:rFonts w:ascii="Arial" w:hAnsi="Arial" w:cs="Arial"/>
          <w:sz w:val="20"/>
          <w:szCs w:val="20"/>
        </w:rPr>
        <w:t>Deaths occurring during the predefined safety monitoring period were evaluated for potential relatedness to the investigational procedure or regenerative constructs. In addition, deaths identified during post-protocol clinical follow-up were documented and reviewed for potential association with the investigational intervention.</w:t>
      </w:r>
    </w:p>
    <w:p w14:paraId="416B0209" w14:textId="77777777" w:rsidR="004C4AAC" w:rsidRPr="00EE3D69" w:rsidRDefault="004C4AAC" w:rsidP="00360B8A">
      <w:pPr>
        <w:rPr>
          <w:rFonts w:ascii="Arial" w:hAnsi="Arial" w:cs="Arial"/>
          <w:sz w:val="20"/>
          <w:szCs w:val="20"/>
        </w:rPr>
      </w:pPr>
    </w:p>
    <w:p w14:paraId="1789A7A1" w14:textId="77777777" w:rsidR="00074309" w:rsidRPr="00EE3D69" w:rsidRDefault="007C4B09" w:rsidP="00360B8A">
      <w:pPr>
        <w:rPr>
          <w:rFonts w:ascii="Arial" w:hAnsi="Arial" w:cs="Arial"/>
          <w:sz w:val="20"/>
          <w:szCs w:val="20"/>
        </w:rPr>
      </w:pPr>
      <w:r w:rsidRPr="00EE3D69">
        <w:rPr>
          <w:rFonts w:ascii="Arial" w:hAnsi="Arial" w:cs="Arial"/>
          <w:b/>
          <w:bCs/>
          <w:sz w:val="20"/>
          <w:szCs w:val="20"/>
        </w:rPr>
        <w:t>S6.5 Reporting and oversight</w:t>
      </w:r>
      <w:r w:rsidR="009B6AC4">
        <w:rPr>
          <w:rFonts w:ascii="Arial" w:hAnsi="Arial" w:cs="Arial"/>
          <w:sz w:val="20"/>
          <w:szCs w:val="20"/>
        </w:rPr>
        <w:t xml:space="preserve">. </w:t>
      </w:r>
      <w:r w:rsidRPr="00EE3D69">
        <w:rPr>
          <w:rFonts w:ascii="Arial" w:hAnsi="Arial" w:cs="Arial"/>
          <w:sz w:val="20"/>
          <w:szCs w:val="20"/>
        </w:rPr>
        <w:t xml:space="preserve">Serious adverse events were documented and reported in accordance with institutional and regulatory requirements. Safety data were reviewed periodically </w:t>
      </w:r>
      <w:r w:rsidRPr="00EE3D69">
        <w:rPr>
          <w:rFonts w:ascii="Arial" w:hAnsi="Arial" w:cs="Arial"/>
          <w:sz w:val="20"/>
          <w:szCs w:val="20"/>
        </w:rPr>
        <w:lastRenderedPageBreak/>
        <w:t>to ensure continued appropriateness of study conduct.</w:t>
      </w:r>
    </w:p>
    <w:p w14:paraId="24A2D38F" w14:textId="77777777" w:rsidR="004C4AAC" w:rsidRPr="00EE3D69" w:rsidRDefault="004C4AAC" w:rsidP="00360B8A">
      <w:pPr>
        <w:rPr>
          <w:rFonts w:ascii="Arial" w:hAnsi="Arial" w:cs="Arial"/>
          <w:sz w:val="20"/>
          <w:szCs w:val="20"/>
        </w:rPr>
      </w:pPr>
    </w:p>
    <w:p w14:paraId="16F09452" w14:textId="77777777" w:rsidR="00074309" w:rsidRPr="00EE3D69" w:rsidRDefault="007C4B09" w:rsidP="00360B8A">
      <w:pPr>
        <w:rPr>
          <w:rFonts w:ascii="Arial" w:hAnsi="Arial" w:cs="Arial"/>
          <w:b/>
          <w:bCs/>
          <w:sz w:val="20"/>
          <w:szCs w:val="20"/>
        </w:rPr>
      </w:pPr>
      <w:r w:rsidRPr="00EE3D69">
        <w:rPr>
          <w:rFonts w:ascii="Arial" w:hAnsi="Arial" w:cs="Arial"/>
          <w:b/>
          <w:bCs/>
          <w:sz w:val="20"/>
          <w:szCs w:val="20"/>
        </w:rPr>
        <w:t>S7. Clinical outcome assessments</w:t>
      </w:r>
    </w:p>
    <w:p w14:paraId="38117AA6" w14:textId="77777777" w:rsidR="00074309" w:rsidRPr="00EE3D69" w:rsidRDefault="007C4B09" w:rsidP="00360B8A">
      <w:pPr>
        <w:rPr>
          <w:rFonts w:ascii="Arial" w:hAnsi="Arial" w:cs="Arial"/>
          <w:sz w:val="20"/>
          <w:szCs w:val="20"/>
        </w:rPr>
      </w:pPr>
      <w:r w:rsidRPr="00EE3D69">
        <w:rPr>
          <w:rFonts w:ascii="Arial" w:hAnsi="Arial" w:cs="Arial"/>
          <w:b/>
          <w:bCs/>
          <w:sz w:val="20"/>
          <w:szCs w:val="20"/>
        </w:rPr>
        <w:t>S7.1 Photographic documentation protocol</w:t>
      </w:r>
      <w:r w:rsidR="009B6AC4">
        <w:rPr>
          <w:rFonts w:ascii="Arial" w:hAnsi="Arial" w:cs="Arial"/>
          <w:sz w:val="20"/>
          <w:szCs w:val="20"/>
        </w:rPr>
        <w:t xml:space="preserve">. </w:t>
      </w:r>
      <w:r w:rsidRPr="00EE3D69">
        <w:rPr>
          <w:rFonts w:ascii="Arial" w:hAnsi="Arial" w:cs="Arial"/>
          <w:sz w:val="20"/>
          <w:szCs w:val="20"/>
        </w:rPr>
        <w:t>Standardized digital photographs were obtained at each study visit using consistent camera positioning, lighting conditions, and imaging distance. A measurement scale was included in every image to allow calibrated digital analysis. Images were archived in a secure database and used for longitudinal comparison and, when necessary, independent verification of wound measurements.</w:t>
      </w:r>
    </w:p>
    <w:p w14:paraId="475A357A" w14:textId="77777777" w:rsidR="004C4AAC" w:rsidRPr="00EE3D69" w:rsidRDefault="004C4AAC" w:rsidP="00360B8A">
      <w:pPr>
        <w:rPr>
          <w:rFonts w:ascii="Arial" w:hAnsi="Arial" w:cs="Arial"/>
          <w:sz w:val="20"/>
          <w:szCs w:val="20"/>
        </w:rPr>
      </w:pPr>
    </w:p>
    <w:p w14:paraId="01311B85" w14:textId="77777777" w:rsidR="00074309" w:rsidRPr="00EE3D69" w:rsidRDefault="007C4B09" w:rsidP="00360B8A">
      <w:pPr>
        <w:rPr>
          <w:rFonts w:ascii="Arial" w:hAnsi="Arial" w:cs="Arial"/>
          <w:sz w:val="20"/>
          <w:szCs w:val="20"/>
        </w:rPr>
      </w:pPr>
      <w:r w:rsidRPr="00EE3D69">
        <w:rPr>
          <w:rFonts w:ascii="Arial" w:hAnsi="Arial" w:cs="Arial"/>
          <w:b/>
          <w:bCs/>
          <w:sz w:val="20"/>
          <w:szCs w:val="20"/>
        </w:rPr>
        <w:t>S7.2 Wound area and depth measurement methods</w:t>
      </w:r>
      <w:r w:rsidR="009B6AC4">
        <w:rPr>
          <w:rFonts w:ascii="Arial" w:hAnsi="Arial" w:cs="Arial"/>
          <w:sz w:val="20"/>
          <w:szCs w:val="20"/>
        </w:rPr>
        <w:t xml:space="preserve">. </w:t>
      </w:r>
      <w:r w:rsidRPr="00EE3D69">
        <w:rPr>
          <w:rFonts w:ascii="Arial" w:hAnsi="Arial" w:cs="Arial"/>
          <w:sz w:val="20"/>
          <w:szCs w:val="20"/>
        </w:rPr>
        <w:t>Wound dimensions were assessed at each study visit using standardized digital photographic documentation combined with image-based measurement analysis. All wounds were photographed with a calibrated measurement scale included in the field of view. Maximal length, perpendicular width, surface area, and depth were determined using digital image analysis to ensure objective and reproducible quantification. Measurements were performed according to predefined study procedures by trained clinicians to maintain consistency across visits.</w:t>
      </w:r>
    </w:p>
    <w:p w14:paraId="09061D07" w14:textId="77777777" w:rsidR="004C4AAC" w:rsidRPr="00EE3D69" w:rsidRDefault="004C4AAC" w:rsidP="00360B8A">
      <w:pPr>
        <w:rPr>
          <w:rFonts w:ascii="Arial" w:hAnsi="Arial" w:cs="Arial"/>
          <w:sz w:val="20"/>
          <w:szCs w:val="20"/>
        </w:rPr>
      </w:pPr>
    </w:p>
    <w:p w14:paraId="20E50A64" w14:textId="77777777" w:rsidR="00074309" w:rsidRPr="00EE3D69" w:rsidRDefault="007C4B09" w:rsidP="00360B8A">
      <w:pPr>
        <w:rPr>
          <w:rFonts w:ascii="Arial" w:hAnsi="Arial" w:cs="Arial"/>
          <w:sz w:val="20"/>
          <w:szCs w:val="20"/>
        </w:rPr>
      </w:pPr>
      <w:r w:rsidRPr="00EE3D69">
        <w:rPr>
          <w:rFonts w:ascii="Arial" w:hAnsi="Arial" w:cs="Arial"/>
          <w:b/>
          <w:bCs/>
          <w:sz w:val="20"/>
          <w:szCs w:val="20"/>
        </w:rPr>
        <w:t xml:space="preserve">S7.3 </w:t>
      </w:r>
      <w:proofErr w:type="spellStart"/>
      <w:r w:rsidRPr="00EE3D69">
        <w:rPr>
          <w:rFonts w:ascii="Arial" w:hAnsi="Arial" w:cs="Arial"/>
          <w:b/>
          <w:bCs/>
          <w:sz w:val="20"/>
          <w:szCs w:val="20"/>
        </w:rPr>
        <w:t>WIfI</w:t>
      </w:r>
      <w:proofErr w:type="spellEnd"/>
      <w:r w:rsidRPr="00EE3D69">
        <w:rPr>
          <w:rFonts w:ascii="Arial" w:hAnsi="Arial" w:cs="Arial"/>
          <w:b/>
          <w:bCs/>
          <w:sz w:val="20"/>
          <w:szCs w:val="20"/>
        </w:rPr>
        <w:t xml:space="preserve"> classification and scoring rules</w:t>
      </w:r>
      <w:r w:rsidR="00E60F3C">
        <w:rPr>
          <w:rFonts w:ascii="Arial" w:hAnsi="Arial" w:cs="Arial"/>
          <w:sz w:val="20"/>
          <w:szCs w:val="20"/>
        </w:rPr>
        <w:t xml:space="preserve">. </w:t>
      </w:r>
      <w:r w:rsidRPr="00EE3D69">
        <w:rPr>
          <w:rFonts w:ascii="Arial" w:hAnsi="Arial" w:cs="Arial"/>
          <w:sz w:val="20"/>
          <w:szCs w:val="20"/>
        </w:rPr>
        <w:t>Clinical severity was evaluated using the Society for Vascular Surgery Wound, Ischemia, and foot Infection (</w:t>
      </w:r>
      <w:proofErr w:type="spellStart"/>
      <w:r w:rsidRPr="00EE3D69">
        <w:rPr>
          <w:rFonts w:ascii="Arial" w:hAnsi="Arial" w:cs="Arial"/>
          <w:sz w:val="20"/>
          <w:szCs w:val="20"/>
        </w:rPr>
        <w:t>WIfI</w:t>
      </w:r>
      <w:proofErr w:type="spellEnd"/>
      <w:r w:rsidRPr="00EE3D69">
        <w:rPr>
          <w:rFonts w:ascii="Arial" w:hAnsi="Arial" w:cs="Arial"/>
          <w:sz w:val="20"/>
          <w:szCs w:val="20"/>
        </w:rPr>
        <w:t xml:space="preserve">) classification system. Each component (wound extent, ischemia, and infection) was graded according to established criteria. Overall clinical staging was determined based on the composite </w:t>
      </w:r>
      <w:proofErr w:type="spellStart"/>
      <w:r w:rsidRPr="00EE3D69">
        <w:rPr>
          <w:rFonts w:ascii="Arial" w:hAnsi="Arial" w:cs="Arial"/>
          <w:sz w:val="20"/>
          <w:szCs w:val="20"/>
        </w:rPr>
        <w:t>WIfI</w:t>
      </w:r>
      <w:proofErr w:type="spellEnd"/>
      <w:r w:rsidRPr="00EE3D69">
        <w:rPr>
          <w:rFonts w:ascii="Arial" w:hAnsi="Arial" w:cs="Arial"/>
          <w:sz w:val="20"/>
          <w:szCs w:val="20"/>
        </w:rPr>
        <w:t xml:space="preserve"> stage. All classifications were assigned by clinicians experienced in vascular and wound assessment.</w:t>
      </w:r>
    </w:p>
    <w:p w14:paraId="2EDA771C" w14:textId="77777777" w:rsidR="004C4AAC" w:rsidRPr="00EE3D69" w:rsidRDefault="004C4AAC" w:rsidP="00360B8A">
      <w:pPr>
        <w:rPr>
          <w:rFonts w:ascii="Arial" w:hAnsi="Arial" w:cs="Arial"/>
          <w:sz w:val="20"/>
          <w:szCs w:val="20"/>
        </w:rPr>
      </w:pPr>
    </w:p>
    <w:p w14:paraId="746DA65B" w14:textId="77777777" w:rsidR="00074309" w:rsidRPr="00EE3D69" w:rsidRDefault="007C4B09" w:rsidP="00360B8A">
      <w:pPr>
        <w:rPr>
          <w:rFonts w:ascii="Arial" w:hAnsi="Arial" w:cs="Arial"/>
          <w:sz w:val="20"/>
          <w:szCs w:val="20"/>
        </w:rPr>
      </w:pPr>
      <w:r w:rsidRPr="00EE3D69">
        <w:rPr>
          <w:rFonts w:ascii="Arial" w:hAnsi="Arial" w:cs="Arial"/>
          <w:b/>
          <w:bCs/>
          <w:sz w:val="20"/>
          <w:szCs w:val="20"/>
        </w:rPr>
        <w:t>S7.4 Criteria for additional interventions or amputation</w:t>
      </w:r>
      <w:r w:rsidR="00E60F3C">
        <w:rPr>
          <w:rFonts w:ascii="Arial" w:hAnsi="Arial" w:cs="Arial"/>
          <w:sz w:val="20"/>
          <w:szCs w:val="20"/>
        </w:rPr>
        <w:t xml:space="preserve">. </w:t>
      </w:r>
      <w:r w:rsidRPr="00EE3D69">
        <w:rPr>
          <w:rFonts w:ascii="Arial" w:hAnsi="Arial" w:cs="Arial"/>
          <w:sz w:val="20"/>
          <w:szCs w:val="20"/>
        </w:rPr>
        <w:t>Decisions regarding additional surgical debridement, minor amputation, or major amputation were made according to institutional clinical guidelines and based on wound progression, infection control, vascular status, and overall patient condition. Such interventions were recorded prospectively during the study period.</w:t>
      </w:r>
    </w:p>
    <w:p w14:paraId="5C824CF8" w14:textId="77777777" w:rsidR="004C4AAC" w:rsidRPr="00EE3D69" w:rsidRDefault="004C4AAC" w:rsidP="00360B8A">
      <w:pPr>
        <w:rPr>
          <w:rFonts w:ascii="Arial" w:hAnsi="Arial" w:cs="Arial"/>
          <w:sz w:val="20"/>
          <w:szCs w:val="20"/>
        </w:rPr>
      </w:pPr>
    </w:p>
    <w:p w14:paraId="2D93E80C" w14:textId="77777777" w:rsidR="00074309" w:rsidRPr="00EE3D69" w:rsidRDefault="007C4B09" w:rsidP="00360B8A">
      <w:pPr>
        <w:rPr>
          <w:rFonts w:ascii="Arial" w:hAnsi="Arial" w:cs="Arial"/>
          <w:b/>
          <w:bCs/>
          <w:sz w:val="20"/>
          <w:szCs w:val="20"/>
        </w:rPr>
      </w:pPr>
      <w:r w:rsidRPr="00EE3D69">
        <w:rPr>
          <w:rFonts w:ascii="Arial" w:hAnsi="Arial" w:cs="Arial"/>
          <w:b/>
          <w:bCs/>
          <w:sz w:val="20"/>
          <w:szCs w:val="20"/>
        </w:rPr>
        <w:t>S8. Histological and immunohistochemical analyses</w:t>
      </w:r>
    </w:p>
    <w:p w14:paraId="2C4390EE" w14:textId="77777777" w:rsidR="00074309" w:rsidRPr="00EE3D69" w:rsidRDefault="007C4B09" w:rsidP="00360B8A">
      <w:pPr>
        <w:rPr>
          <w:rFonts w:ascii="Arial" w:hAnsi="Arial" w:cs="Arial"/>
          <w:sz w:val="20"/>
          <w:szCs w:val="20"/>
        </w:rPr>
      </w:pPr>
      <w:r w:rsidRPr="00EE3D69">
        <w:rPr>
          <w:rFonts w:ascii="Arial" w:hAnsi="Arial" w:cs="Arial"/>
          <w:b/>
          <w:bCs/>
          <w:sz w:val="20"/>
          <w:szCs w:val="20"/>
        </w:rPr>
        <w:t>S8.1 Tissue fixation and processing</w:t>
      </w:r>
      <w:r w:rsidR="00E60F3C">
        <w:rPr>
          <w:rFonts w:ascii="Arial" w:hAnsi="Arial" w:cs="Arial"/>
          <w:sz w:val="20"/>
          <w:szCs w:val="20"/>
        </w:rPr>
        <w:t xml:space="preserve">. </w:t>
      </w:r>
      <w:r w:rsidRPr="00EE3D69">
        <w:rPr>
          <w:rFonts w:ascii="Arial" w:hAnsi="Arial" w:cs="Arial"/>
          <w:sz w:val="20"/>
          <w:szCs w:val="20"/>
        </w:rPr>
        <w:t xml:space="preserve">Excised </w:t>
      </w:r>
      <w:proofErr w:type="spellStart"/>
      <w:r w:rsidRPr="00EE3D69">
        <w:rPr>
          <w:rFonts w:ascii="Arial" w:hAnsi="Arial" w:cs="Arial"/>
          <w:sz w:val="20"/>
          <w:szCs w:val="20"/>
        </w:rPr>
        <w:t>biococktails</w:t>
      </w:r>
      <w:proofErr w:type="spellEnd"/>
      <w:r w:rsidRPr="00EE3D69">
        <w:rPr>
          <w:rFonts w:ascii="Arial" w:hAnsi="Arial" w:cs="Arial"/>
          <w:sz w:val="20"/>
          <w:szCs w:val="20"/>
        </w:rPr>
        <w:t xml:space="preserve"> were fixed in 4% paraformaldehyde in phosphate-buffered saline (pH 7.4), dehydrated through graded alcohols, embedded in paraffin, and sectioned at 4–5 </w:t>
      </w:r>
      <w:proofErr w:type="spellStart"/>
      <w:r w:rsidRPr="00EE3D69">
        <w:rPr>
          <w:rFonts w:ascii="Arial" w:hAnsi="Arial" w:cs="Arial"/>
          <w:sz w:val="20"/>
          <w:szCs w:val="20"/>
        </w:rPr>
        <w:t>μm</w:t>
      </w:r>
      <w:proofErr w:type="spellEnd"/>
      <w:r w:rsidRPr="00EE3D69">
        <w:rPr>
          <w:rFonts w:ascii="Arial" w:hAnsi="Arial" w:cs="Arial"/>
          <w:sz w:val="20"/>
          <w:szCs w:val="20"/>
        </w:rPr>
        <w:t xml:space="preserve"> thickness for histological analysis.</w:t>
      </w:r>
    </w:p>
    <w:p w14:paraId="594976DB" w14:textId="77777777" w:rsidR="004C4AAC" w:rsidRPr="00EE3D69" w:rsidRDefault="004C4AAC" w:rsidP="00360B8A">
      <w:pPr>
        <w:rPr>
          <w:rFonts w:ascii="Arial" w:hAnsi="Arial" w:cs="Arial"/>
          <w:sz w:val="20"/>
          <w:szCs w:val="20"/>
        </w:rPr>
      </w:pPr>
    </w:p>
    <w:p w14:paraId="3EC6C103" w14:textId="77777777" w:rsidR="00074309" w:rsidRPr="00EE3D69" w:rsidRDefault="007C4B09" w:rsidP="00360B8A">
      <w:pPr>
        <w:rPr>
          <w:rFonts w:ascii="Arial" w:hAnsi="Arial" w:cs="Arial"/>
          <w:sz w:val="20"/>
          <w:szCs w:val="20"/>
        </w:rPr>
      </w:pPr>
      <w:r w:rsidRPr="00EE3D69">
        <w:rPr>
          <w:rFonts w:ascii="Arial" w:hAnsi="Arial" w:cs="Arial"/>
          <w:b/>
          <w:bCs/>
          <w:sz w:val="20"/>
          <w:szCs w:val="20"/>
        </w:rPr>
        <w:t>S8.2 Histological staining protocols</w:t>
      </w:r>
      <w:r w:rsidR="00E60F3C">
        <w:rPr>
          <w:rFonts w:ascii="Arial" w:hAnsi="Arial" w:cs="Arial"/>
          <w:sz w:val="20"/>
          <w:szCs w:val="20"/>
        </w:rPr>
        <w:t xml:space="preserve">. </w:t>
      </w:r>
      <w:r w:rsidRPr="00EE3D69">
        <w:rPr>
          <w:rFonts w:ascii="Arial" w:hAnsi="Arial" w:cs="Arial"/>
          <w:sz w:val="20"/>
          <w:szCs w:val="20"/>
        </w:rPr>
        <w:t xml:space="preserve">Paraffin sections were deparaffinized, rehydrated, and stained using standard protocols to assess overall tissue architecture and extracellular matrix organization. Masson’s trichrome, Elastica Van Gieson, and Alcian blue staining were performed </w:t>
      </w:r>
      <w:r w:rsidRPr="00EE3D69">
        <w:rPr>
          <w:rFonts w:ascii="Arial" w:hAnsi="Arial" w:cs="Arial"/>
          <w:sz w:val="20"/>
          <w:szCs w:val="20"/>
        </w:rPr>
        <w:lastRenderedPageBreak/>
        <w:t>to evaluate collagen deposition, elastic fiber distribution, and glycosaminoglycan content, respectively.</w:t>
      </w:r>
    </w:p>
    <w:p w14:paraId="57020235" w14:textId="77777777" w:rsidR="004C4AAC" w:rsidRPr="00EE3D69" w:rsidRDefault="004C4AAC" w:rsidP="00360B8A">
      <w:pPr>
        <w:rPr>
          <w:rFonts w:ascii="Arial" w:hAnsi="Arial" w:cs="Arial"/>
          <w:sz w:val="20"/>
          <w:szCs w:val="20"/>
        </w:rPr>
      </w:pPr>
    </w:p>
    <w:p w14:paraId="6C22B4CA" w14:textId="77777777" w:rsidR="00074309" w:rsidRPr="00EE3D69" w:rsidRDefault="007C4B09" w:rsidP="00360B8A">
      <w:pPr>
        <w:rPr>
          <w:rFonts w:ascii="Arial" w:hAnsi="Arial" w:cs="Arial"/>
          <w:sz w:val="20"/>
          <w:szCs w:val="20"/>
        </w:rPr>
      </w:pPr>
      <w:r w:rsidRPr="00EE3D69">
        <w:rPr>
          <w:rFonts w:ascii="Arial" w:hAnsi="Arial" w:cs="Arial"/>
          <w:b/>
          <w:bCs/>
          <w:sz w:val="20"/>
          <w:szCs w:val="20"/>
        </w:rPr>
        <w:t>S8.3 Immunohistochemistry</w:t>
      </w:r>
      <w:r w:rsidR="00E60F3C">
        <w:rPr>
          <w:rFonts w:ascii="Arial" w:hAnsi="Arial" w:cs="Arial"/>
          <w:sz w:val="20"/>
          <w:szCs w:val="20"/>
        </w:rPr>
        <w:t xml:space="preserve">. </w:t>
      </w:r>
      <w:r w:rsidRPr="00EE3D69">
        <w:rPr>
          <w:rFonts w:ascii="Arial" w:hAnsi="Arial" w:cs="Arial"/>
          <w:sz w:val="20"/>
          <w:szCs w:val="20"/>
        </w:rPr>
        <w:t>For immunohistochemical analysis, deparaffinized sections underwent heat-induced antigen retrieval at 90 °C for 40 minutes. Sections were incubated with primary antibodies overnight at 4 °C, followed by incubation with appropriate secondary antibodies at room temperature. Nuclear counterstaining was performed using DAPI-containing mounting medium.</w:t>
      </w:r>
    </w:p>
    <w:p w14:paraId="0FD9BDE0" w14:textId="5E1B6026" w:rsidR="004C4AAC" w:rsidRDefault="007C4B09" w:rsidP="00FE18ED">
      <w:pPr>
        <w:ind w:firstLine="840"/>
        <w:rPr>
          <w:rFonts w:ascii="Arial" w:hAnsi="Arial" w:cs="Arial"/>
          <w:sz w:val="20"/>
          <w:szCs w:val="20"/>
        </w:rPr>
      </w:pPr>
      <w:r w:rsidRPr="00EE3D69">
        <w:rPr>
          <w:rFonts w:ascii="Arial" w:hAnsi="Arial" w:cs="Arial"/>
          <w:sz w:val="20"/>
          <w:szCs w:val="20"/>
        </w:rPr>
        <w:t>Primary antibodies targeted markers associated with stem/progenitor cell populations, immune cell subsets, vascular structures, and extracellular matrix components.</w:t>
      </w:r>
    </w:p>
    <w:p w14:paraId="79D18B5F" w14:textId="77777777" w:rsidR="00EE2732" w:rsidRPr="00EE3D69" w:rsidRDefault="00EE2732" w:rsidP="004739A4">
      <w:pPr>
        <w:ind w:firstLine="840"/>
        <w:rPr>
          <w:rFonts w:ascii="Arial" w:hAnsi="Arial" w:cs="Arial"/>
          <w:sz w:val="20"/>
          <w:szCs w:val="20"/>
        </w:rPr>
      </w:pPr>
    </w:p>
    <w:p w14:paraId="47238BC9" w14:textId="77777777" w:rsidR="00074309" w:rsidRPr="00EE3D69" w:rsidRDefault="007C4B09" w:rsidP="00360B8A">
      <w:pPr>
        <w:rPr>
          <w:rFonts w:ascii="Arial" w:hAnsi="Arial" w:cs="Arial"/>
          <w:sz w:val="20"/>
          <w:szCs w:val="20"/>
        </w:rPr>
      </w:pPr>
      <w:r w:rsidRPr="00EE3D69">
        <w:rPr>
          <w:rFonts w:ascii="Arial" w:hAnsi="Arial" w:cs="Arial"/>
          <w:b/>
          <w:bCs/>
          <w:sz w:val="20"/>
          <w:szCs w:val="20"/>
        </w:rPr>
        <w:t>S8.4 Image acquisition</w:t>
      </w:r>
      <w:r w:rsidR="00E60F3C">
        <w:rPr>
          <w:rFonts w:ascii="Arial" w:hAnsi="Arial" w:cs="Arial"/>
          <w:sz w:val="20"/>
          <w:szCs w:val="20"/>
        </w:rPr>
        <w:t xml:space="preserve">. </w:t>
      </w:r>
      <w:r w:rsidRPr="00EE3D69">
        <w:rPr>
          <w:rFonts w:ascii="Arial" w:hAnsi="Arial" w:cs="Arial"/>
          <w:sz w:val="20"/>
          <w:szCs w:val="20"/>
        </w:rPr>
        <w:t>Stained sections were examined using a fluorescence microscope equipped with digital imaging capabilities. Representative fields were captured under standardized magnification settings to ensure comparability across samples.</w:t>
      </w:r>
    </w:p>
    <w:p w14:paraId="3EF253DB" w14:textId="77777777" w:rsidR="004C4AAC" w:rsidRPr="00EE3D69" w:rsidRDefault="004C4AAC" w:rsidP="00360B8A">
      <w:pPr>
        <w:rPr>
          <w:rFonts w:ascii="Arial" w:hAnsi="Arial" w:cs="Arial"/>
          <w:sz w:val="20"/>
          <w:szCs w:val="20"/>
        </w:rPr>
      </w:pPr>
    </w:p>
    <w:p w14:paraId="291DF937" w14:textId="77777777" w:rsidR="00074309" w:rsidRPr="00EE3D69" w:rsidRDefault="007C4B09" w:rsidP="00360B8A">
      <w:pPr>
        <w:rPr>
          <w:rFonts w:ascii="Arial" w:hAnsi="Arial" w:cs="Arial"/>
          <w:sz w:val="20"/>
          <w:szCs w:val="20"/>
        </w:rPr>
      </w:pPr>
      <w:r w:rsidRPr="00EE3D69">
        <w:rPr>
          <w:rFonts w:ascii="Arial" w:hAnsi="Arial" w:cs="Arial"/>
          <w:b/>
          <w:bCs/>
          <w:sz w:val="20"/>
          <w:szCs w:val="20"/>
        </w:rPr>
        <w:t>S8.5 Qualitative and quantitative evaluation</w:t>
      </w:r>
      <w:r w:rsidR="00E60F3C">
        <w:rPr>
          <w:rFonts w:ascii="Arial" w:hAnsi="Arial" w:cs="Arial"/>
          <w:sz w:val="20"/>
          <w:szCs w:val="20"/>
        </w:rPr>
        <w:t xml:space="preserve">. </w:t>
      </w:r>
      <w:r w:rsidRPr="00EE3D69">
        <w:rPr>
          <w:rFonts w:ascii="Arial" w:hAnsi="Arial" w:cs="Arial"/>
          <w:sz w:val="20"/>
          <w:szCs w:val="20"/>
        </w:rPr>
        <w:t>Histological evaluation focused on the presence and spatial organization of heterogeneous cellular populations, vascular structures, and extracellular matrix components consistent with multicellular regenerative niche formation. When quantitative analyses were performed, identical threshold and analysis parameters were applied across all samples to ensure consistency. Image assessments were conducted in a blinded or semi-blinded manner where feasible.</w:t>
      </w:r>
    </w:p>
    <w:p w14:paraId="6792A247" w14:textId="77777777" w:rsidR="004C4AAC" w:rsidRPr="00EE3D69" w:rsidRDefault="004C4AAC" w:rsidP="00360B8A">
      <w:pPr>
        <w:rPr>
          <w:rFonts w:ascii="Arial" w:hAnsi="Arial" w:cs="Arial"/>
          <w:sz w:val="20"/>
          <w:szCs w:val="20"/>
        </w:rPr>
      </w:pPr>
    </w:p>
    <w:p w14:paraId="7DEE7AFC" w14:textId="77777777" w:rsidR="00074309" w:rsidRPr="00EE3D69" w:rsidRDefault="007C4B09" w:rsidP="00360B8A">
      <w:pPr>
        <w:rPr>
          <w:rFonts w:ascii="Arial" w:hAnsi="Arial" w:cs="Arial"/>
          <w:b/>
          <w:bCs/>
          <w:sz w:val="20"/>
          <w:szCs w:val="20"/>
        </w:rPr>
      </w:pPr>
      <w:r w:rsidRPr="00EE3D69">
        <w:rPr>
          <w:rFonts w:ascii="Arial" w:hAnsi="Arial" w:cs="Arial"/>
          <w:b/>
          <w:bCs/>
          <w:sz w:val="20"/>
          <w:szCs w:val="20"/>
        </w:rPr>
        <w:t>S9. Transcriptomic analysis</w:t>
      </w:r>
    </w:p>
    <w:p w14:paraId="794FB5C7" w14:textId="77777777" w:rsidR="00074309" w:rsidRPr="00EE3D69" w:rsidRDefault="007C4B09" w:rsidP="00360B8A">
      <w:pPr>
        <w:rPr>
          <w:rFonts w:ascii="Arial" w:hAnsi="Arial" w:cs="Arial"/>
          <w:sz w:val="20"/>
          <w:szCs w:val="20"/>
        </w:rPr>
      </w:pPr>
      <w:r w:rsidRPr="00EE3D69">
        <w:rPr>
          <w:rFonts w:ascii="Arial" w:hAnsi="Arial" w:cs="Arial"/>
          <w:b/>
          <w:bCs/>
          <w:sz w:val="20"/>
          <w:szCs w:val="20"/>
        </w:rPr>
        <w:t>S9.1 RNA extraction and quality control</w:t>
      </w:r>
      <w:r w:rsidR="00E60F3C">
        <w:rPr>
          <w:rFonts w:ascii="Arial" w:hAnsi="Arial" w:cs="Arial"/>
          <w:sz w:val="20"/>
          <w:szCs w:val="20"/>
        </w:rPr>
        <w:t xml:space="preserve">. </w:t>
      </w:r>
      <w:r w:rsidRPr="00EE3D69">
        <w:rPr>
          <w:rFonts w:ascii="Arial" w:hAnsi="Arial" w:cs="Arial"/>
          <w:sz w:val="20"/>
          <w:szCs w:val="20"/>
        </w:rPr>
        <w:t>Excised regenerative constructs were immediately snap-frozen in liquid nitrogen following surgical retrieval. Total RNA was isolated using phenol-based extraction followed by column purification according to manufacturer protocols. RNA concentration and purity were assessed spectrophotometrically, and RNA integrity was evaluated using an automated electrophoretic system to calculate the RNA Integrity Number (RIN). Samples with insufficient RNA yield or inadequate RNA integrity were excluded from downstream sequencing analysis based on predefined quality criteria.</w:t>
      </w:r>
    </w:p>
    <w:p w14:paraId="246E11EF" w14:textId="77777777" w:rsidR="004C4AAC" w:rsidRPr="00EE3D69" w:rsidRDefault="004C4AAC" w:rsidP="00360B8A">
      <w:pPr>
        <w:rPr>
          <w:rFonts w:ascii="Arial" w:hAnsi="Arial" w:cs="Arial"/>
          <w:sz w:val="20"/>
          <w:szCs w:val="20"/>
        </w:rPr>
      </w:pPr>
    </w:p>
    <w:p w14:paraId="74758A78" w14:textId="77777777" w:rsidR="00074309" w:rsidRPr="00EE3D69" w:rsidRDefault="007C4B09" w:rsidP="00360B8A">
      <w:pPr>
        <w:rPr>
          <w:rFonts w:ascii="Arial" w:hAnsi="Arial" w:cs="Arial"/>
          <w:sz w:val="20"/>
          <w:szCs w:val="20"/>
        </w:rPr>
      </w:pPr>
      <w:r w:rsidRPr="00EE3D69">
        <w:rPr>
          <w:rFonts w:ascii="Arial" w:hAnsi="Arial" w:cs="Arial"/>
          <w:b/>
          <w:bCs/>
          <w:sz w:val="20"/>
          <w:szCs w:val="20"/>
        </w:rPr>
        <w:t>S9.2 Library preparation and sequencing platform</w:t>
      </w:r>
      <w:r w:rsidR="00E60F3C">
        <w:rPr>
          <w:rFonts w:ascii="Arial" w:hAnsi="Arial" w:cs="Arial"/>
          <w:sz w:val="20"/>
          <w:szCs w:val="20"/>
        </w:rPr>
        <w:t xml:space="preserve">. </w:t>
      </w:r>
      <w:r w:rsidRPr="00EE3D69">
        <w:rPr>
          <w:rFonts w:ascii="Arial" w:hAnsi="Arial" w:cs="Arial"/>
          <w:sz w:val="20"/>
          <w:szCs w:val="20"/>
        </w:rPr>
        <w:t>Ribosomal RNA was depleted prior to library construction to enrich for coding and non-coding transcripts. Strand-specific sequencing libraries were prepared according to validated protocols and subjected to paired-end sequencing (150 bp reads) on a high-throughput sequencing platform. Sequencing was performed by an external certified genomics facility.</w:t>
      </w:r>
    </w:p>
    <w:p w14:paraId="6F617AEC" w14:textId="77777777" w:rsidR="004C4AAC" w:rsidRPr="00EE3D69" w:rsidRDefault="004C4AAC" w:rsidP="00360B8A">
      <w:pPr>
        <w:rPr>
          <w:rFonts w:ascii="Arial" w:hAnsi="Arial" w:cs="Arial"/>
          <w:sz w:val="20"/>
          <w:szCs w:val="20"/>
        </w:rPr>
      </w:pPr>
    </w:p>
    <w:p w14:paraId="3AE5AEDA" w14:textId="77777777" w:rsidR="00074309" w:rsidRPr="00EE3D69" w:rsidRDefault="007C4B09" w:rsidP="00360B8A">
      <w:pPr>
        <w:rPr>
          <w:rFonts w:ascii="Arial" w:hAnsi="Arial" w:cs="Arial"/>
          <w:sz w:val="20"/>
          <w:szCs w:val="20"/>
        </w:rPr>
      </w:pPr>
      <w:r w:rsidRPr="00EE3D69">
        <w:rPr>
          <w:rFonts w:ascii="Arial" w:hAnsi="Arial" w:cs="Arial"/>
          <w:b/>
          <w:bCs/>
          <w:sz w:val="20"/>
          <w:szCs w:val="20"/>
        </w:rPr>
        <w:t>S9.3 Data preprocessing and normalization</w:t>
      </w:r>
      <w:r w:rsidR="00E60F3C">
        <w:rPr>
          <w:rFonts w:ascii="Arial" w:hAnsi="Arial" w:cs="Arial"/>
          <w:sz w:val="20"/>
          <w:szCs w:val="20"/>
        </w:rPr>
        <w:t xml:space="preserve">. </w:t>
      </w:r>
      <w:r w:rsidRPr="00EE3D69">
        <w:rPr>
          <w:rFonts w:ascii="Arial" w:hAnsi="Arial" w:cs="Arial"/>
          <w:sz w:val="20"/>
          <w:szCs w:val="20"/>
        </w:rPr>
        <w:t>Raw sequencing reads were subjected to quality filtering and adapter trimming prior to alignment. Filtered reads were mapped to the human reference genome (Genome Reference Consortium Human Build 37). Transcript abundance was quantified at the gene level and normalized as transcripts per million (TPM) to allow comparison across samples.</w:t>
      </w:r>
    </w:p>
    <w:p w14:paraId="1871BD82" w14:textId="77777777" w:rsidR="00074309" w:rsidRPr="00EE3D69" w:rsidRDefault="007C4B09">
      <w:pPr>
        <w:ind w:firstLine="840"/>
        <w:rPr>
          <w:rFonts w:ascii="Arial" w:hAnsi="Arial" w:cs="Arial"/>
          <w:sz w:val="20"/>
          <w:szCs w:val="20"/>
        </w:rPr>
      </w:pPr>
      <w:r w:rsidRPr="00EE3D69">
        <w:rPr>
          <w:rFonts w:ascii="Arial" w:hAnsi="Arial" w:cs="Arial"/>
          <w:sz w:val="20"/>
          <w:szCs w:val="20"/>
        </w:rPr>
        <w:t>For each case, normalization and expression profiling were performed independently to enable within-case comparisons between regenerative constructs and matched subcutaneous control tissue. Predefined expression thresholds were applied to exclude low-abundance transcripts from downstream analyses.</w:t>
      </w:r>
    </w:p>
    <w:p w14:paraId="5E7FF5AC" w14:textId="77777777" w:rsidR="00074309" w:rsidRPr="00EE3D69" w:rsidRDefault="007C4B09">
      <w:pPr>
        <w:ind w:firstLine="840"/>
        <w:rPr>
          <w:rFonts w:ascii="Arial" w:hAnsi="Arial" w:cs="Arial"/>
          <w:sz w:val="20"/>
          <w:szCs w:val="20"/>
        </w:rPr>
      </w:pPr>
      <w:r w:rsidRPr="00EE3D69">
        <w:rPr>
          <w:rFonts w:ascii="Arial" w:hAnsi="Arial" w:cs="Arial"/>
          <w:sz w:val="20"/>
          <w:szCs w:val="20"/>
        </w:rPr>
        <w:t>Subcutaneous tissue fragments obtained during skin incision were designated as control samples for comparative transcriptomic analyses.</w:t>
      </w:r>
    </w:p>
    <w:p w14:paraId="06663935" w14:textId="77777777" w:rsidR="004C4AAC" w:rsidRPr="00EE3D69" w:rsidRDefault="004C4AAC" w:rsidP="00360B8A">
      <w:pPr>
        <w:rPr>
          <w:rFonts w:ascii="Arial" w:hAnsi="Arial" w:cs="Arial"/>
          <w:sz w:val="20"/>
          <w:szCs w:val="20"/>
        </w:rPr>
      </w:pPr>
    </w:p>
    <w:p w14:paraId="2BC64178" w14:textId="77777777" w:rsidR="00074309" w:rsidRPr="00EE3D69" w:rsidRDefault="007C4B09" w:rsidP="00360B8A">
      <w:pPr>
        <w:rPr>
          <w:rFonts w:ascii="Arial" w:hAnsi="Arial" w:cs="Arial"/>
          <w:sz w:val="20"/>
          <w:szCs w:val="20"/>
        </w:rPr>
      </w:pPr>
      <w:r w:rsidRPr="00EE3D69">
        <w:rPr>
          <w:rFonts w:ascii="Arial" w:hAnsi="Arial" w:cs="Arial"/>
          <w:b/>
          <w:bCs/>
          <w:sz w:val="20"/>
          <w:szCs w:val="20"/>
        </w:rPr>
        <w:t>S9.4 Differential expression analysis</w:t>
      </w:r>
      <w:r w:rsidR="00E60F3C">
        <w:rPr>
          <w:rFonts w:ascii="Arial" w:hAnsi="Arial" w:cs="Arial"/>
          <w:sz w:val="20"/>
          <w:szCs w:val="20"/>
        </w:rPr>
        <w:t xml:space="preserve">. </w:t>
      </w:r>
      <w:r w:rsidRPr="00EE3D69">
        <w:rPr>
          <w:rFonts w:ascii="Arial" w:hAnsi="Arial" w:cs="Arial"/>
          <w:sz w:val="20"/>
          <w:szCs w:val="20"/>
        </w:rPr>
        <w:t>Differential expression analyses were conducted to compare regenerative constructs with matched control subcutaneous tissue. Statistical testing was performed using standardized bioinformatics software with predefined significance thresholds established prior to analysis. Where appropriate, correction for multiple testing was applied to control the false discovery rate.</w:t>
      </w:r>
    </w:p>
    <w:p w14:paraId="1D534CF0" w14:textId="77777777" w:rsidR="00E60F3C" w:rsidRDefault="007C4B09">
      <w:pPr>
        <w:widowControl/>
        <w:rPr>
          <w:rFonts w:ascii="Arial" w:hAnsi="Arial" w:cs="Arial"/>
          <w:sz w:val="20"/>
          <w:szCs w:val="20"/>
        </w:rPr>
      </w:pPr>
      <w:r>
        <w:rPr>
          <w:rFonts w:ascii="Arial" w:hAnsi="Arial" w:cs="Arial"/>
          <w:sz w:val="20"/>
          <w:szCs w:val="20"/>
        </w:rPr>
        <w:br w:type="page"/>
      </w:r>
    </w:p>
    <w:p w14:paraId="4235AE13" w14:textId="3928D487" w:rsidR="00565AB1" w:rsidRPr="00CD0963" w:rsidRDefault="007C4B09" w:rsidP="00360B8A">
      <w:pPr>
        <w:rPr>
          <w:rFonts w:ascii="Arial" w:hAnsi="Arial" w:cs="Arial"/>
          <w:b/>
          <w:bCs/>
          <w:sz w:val="24"/>
          <w:szCs w:val="24"/>
        </w:rPr>
      </w:pPr>
      <w:r w:rsidRPr="00CD0963">
        <w:rPr>
          <w:rFonts w:ascii="Arial" w:hAnsi="Arial" w:cs="Arial"/>
          <w:b/>
          <w:bCs/>
          <w:sz w:val="24"/>
          <w:szCs w:val="24"/>
        </w:rPr>
        <w:lastRenderedPageBreak/>
        <w:t>S</w:t>
      </w:r>
      <w:r w:rsidR="00E83E95" w:rsidRPr="00CD0963">
        <w:rPr>
          <w:rFonts w:ascii="Arial" w:hAnsi="Arial" w:cs="Arial"/>
          <w:b/>
          <w:bCs/>
          <w:sz w:val="24"/>
          <w:szCs w:val="24"/>
        </w:rPr>
        <w:t>upplementary</w:t>
      </w:r>
      <w:r w:rsidRPr="00CD0963">
        <w:rPr>
          <w:rFonts w:ascii="Arial" w:hAnsi="Arial" w:cs="Arial"/>
          <w:b/>
          <w:bCs/>
          <w:sz w:val="24"/>
          <w:szCs w:val="24"/>
        </w:rPr>
        <w:t xml:space="preserve"> </w:t>
      </w:r>
      <w:r w:rsidR="0089284B" w:rsidRPr="00CD0963">
        <w:rPr>
          <w:rFonts w:ascii="Arial" w:hAnsi="Arial" w:cs="Arial"/>
          <w:b/>
          <w:bCs/>
          <w:sz w:val="24"/>
          <w:szCs w:val="24"/>
        </w:rPr>
        <w:t>T</w:t>
      </w:r>
      <w:r w:rsidRPr="00CD0963">
        <w:rPr>
          <w:rFonts w:ascii="Arial" w:hAnsi="Arial" w:cs="Arial"/>
          <w:b/>
          <w:bCs/>
          <w:sz w:val="24"/>
          <w:szCs w:val="24"/>
        </w:rPr>
        <w:t xml:space="preserve">able S1: </w:t>
      </w:r>
      <w:r w:rsidR="00857456" w:rsidRPr="00CD0963">
        <w:rPr>
          <w:rFonts w:ascii="Arial" w:hAnsi="Arial" w:cs="Arial"/>
          <w:b/>
          <w:bCs/>
          <w:sz w:val="24"/>
          <w:szCs w:val="24"/>
        </w:rPr>
        <w:t>Test of normality</w:t>
      </w:r>
    </w:p>
    <w:p w14:paraId="31C26B45" w14:textId="77777777" w:rsidR="00565AB1" w:rsidRPr="00EE3D69" w:rsidRDefault="00565AB1" w:rsidP="00360B8A">
      <w:pPr>
        <w:rPr>
          <w:rFonts w:ascii="Arial" w:hAnsi="Arial" w:cs="Arial"/>
          <w:sz w:val="20"/>
          <w:szCs w:val="20"/>
        </w:rPr>
      </w:pPr>
    </w:p>
    <w:tbl>
      <w:tblPr>
        <w:tblW w:w="9360" w:type="dxa"/>
        <w:tblCellMar>
          <w:left w:w="99" w:type="dxa"/>
          <w:right w:w="99" w:type="dxa"/>
        </w:tblCellMar>
        <w:tblLook w:val="04A0" w:firstRow="1" w:lastRow="0" w:firstColumn="1" w:lastColumn="0" w:noHBand="0" w:noVBand="1"/>
      </w:tblPr>
      <w:tblGrid>
        <w:gridCol w:w="1040"/>
        <w:gridCol w:w="1040"/>
        <w:gridCol w:w="1040"/>
        <w:gridCol w:w="1040"/>
        <w:gridCol w:w="1040"/>
        <w:gridCol w:w="1040"/>
        <w:gridCol w:w="1040"/>
        <w:gridCol w:w="1040"/>
        <w:gridCol w:w="1040"/>
      </w:tblGrid>
      <w:tr w:rsidR="00AD5839" w14:paraId="1131D8C5" w14:textId="77777777" w:rsidTr="00565AB1">
        <w:trPr>
          <w:trHeight w:val="360"/>
        </w:trPr>
        <w:tc>
          <w:tcPr>
            <w:tcW w:w="1040" w:type="dxa"/>
            <w:vMerge w:val="restart"/>
            <w:tcBorders>
              <w:top w:val="single" w:sz="4" w:space="0" w:color="000000"/>
              <w:left w:val="nil"/>
              <w:bottom w:val="single" w:sz="4" w:space="0" w:color="000000"/>
              <w:right w:val="nil"/>
            </w:tcBorders>
            <w:vAlign w:val="center"/>
            <w:hideMark/>
          </w:tcPr>
          <w:p w14:paraId="326961F0" w14:textId="77777777" w:rsidR="00565AB1" w:rsidRPr="00CC59C7" w:rsidRDefault="007C4B09">
            <w:pPr>
              <w:widowControl/>
              <w:jc w:val="center"/>
              <w:rPr>
                <w:rFonts w:ascii="Arial" w:eastAsia="Yu Gothic" w:hAnsi="Arial" w:cs="Arial"/>
                <w:b/>
                <w:bCs/>
                <w:color w:val="333399"/>
                <w:kern w:val="0"/>
                <w:sz w:val="20"/>
                <w:szCs w:val="20"/>
                <w14:ligatures w14:val="none"/>
              </w:rPr>
            </w:pPr>
            <w:r w:rsidRPr="00CC59C7">
              <w:rPr>
                <w:rFonts w:ascii="Arial" w:eastAsia="Yu Gothic" w:hAnsi="Arial" w:cs="Arial"/>
                <w:b/>
                <w:bCs/>
                <w:color w:val="333399"/>
                <w:kern w:val="0"/>
                <w:sz w:val="20"/>
                <w:szCs w:val="20"/>
                <w14:ligatures w14:val="none"/>
              </w:rPr>
              <w:t>Area</w:t>
            </w:r>
          </w:p>
        </w:tc>
        <w:tc>
          <w:tcPr>
            <w:tcW w:w="3120" w:type="dxa"/>
            <w:gridSpan w:val="3"/>
            <w:tcBorders>
              <w:top w:val="single" w:sz="4" w:space="0" w:color="000000"/>
              <w:left w:val="nil"/>
              <w:bottom w:val="single" w:sz="4" w:space="0" w:color="000000"/>
              <w:right w:val="nil"/>
            </w:tcBorders>
            <w:vAlign w:val="bottom"/>
            <w:hideMark/>
          </w:tcPr>
          <w:p w14:paraId="0FDF04D0" w14:textId="77777777" w:rsidR="00565AB1" w:rsidRPr="00CC59C7" w:rsidRDefault="007C4B09" w:rsidP="00B34902">
            <w:pPr>
              <w:widowControl/>
              <w:jc w:val="center"/>
              <w:rPr>
                <w:rFonts w:ascii="Arial" w:eastAsia="ＭＳ ゴシック" w:hAnsi="Arial" w:cs="Arial"/>
                <w:b/>
                <w:bCs/>
                <w:kern w:val="0"/>
                <w:sz w:val="20"/>
                <w:szCs w:val="20"/>
                <w14:ligatures w14:val="none"/>
              </w:rPr>
            </w:pPr>
            <w:r w:rsidRPr="00CC59C7">
              <w:rPr>
                <w:rFonts w:ascii="Arial" w:eastAsia="ＭＳ ゴシック" w:hAnsi="Arial" w:cs="Arial"/>
                <w:b/>
                <w:bCs/>
                <w:kern w:val="0"/>
                <w:sz w:val="20"/>
                <w:szCs w:val="20"/>
                <w14:ligatures w14:val="none"/>
              </w:rPr>
              <w:t>Shapiro-Wilk</w:t>
            </w:r>
          </w:p>
        </w:tc>
        <w:tc>
          <w:tcPr>
            <w:tcW w:w="1040" w:type="dxa"/>
            <w:tcBorders>
              <w:top w:val="nil"/>
              <w:left w:val="nil"/>
              <w:bottom w:val="nil"/>
              <w:right w:val="nil"/>
            </w:tcBorders>
            <w:vAlign w:val="bottom"/>
            <w:hideMark/>
          </w:tcPr>
          <w:p w14:paraId="79C8641E" w14:textId="77777777" w:rsidR="00565AB1" w:rsidRPr="008A1391" w:rsidRDefault="00565AB1" w:rsidP="00B34902">
            <w:pPr>
              <w:widowControl/>
              <w:jc w:val="center"/>
              <w:rPr>
                <w:rFonts w:ascii="Arial" w:eastAsia="ＭＳ ゴシック" w:hAnsi="Arial" w:cs="Arial"/>
                <w:b/>
                <w:bCs/>
                <w:kern w:val="0"/>
                <w:sz w:val="20"/>
                <w:szCs w:val="20"/>
                <w14:ligatures w14:val="none"/>
              </w:rPr>
            </w:pPr>
          </w:p>
        </w:tc>
        <w:tc>
          <w:tcPr>
            <w:tcW w:w="1040" w:type="dxa"/>
            <w:vMerge w:val="restart"/>
            <w:tcBorders>
              <w:top w:val="single" w:sz="4" w:space="0" w:color="000000"/>
              <w:left w:val="nil"/>
              <w:bottom w:val="single" w:sz="4" w:space="0" w:color="000000"/>
              <w:right w:val="nil"/>
            </w:tcBorders>
            <w:vAlign w:val="center"/>
            <w:hideMark/>
          </w:tcPr>
          <w:p w14:paraId="17B5DAD2" w14:textId="77777777" w:rsidR="00565AB1" w:rsidRPr="00CC59C7" w:rsidRDefault="007C4B09">
            <w:pPr>
              <w:widowControl/>
              <w:jc w:val="center"/>
              <w:rPr>
                <w:rFonts w:ascii="Arial" w:eastAsia="Yu Gothic" w:hAnsi="Arial" w:cs="Arial"/>
                <w:b/>
                <w:bCs/>
                <w:color w:val="333399"/>
                <w:kern w:val="0"/>
                <w:sz w:val="20"/>
                <w:szCs w:val="20"/>
                <w14:ligatures w14:val="none"/>
              </w:rPr>
            </w:pPr>
            <w:r w:rsidRPr="00CC59C7">
              <w:rPr>
                <w:rFonts w:ascii="Arial" w:eastAsia="Yu Gothic" w:hAnsi="Arial" w:cs="Arial"/>
                <w:b/>
                <w:bCs/>
                <w:color w:val="333399"/>
                <w:kern w:val="0"/>
                <w:sz w:val="20"/>
                <w:szCs w:val="20"/>
                <w14:ligatures w14:val="none"/>
              </w:rPr>
              <w:t>Depth</w:t>
            </w:r>
          </w:p>
        </w:tc>
        <w:tc>
          <w:tcPr>
            <w:tcW w:w="3120" w:type="dxa"/>
            <w:gridSpan w:val="3"/>
            <w:tcBorders>
              <w:top w:val="single" w:sz="4" w:space="0" w:color="000000"/>
              <w:left w:val="nil"/>
              <w:bottom w:val="single" w:sz="4" w:space="0" w:color="000000"/>
              <w:right w:val="nil"/>
            </w:tcBorders>
            <w:vAlign w:val="bottom"/>
            <w:hideMark/>
          </w:tcPr>
          <w:p w14:paraId="369870F3" w14:textId="77777777" w:rsidR="00565AB1" w:rsidRPr="00CC59C7" w:rsidRDefault="007C4B09" w:rsidP="00B34902">
            <w:pPr>
              <w:widowControl/>
              <w:jc w:val="center"/>
              <w:rPr>
                <w:rFonts w:ascii="Arial" w:eastAsia="ＭＳ ゴシック" w:hAnsi="Arial" w:cs="Arial"/>
                <w:b/>
                <w:bCs/>
                <w:kern w:val="0"/>
                <w:sz w:val="20"/>
                <w:szCs w:val="20"/>
                <w14:ligatures w14:val="none"/>
              </w:rPr>
            </w:pPr>
            <w:r w:rsidRPr="00CC59C7">
              <w:rPr>
                <w:rFonts w:ascii="Arial" w:eastAsia="ＭＳ ゴシック" w:hAnsi="Arial" w:cs="Arial"/>
                <w:b/>
                <w:bCs/>
                <w:kern w:val="0"/>
                <w:sz w:val="20"/>
                <w:szCs w:val="20"/>
                <w14:ligatures w14:val="none"/>
              </w:rPr>
              <w:t>Shapiro-Wilk</w:t>
            </w:r>
          </w:p>
        </w:tc>
      </w:tr>
      <w:tr w:rsidR="00AD5839" w14:paraId="5472FDE6" w14:textId="77777777" w:rsidTr="00565AB1">
        <w:trPr>
          <w:trHeight w:val="500"/>
        </w:trPr>
        <w:tc>
          <w:tcPr>
            <w:tcW w:w="1040" w:type="dxa"/>
            <w:vMerge/>
            <w:tcBorders>
              <w:top w:val="single" w:sz="4" w:space="0" w:color="000000"/>
              <w:left w:val="nil"/>
              <w:bottom w:val="single" w:sz="4" w:space="0" w:color="000000"/>
              <w:right w:val="nil"/>
            </w:tcBorders>
            <w:vAlign w:val="center"/>
            <w:hideMark/>
          </w:tcPr>
          <w:p w14:paraId="4055C3C6" w14:textId="77777777" w:rsidR="00565AB1" w:rsidRPr="00CC59C7" w:rsidRDefault="00565AB1">
            <w:pPr>
              <w:widowControl/>
              <w:jc w:val="center"/>
              <w:rPr>
                <w:rFonts w:ascii="Arial" w:eastAsia="Yu Gothic" w:hAnsi="Arial" w:cs="Arial"/>
                <w:b/>
                <w:bCs/>
                <w:color w:val="333399"/>
                <w:kern w:val="0"/>
                <w:sz w:val="20"/>
                <w:szCs w:val="20"/>
                <w14:ligatures w14:val="none"/>
              </w:rPr>
            </w:pPr>
          </w:p>
        </w:tc>
        <w:tc>
          <w:tcPr>
            <w:tcW w:w="1040" w:type="dxa"/>
            <w:tcBorders>
              <w:top w:val="nil"/>
              <w:left w:val="nil"/>
              <w:bottom w:val="single" w:sz="4" w:space="0" w:color="000000"/>
              <w:right w:val="nil"/>
            </w:tcBorders>
            <w:vAlign w:val="center"/>
            <w:hideMark/>
          </w:tcPr>
          <w:p w14:paraId="35446456" w14:textId="77777777" w:rsidR="00565AB1" w:rsidRPr="00CC59C7" w:rsidRDefault="007C4B09" w:rsidP="00B34902">
            <w:pPr>
              <w:widowControl/>
              <w:jc w:val="center"/>
              <w:rPr>
                <w:rFonts w:ascii="Arial" w:eastAsia="Yu Gothic" w:hAnsi="Arial" w:cs="Arial"/>
                <w:b/>
                <w:bCs/>
                <w:color w:val="000000"/>
                <w:kern w:val="0"/>
                <w:sz w:val="20"/>
                <w:szCs w:val="20"/>
                <w14:ligatures w14:val="none"/>
              </w:rPr>
            </w:pPr>
            <w:r w:rsidRPr="00CC59C7">
              <w:rPr>
                <w:rFonts w:ascii="Arial" w:eastAsia="Yu Gothic" w:hAnsi="Arial" w:cs="Arial"/>
                <w:b/>
                <w:bCs/>
                <w:color w:val="000000"/>
                <w:kern w:val="0"/>
                <w:sz w:val="20"/>
                <w:szCs w:val="20"/>
                <w14:ligatures w14:val="none"/>
              </w:rPr>
              <w:t>Test statistic</w:t>
            </w:r>
          </w:p>
        </w:tc>
        <w:tc>
          <w:tcPr>
            <w:tcW w:w="1040" w:type="dxa"/>
            <w:tcBorders>
              <w:top w:val="nil"/>
              <w:left w:val="nil"/>
              <w:bottom w:val="single" w:sz="4" w:space="0" w:color="000000"/>
              <w:right w:val="nil"/>
            </w:tcBorders>
            <w:vAlign w:val="center"/>
            <w:hideMark/>
          </w:tcPr>
          <w:p w14:paraId="1BCA162E" w14:textId="77777777" w:rsidR="00565AB1" w:rsidRPr="00CC59C7" w:rsidRDefault="007C4B09" w:rsidP="00B34902">
            <w:pPr>
              <w:widowControl/>
              <w:jc w:val="center"/>
              <w:rPr>
                <w:rFonts w:ascii="Arial" w:eastAsia="Yu Gothic" w:hAnsi="Arial" w:cs="Arial"/>
                <w:b/>
                <w:bCs/>
                <w:color w:val="000000"/>
                <w:kern w:val="0"/>
                <w:sz w:val="20"/>
                <w:szCs w:val="20"/>
                <w14:ligatures w14:val="none"/>
              </w:rPr>
            </w:pPr>
            <w:r w:rsidRPr="00CC59C7">
              <w:rPr>
                <w:rFonts w:ascii="Arial" w:eastAsia="Yu Gothic" w:hAnsi="Arial" w:cs="Arial"/>
                <w:b/>
                <w:bCs/>
                <w:color w:val="000000"/>
                <w:kern w:val="0"/>
                <w:sz w:val="20"/>
                <w:szCs w:val="20"/>
                <w14:ligatures w14:val="none"/>
              </w:rPr>
              <w:t>Degree of freedom</w:t>
            </w:r>
          </w:p>
        </w:tc>
        <w:tc>
          <w:tcPr>
            <w:tcW w:w="1040" w:type="dxa"/>
            <w:tcBorders>
              <w:top w:val="nil"/>
              <w:left w:val="nil"/>
              <w:bottom w:val="single" w:sz="4" w:space="0" w:color="000000"/>
              <w:right w:val="nil"/>
            </w:tcBorders>
            <w:vAlign w:val="center"/>
            <w:hideMark/>
          </w:tcPr>
          <w:p w14:paraId="32C19B82" w14:textId="77777777" w:rsidR="00565AB1" w:rsidRPr="00CC59C7" w:rsidRDefault="007C4B09" w:rsidP="00B34902">
            <w:pPr>
              <w:widowControl/>
              <w:jc w:val="center"/>
              <w:rPr>
                <w:rFonts w:ascii="Arial" w:eastAsia="Yu Gothic" w:hAnsi="Arial" w:cs="Arial"/>
                <w:b/>
                <w:bCs/>
                <w:color w:val="000000"/>
                <w:kern w:val="0"/>
                <w:sz w:val="20"/>
                <w:szCs w:val="20"/>
                <w14:ligatures w14:val="none"/>
              </w:rPr>
            </w:pPr>
            <w:r w:rsidRPr="00CC59C7">
              <w:rPr>
                <w:rFonts w:ascii="Arial" w:eastAsia="Yu Gothic" w:hAnsi="Arial" w:cs="Arial"/>
                <w:b/>
                <w:bCs/>
                <w:color w:val="000000"/>
                <w:kern w:val="0"/>
                <w:sz w:val="20"/>
                <w:szCs w:val="20"/>
                <w14:ligatures w14:val="none"/>
              </w:rPr>
              <w:t>p-value</w:t>
            </w:r>
          </w:p>
        </w:tc>
        <w:tc>
          <w:tcPr>
            <w:tcW w:w="1040" w:type="dxa"/>
            <w:tcBorders>
              <w:top w:val="nil"/>
              <w:left w:val="nil"/>
              <w:bottom w:val="nil"/>
              <w:right w:val="nil"/>
            </w:tcBorders>
            <w:vAlign w:val="center"/>
            <w:hideMark/>
          </w:tcPr>
          <w:p w14:paraId="487797ED" w14:textId="77777777" w:rsidR="00565AB1" w:rsidRPr="008A1391" w:rsidRDefault="00565AB1" w:rsidP="00B34902">
            <w:pPr>
              <w:widowControl/>
              <w:jc w:val="center"/>
              <w:rPr>
                <w:rFonts w:ascii="Arial" w:eastAsia="Yu Gothic" w:hAnsi="Arial" w:cs="Arial"/>
                <w:b/>
                <w:bCs/>
                <w:color w:val="000000"/>
                <w:kern w:val="0"/>
                <w:sz w:val="20"/>
                <w:szCs w:val="20"/>
                <w14:ligatures w14:val="none"/>
              </w:rPr>
            </w:pPr>
          </w:p>
        </w:tc>
        <w:tc>
          <w:tcPr>
            <w:tcW w:w="1040" w:type="dxa"/>
            <w:vMerge/>
            <w:tcBorders>
              <w:top w:val="single" w:sz="4" w:space="0" w:color="000000"/>
              <w:left w:val="nil"/>
              <w:bottom w:val="single" w:sz="4" w:space="0" w:color="000000"/>
              <w:right w:val="nil"/>
            </w:tcBorders>
            <w:vAlign w:val="center"/>
            <w:hideMark/>
          </w:tcPr>
          <w:p w14:paraId="2F0C46CD" w14:textId="77777777" w:rsidR="00565AB1" w:rsidRPr="00CC59C7" w:rsidRDefault="00565AB1">
            <w:pPr>
              <w:widowControl/>
              <w:jc w:val="center"/>
              <w:rPr>
                <w:rFonts w:ascii="Arial" w:eastAsia="Yu Gothic" w:hAnsi="Arial" w:cs="Arial"/>
                <w:b/>
                <w:bCs/>
                <w:color w:val="333399"/>
                <w:kern w:val="0"/>
                <w:sz w:val="20"/>
                <w:szCs w:val="20"/>
                <w14:ligatures w14:val="none"/>
              </w:rPr>
            </w:pPr>
          </w:p>
        </w:tc>
        <w:tc>
          <w:tcPr>
            <w:tcW w:w="1040" w:type="dxa"/>
            <w:tcBorders>
              <w:top w:val="nil"/>
              <w:left w:val="nil"/>
              <w:bottom w:val="single" w:sz="4" w:space="0" w:color="000000"/>
              <w:right w:val="nil"/>
            </w:tcBorders>
            <w:vAlign w:val="center"/>
            <w:hideMark/>
          </w:tcPr>
          <w:p w14:paraId="0504E8F0" w14:textId="77777777" w:rsidR="00565AB1" w:rsidRPr="00CC59C7" w:rsidRDefault="007C4B09" w:rsidP="00B34902">
            <w:pPr>
              <w:widowControl/>
              <w:jc w:val="center"/>
              <w:rPr>
                <w:rFonts w:ascii="Arial" w:eastAsia="Yu Gothic" w:hAnsi="Arial" w:cs="Arial"/>
                <w:b/>
                <w:bCs/>
                <w:color w:val="000000"/>
                <w:kern w:val="0"/>
                <w:sz w:val="20"/>
                <w:szCs w:val="20"/>
                <w14:ligatures w14:val="none"/>
              </w:rPr>
            </w:pPr>
            <w:r w:rsidRPr="00CC59C7">
              <w:rPr>
                <w:rFonts w:ascii="Arial" w:eastAsia="Yu Gothic" w:hAnsi="Arial" w:cs="Arial"/>
                <w:b/>
                <w:bCs/>
                <w:color w:val="000000"/>
                <w:kern w:val="0"/>
                <w:sz w:val="20"/>
                <w:szCs w:val="20"/>
                <w14:ligatures w14:val="none"/>
              </w:rPr>
              <w:t>Test statistic</w:t>
            </w:r>
          </w:p>
        </w:tc>
        <w:tc>
          <w:tcPr>
            <w:tcW w:w="1040" w:type="dxa"/>
            <w:tcBorders>
              <w:top w:val="nil"/>
              <w:left w:val="nil"/>
              <w:bottom w:val="single" w:sz="4" w:space="0" w:color="000000"/>
              <w:right w:val="nil"/>
            </w:tcBorders>
            <w:vAlign w:val="center"/>
            <w:hideMark/>
          </w:tcPr>
          <w:p w14:paraId="2868F716" w14:textId="77777777" w:rsidR="00565AB1" w:rsidRPr="00CC59C7" w:rsidRDefault="007C4B09" w:rsidP="00B34902">
            <w:pPr>
              <w:widowControl/>
              <w:jc w:val="center"/>
              <w:rPr>
                <w:rFonts w:ascii="Arial" w:eastAsia="Yu Gothic" w:hAnsi="Arial" w:cs="Arial"/>
                <w:b/>
                <w:bCs/>
                <w:color w:val="000000"/>
                <w:kern w:val="0"/>
                <w:sz w:val="20"/>
                <w:szCs w:val="20"/>
                <w14:ligatures w14:val="none"/>
              </w:rPr>
            </w:pPr>
            <w:r w:rsidRPr="00CC59C7">
              <w:rPr>
                <w:rFonts w:ascii="Arial" w:eastAsia="Yu Gothic" w:hAnsi="Arial" w:cs="Arial"/>
                <w:b/>
                <w:bCs/>
                <w:color w:val="000000"/>
                <w:kern w:val="0"/>
                <w:sz w:val="20"/>
                <w:szCs w:val="20"/>
                <w14:ligatures w14:val="none"/>
              </w:rPr>
              <w:t>Degree of freedom</w:t>
            </w:r>
          </w:p>
        </w:tc>
        <w:tc>
          <w:tcPr>
            <w:tcW w:w="1040" w:type="dxa"/>
            <w:tcBorders>
              <w:top w:val="nil"/>
              <w:left w:val="nil"/>
              <w:bottom w:val="single" w:sz="4" w:space="0" w:color="000000"/>
              <w:right w:val="nil"/>
            </w:tcBorders>
            <w:vAlign w:val="center"/>
            <w:hideMark/>
          </w:tcPr>
          <w:p w14:paraId="5DDBCDCC" w14:textId="77777777" w:rsidR="00565AB1" w:rsidRPr="00CC59C7" w:rsidRDefault="007C4B09" w:rsidP="00B34902">
            <w:pPr>
              <w:widowControl/>
              <w:jc w:val="center"/>
              <w:rPr>
                <w:rFonts w:ascii="Arial" w:eastAsia="Yu Gothic" w:hAnsi="Arial" w:cs="Arial"/>
                <w:b/>
                <w:bCs/>
                <w:color w:val="000000"/>
                <w:kern w:val="0"/>
                <w:sz w:val="20"/>
                <w:szCs w:val="20"/>
                <w14:ligatures w14:val="none"/>
              </w:rPr>
            </w:pPr>
            <w:r w:rsidRPr="00CC59C7">
              <w:rPr>
                <w:rFonts w:ascii="Arial" w:eastAsia="Yu Gothic" w:hAnsi="Arial" w:cs="Arial"/>
                <w:b/>
                <w:bCs/>
                <w:color w:val="000000"/>
                <w:kern w:val="0"/>
                <w:sz w:val="20"/>
                <w:szCs w:val="20"/>
                <w14:ligatures w14:val="none"/>
              </w:rPr>
              <w:t>p-value</w:t>
            </w:r>
          </w:p>
        </w:tc>
      </w:tr>
      <w:tr w:rsidR="00AD5839" w14:paraId="2D3D62B5" w14:textId="77777777" w:rsidTr="00565AB1">
        <w:trPr>
          <w:trHeight w:val="360"/>
        </w:trPr>
        <w:tc>
          <w:tcPr>
            <w:tcW w:w="1040" w:type="dxa"/>
            <w:tcBorders>
              <w:top w:val="nil"/>
              <w:left w:val="nil"/>
              <w:bottom w:val="nil"/>
              <w:right w:val="nil"/>
            </w:tcBorders>
            <w:hideMark/>
          </w:tcPr>
          <w:p w14:paraId="5A8344E2" w14:textId="77777777" w:rsidR="00565AB1" w:rsidRPr="00EB7FE8" w:rsidRDefault="007C4B09">
            <w:pPr>
              <w:widowControl/>
              <w:jc w:val="center"/>
              <w:rPr>
                <w:rFonts w:ascii="Arial" w:eastAsia="ＭＳ ゴシック" w:hAnsi="Arial" w:cs="Arial"/>
                <w:color w:val="333399"/>
                <w:kern w:val="0"/>
                <w:sz w:val="20"/>
                <w:szCs w:val="20"/>
                <w14:ligatures w14:val="none"/>
              </w:rPr>
            </w:pPr>
            <w:r w:rsidRPr="00EB7FE8">
              <w:rPr>
                <w:rFonts w:ascii="Arial" w:eastAsia="ＭＳ ゴシック" w:hAnsi="Arial" w:cs="Arial"/>
                <w:color w:val="333399"/>
                <w:kern w:val="0"/>
                <w:sz w:val="20"/>
                <w:szCs w:val="20"/>
                <w14:ligatures w14:val="none"/>
              </w:rPr>
              <w:t>V2</w:t>
            </w:r>
          </w:p>
        </w:tc>
        <w:tc>
          <w:tcPr>
            <w:tcW w:w="1040" w:type="dxa"/>
            <w:tcBorders>
              <w:top w:val="nil"/>
              <w:left w:val="nil"/>
              <w:bottom w:val="nil"/>
              <w:right w:val="nil"/>
            </w:tcBorders>
            <w:shd w:val="clear" w:color="000000" w:fill="FFFFFF"/>
            <w:noWrap/>
            <w:hideMark/>
          </w:tcPr>
          <w:p w14:paraId="78F67441" w14:textId="77777777" w:rsidR="00565AB1" w:rsidRPr="00EB7FE8" w:rsidRDefault="007C4B09">
            <w:pPr>
              <w:widowControl/>
              <w:jc w:val="center"/>
              <w:rPr>
                <w:rFonts w:ascii="Arial" w:eastAsia="ＭＳ ゴシック" w:hAnsi="Arial" w:cs="Arial"/>
                <w:color w:val="993300"/>
                <w:kern w:val="0"/>
                <w:sz w:val="20"/>
                <w:szCs w:val="20"/>
                <w14:ligatures w14:val="none"/>
              </w:rPr>
            </w:pPr>
            <w:r w:rsidRPr="00EB7FE8">
              <w:rPr>
                <w:rFonts w:ascii="Arial" w:eastAsia="ＭＳ ゴシック" w:hAnsi="Arial" w:cs="Arial"/>
                <w:color w:val="993300"/>
                <w:kern w:val="0"/>
                <w:sz w:val="20"/>
                <w:szCs w:val="20"/>
                <w14:ligatures w14:val="none"/>
              </w:rPr>
              <w:t>0.925</w:t>
            </w:r>
          </w:p>
        </w:tc>
        <w:tc>
          <w:tcPr>
            <w:tcW w:w="1040" w:type="dxa"/>
            <w:tcBorders>
              <w:top w:val="nil"/>
              <w:left w:val="nil"/>
              <w:bottom w:val="nil"/>
              <w:right w:val="nil"/>
            </w:tcBorders>
            <w:shd w:val="clear" w:color="000000" w:fill="FFFFFF"/>
            <w:noWrap/>
            <w:hideMark/>
          </w:tcPr>
          <w:p w14:paraId="21D6DFDF" w14:textId="77777777" w:rsidR="00565AB1" w:rsidRPr="00EB7FE8" w:rsidRDefault="007C4B09">
            <w:pPr>
              <w:widowControl/>
              <w:jc w:val="center"/>
              <w:rPr>
                <w:rFonts w:ascii="Arial" w:eastAsia="ＭＳ ゴシック" w:hAnsi="Arial" w:cs="Arial"/>
                <w:color w:val="993300"/>
                <w:kern w:val="0"/>
                <w:sz w:val="20"/>
                <w:szCs w:val="20"/>
                <w14:ligatures w14:val="none"/>
              </w:rPr>
            </w:pPr>
            <w:r w:rsidRPr="00EB7FE8">
              <w:rPr>
                <w:rFonts w:ascii="Arial" w:eastAsia="ＭＳ ゴシック" w:hAnsi="Arial" w:cs="Arial"/>
                <w:color w:val="993300"/>
                <w:kern w:val="0"/>
                <w:sz w:val="20"/>
                <w:szCs w:val="20"/>
                <w14:ligatures w14:val="none"/>
              </w:rPr>
              <w:t>10</w:t>
            </w:r>
          </w:p>
        </w:tc>
        <w:tc>
          <w:tcPr>
            <w:tcW w:w="1040" w:type="dxa"/>
            <w:tcBorders>
              <w:top w:val="nil"/>
              <w:left w:val="nil"/>
              <w:bottom w:val="nil"/>
              <w:right w:val="nil"/>
            </w:tcBorders>
            <w:shd w:val="clear" w:color="000000" w:fill="FFFFFF"/>
            <w:noWrap/>
            <w:hideMark/>
          </w:tcPr>
          <w:p w14:paraId="4B572409" w14:textId="77777777" w:rsidR="00565AB1" w:rsidRPr="00EB7FE8" w:rsidRDefault="007C4B09">
            <w:pPr>
              <w:widowControl/>
              <w:jc w:val="center"/>
              <w:rPr>
                <w:rFonts w:ascii="Arial" w:eastAsia="ＭＳ ゴシック" w:hAnsi="Arial" w:cs="Arial"/>
                <w:color w:val="993300"/>
                <w:kern w:val="0"/>
                <w:sz w:val="20"/>
                <w:szCs w:val="20"/>
                <w14:ligatures w14:val="none"/>
              </w:rPr>
            </w:pPr>
            <w:r w:rsidRPr="00EB7FE8">
              <w:rPr>
                <w:rFonts w:ascii="Arial" w:eastAsia="ＭＳ ゴシック" w:hAnsi="Arial" w:cs="Arial"/>
                <w:color w:val="993300"/>
                <w:kern w:val="0"/>
                <w:sz w:val="20"/>
                <w:szCs w:val="20"/>
                <w14:ligatures w14:val="none"/>
              </w:rPr>
              <w:t>0.404</w:t>
            </w:r>
          </w:p>
        </w:tc>
        <w:tc>
          <w:tcPr>
            <w:tcW w:w="1040" w:type="dxa"/>
            <w:tcBorders>
              <w:top w:val="nil"/>
              <w:left w:val="nil"/>
              <w:bottom w:val="nil"/>
              <w:right w:val="nil"/>
            </w:tcBorders>
            <w:shd w:val="clear" w:color="000000" w:fill="FFFFFF"/>
            <w:noWrap/>
            <w:hideMark/>
          </w:tcPr>
          <w:p w14:paraId="690E45AF" w14:textId="77777777" w:rsidR="00565AB1" w:rsidRPr="008A1391" w:rsidRDefault="007C4B09">
            <w:pPr>
              <w:widowControl/>
              <w:rPr>
                <w:rFonts w:ascii="Arial" w:eastAsia="ＭＳ ゴシック" w:hAnsi="Arial" w:cs="Arial"/>
                <w:color w:val="993300"/>
                <w:kern w:val="0"/>
                <w:sz w:val="20"/>
                <w:szCs w:val="20"/>
                <w14:ligatures w14:val="none"/>
              </w:rPr>
            </w:pPr>
            <w:r w:rsidRPr="008A1391">
              <w:rPr>
                <w:rFonts w:ascii="Arial" w:eastAsia="ＭＳ ゴシック" w:hAnsi="Arial" w:cs="Arial" w:hint="eastAsia"/>
                <w:color w:val="993300"/>
                <w:kern w:val="0"/>
                <w:sz w:val="20"/>
                <w:szCs w:val="20"/>
                <w14:ligatures w14:val="none"/>
              </w:rPr>
              <w:t xml:space="preserve">　</w:t>
            </w:r>
          </w:p>
        </w:tc>
        <w:tc>
          <w:tcPr>
            <w:tcW w:w="1040" w:type="dxa"/>
            <w:tcBorders>
              <w:top w:val="nil"/>
              <w:left w:val="nil"/>
              <w:bottom w:val="nil"/>
              <w:right w:val="nil"/>
            </w:tcBorders>
            <w:hideMark/>
          </w:tcPr>
          <w:p w14:paraId="6394314D" w14:textId="77777777" w:rsidR="00565AB1" w:rsidRPr="00EB7FE8" w:rsidRDefault="007C4B09">
            <w:pPr>
              <w:widowControl/>
              <w:jc w:val="center"/>
              <w:rPr>
                <w:rFonts w:ascii="Arial" w:eastAsia="ＭＳ ゴシック" w:hAnsi="Arial" w:cs="Arial"/>
                <w:color w:val="333399"/>
                <w:kern w:val="0"/>
                <w:sz w:val="20"/>
                <w:szCs w:val="20"/>
                <w14:ligatures w14:val="none"/>
              </w:rPr>
            </w:pPr>
            <w:r w:rsidRPr="00EB7FE8">
              <w:rPr>
                <w:rFonts w:ascii="Arial" w:eastAsia="ＭＳ ゴシック" w:hAnsi="Arial" w:cs="Arial"/>
                <w:color w:val="333399"/>
                <w:kern w:val="0"/>
                <w:sz w:val="20"/>
                <w:szCs w:val="20"/>
                <w14:ligatures w14:val="none"/>
              </w:rPr>
              <w:t>V2</w:t>
            </w:r>
          </w:p>
        </w:tc>
        <w:tc>
          <w:tcPr>
            <w:tcW w:w="1040" w:type="dxa"/>
            <w:tcBorders>
              <w:top w:val="nil"/>
              <w:left w:val="nil"/>
              <w:bottom w:val="nil"/>
              <w:right w:val="nil"/>
            </w:tcBorders>
            <w:shd w:val="clear" w:color="000000" w:fill="FFFFFF"/>
            <w:noWrap/>
            <w:hideMark/>
          </w:tcPr>
          <w:p w14:paraId="473431EF" w14:textId="77777777" w:rsidR="00565AB1" w:rsidRPr="00EB7FE8" w:rsidRDefault="007C4B09">
            <w:pPr>
              <w:widowControl/>
              <w:jc w:val="center"/>
              <w:rPr>
                <w:rFonts w:ascii="Arial" w:eastAsia="ＭＳ ゴシック" w:hAnsi="Arial" w:cs="Arial"/>
                <w:color w:val="993300"/>
                <w:kern w:val="0"/>
                <w:sz w:val="20"/>
                <w:szCs w:val="20"/>
                <w14:ligatures w14:val="none"/>
              </w:rPr>
            </w:pPr>
            <w:r w:rsidRPr="00EB7FE8">
              <w:rPr>
                <w:rFonts w:ascii="Arial" w:eastAsia="ＭＳ ゴシック" w:hAnsi="Arial" w:cs="Arial"/>
                <w:color w:val="993300"/>
                <w:kern w:val="0"/>
                <w:sz w:val="20"/>
                <w:szCs w:val="20"/>
                <w14:ligatures w14:val="none"/>
              </w:rPr>
              <w:t>0.897</w:t>
            </w:r>
          </w:p>
        </w:tc>
        <w:tc>
          <w:tcPr>
            <w:tcW w:w="1040" w:type="dxa"/>
            <w:tcBorders>
              <w:top w:val="nil"/>
              <w:left w:val="nil"/>
              <w:bottom w:val="nil"/>
              <w:right w:val="nil"/>
            </w:tcBorders>
            <w:shd w:val="clear" w:color="000000" w:fill="FFFFFF"/>
            <w:noWrap/>
            <w:hideMark/>
          </w:tcPr>
          <w:p w14:paraId="386C8B4C" w14:textId="77777777" w:rsidR="00565AB1" w:rsidRPr="00EB7FE8" w:rsidRDefault="007C4B09">
            <w:pPr>
              <w:widowControl/>
              <w:jc w:val="center"/>
              <w:rPr>
                <w:rFonts w:ascii="Arial" w:eastAsia="ＭＳ ゴシック" w:hAnsi="Arial" w:cs="Arial"/>
                <w:color w:val="993300"/>
                <w:kern w:val="0"/>
                <w:sz w:val="20"/>
                <w:szCs w:val="20"/>
                <w14:ligatures w14:val="none"/>
              </w:rPr>
            </w:pPr>
            <w:r w:rsidRPr="00EB7FE8">
              <w:rPr>
                <w:rFonts w:ascii="Arial" w:eastAsia="ＭＳ ゴシック" w:hAnsi="Arial" w:cs="Arial"/>
                <w:color w:val="993300"/>
                <w:kern w:val="0"/>
                <w:sz w:val="20"/>
                <w:szCs w:val="20"/>
                <w14:ligatures w14:val="none"/>
              </w:rPr>
              <w:t>9</w:t>
            </w:r>
          </w:p>
        </w:tc>
        <w:tc>
          <w:tcPr>
            <w:tcW w:w="1040" w:type="dxa"/>
            <w:tcBorders>
              <w:top w:val="nil"/>
              <w:left w:val="nil"/>
              <w:bottom w:val="nil"/>
              <w:right w:val="nil"/>
            </w:tcBorders>
            <w:shd w:val="clear" w:color="000000" w:fill="FFFFFF"/>
            <w:noWrap/>
            <w:hideMark/>
          </w:tcPr>
          <w:p w14:paraId="3728A48C" w14:textId="77777777" w:rsidR="00565AB1" w:rsidRPr="00EB7FE8" w:rsidRDefault="007C4B09">
            <w:pPr>
              <w:widowControl/>
              <w:jc w:val="center"/>
              <w:rPr>
                <w:rFonts w:ascii="Arial" w:eastAsia="ＭＳ ゴシック" w:hAnsi="Arial" w:cs="Arial"/>
                <w:color w:val="993300"/>
                <w:kern w:val="0"/>
                <w:sz w:val="20"/>
                <w:szCs w:val="20"/>
                <w14:ligatures w14:val="none"/>
              </w:rPr>
            </w:pPr>
            <w:r w:rsidRPr="00EB7FE8">
              <w:rPr>
                <w:rFonts w:ascii="Arial" w:eastAsia="ＭＳ ゴシック" w:hAnsi="Arial" w:cs="Arial"/>
                <w:color w:val="993300"/>
                <w:kern w:val="0"/>
                <w:sz w:val="20"/>
                <w:szCs w:val="20"/>
                <w14:ligatures w14:val="none"/>
              </w:rPr>
              <w:t>0.233</w:t>
            </w:r>
          </w:p>
        </w:tc>
      </w:tr>
      <w:tr w:rsidR="00AD5839" w14:paraId="147154C4" w14:textId="77777777" w:rsidTr="00565AB1">
        <w:trPr>
          <w:trHeight w:val="360"/>
        </w:trPr>
        <w:tc>
          <w:tcPr>
            <w:tcW w:w="1040" w:type="dxa"/>
            <w:tcBorders>
              <w:top w:val="nil"/>
              <w:left w:val="nil"/>
              <w:bottom w:val="nil"/>
              <w:right w:val="nil"/>
            </w:tcBorders>
            <w:hideMark/>
          </w:tcPr>
          <w:p w14:paraId="2700770C" w14:textId="77777777" w:rsidR="00565AB1" w:rsidRPr="00EB7FE8" w:rsidRDefault="007C4B09">
            <w:pPr>
              <w:widowControl/>
              <w:jc w:val="center"/>
              <w:rPr>
                <w:rFonts w:ascii="Arial" w:eastAsia="ＭＳ ゴシック" w:hAnsi="Arial" w:cs="Arial"/>
                <w:color w:val="333399"/>
                <w:kern w:val="0"/>
                <w:sz w:val="20"/>
                <w:szCs w:val="20"/>
                <w14:ligatures w14:val="none"/>
              </w:rPr>
            </w:pPr>
            <w:r w:rsidRPr="00EB7FE8">
              <w:rPr>
                <w:rFonts w:ascii="Arial" w:eastAsia="ＭＳ ゴシック" w:hAnsi="Arial" w:cs="Arial"/>
                <w:color w:val="333399"/>
                <w:kern w:val="0"/>
                <w:sz w:val="20"/>
                <w:szCs w:val="20"/>
                <w14:ligatures w14:val="none"/>
              </w:rPr>
              <w:t>V4</w:t>
            </w:r>
          </w:p>
        </w:tc>
        <w:tc>
          <w:tcPr>
            <w:tcW w:w="1040" w:type="dxa"/>
            <w:tcBorders>
              <w:top w:val="nil"/>
              <w:left w:val="nil"/>
              <w:bottom w:val="nil"/>
              <w:right w:val="nil"/>
            </w:tcBorders>
            <w:shd w:val="clear" w:color="000000" w:fill="FFFFFF"/>
            <w:noWrap/>
            <w:hideMark/>
          </w:tcPr>
          <w:p w14:paraId="57E3D12A" w14:textId="77777777" w:rsidR="00565AB1" w:rsidRPr="00EB7FE8" w:rsidRDefault="007C4B09">
            <w:pPr>
              <w:widowControl/>
              <w:jc w:val="center"/>
              <w:rPr>
                <w:rFonts w:ascii="Arial" w:eastAsia="ＭＳ ゴシック" w:hAnsi="Arial" w:cs="Arial"/>
                <w:color w:val="993300"/>
                <w:kern w:val="0"/>
                <w:sz w:val="20"/>
                <w:szCs w:val="20"/>
                <w14:ligatures w14:val="none"/>
              </w:rPr>
            </w:pPr>
            <w:r w:rsidRPr="00EB7FE8">
              <w:rPr>
                <w:rFonts w:ascii="Arial" w:eastAsia="ＭＳ ゴシック" w:hAnsi="Arial" w:cs="Arial"/>
                <w:color w:val="993300"/>
                <w:kern w:val="0"/>
                <w:sz w:val="20"/>
                <w:szCs w:val="20"/>
                <w14:ligatures w14:val="none"/>
              </w:rPr>
              <w:t>0.949</w:t>
            </w:r>
          </w:p>
        </w:tc>
        <w:tc>
          <w:tcPr>
            <w:tcW w:w="1040" w:type="dxa"/>
            <w:tcBorders>
              <w:top w:val="nil"/>
              <w:left w:val="nil"/>
              <w:bottom w:val="nil"/>
              <w:right w:val="nil"/>
            </w:tcBorders>
            <w:shd w:val="clear" w:color="000000" w:fill="FFFFFF"/>
            <w:noWrap/>
            <w:hideMark/>
          </w:tcPr>
          <w:p w14:paraId="59DC0EE0" w14:textId="77777777" w:rsidR="00565AB1" w:rsidRPr="00EB7FE8" w:rsidRDefault="007C4B09">
            <w:pPr>
              <w:widowControl/>
              <w:jc w:val="center"/>
              <w:rPr>
                <w:rFonts w:ascii="Arial" w:eastAsia="ＭＳ ゴシック" w:hAnsi="Arial" w:cs="Arial"/>
                <w:color w:val="993300"/>
                <w:kern w:val="0"/>
                <w:sz w:val="20"/>
                <w:szCs w:val="20"/>
                <w14:ligatures w14:val="none"/>
              </w:rPr>
            </w:pPr>
            <w:r w:rsidRPr="00EB7FE8">
              <w:rPr>
                <w:rFonts w:ascii="Arial" w:eastAsia="ＭＳ ゴシック" w:hAnsi="Arial" w:cs="Arial"/>
                <w:color w:val="993300"/>
                <w:kern w:val="0"/>
                <w:sz w:val="20"/>
                <w:szCs w:val="20"/>
                <w14:ligatures w14:val="none"/>
              </w:rPr>
              <w:t>10</w:t>
            </w:r>
          </w:p>
        </w:tc>
        <w:tc>
          <w:tcPr>
            <w:tcW w:w="1040" w:type="dxa"/>
            <w:tcBorders>
              <w:top w:val="nil"/>
              <w:left w:val="nil"/>
              <w:bottom w:val="nil"/>
              <w:right w:val="nil"/>
            </w:tcBorders>
            <w:shd w:val="clear" w:color="000000" w:fill="FFFFFF"/>
            <w:noWrap/>
            <w:hideMark/>
          </w:tcPr>
          <w:p w14:paraId="6A338050" w14:textId="77777777" w:rsidR="00565AB1" w:rsidRPr="00EB7FE8" w:rsidRDefault="007C4B09">
            <w:pPr>
              <w:widowControl/>
              <w:jc w:val="center"/>
              <w:rPr>
                <w:rFonts w:ascii="Arial" w:eastAsia="ＭＳ ゴシック" w:hAnsi="Arial" w:cs="Arial"/>
                <w:color w:val="993300"/>
                <w:kern w:val="0"/>
                <w:sz w:val="20"/>
                <w:szCs w:val="20"/>
                <w14:ligatures w14:val="none"/>
              </w:rPr>
            </w:pPr>
            <w:r w:rsidRPr="00EB7FE8">
              <w:rPr>
                <w:rFonts w:ascii="Arial" w:eastAsia="ＭＳ ゴシック" w:hAnsi="Arial" w:cs="Arial"/>
                <w:color w:val="993300"/>
                <w:kern w:val="0"/>
                <w:sz w:val="20"/>
                <w:szCs w:val="20"/>
                <w14:ligatures w14:val="none"/>
              </w:rPr>
              <w:t>0.656</w:t>
            </w:r>
          </w:p>
        </w:tc>
        <w:tc>
          <w:tcPr>
            <w:tcW w:w="1040" w:type="dxa"/>
            <w:tcBorders>
              <w:top w:val="nil"/>
              <w:left w:val="nil"/>
              <w:bottom w:val="nil"/>
              <w:right w:val="nil"/>
            </w:tcBorders>
            <w:shd w:val="clear" w:color="000000" w:fill="FFFFFF"/>
            <w:noWrap/>
            <w:hideMark/>
          </w:tcPr>
          <w:p w14:paraId="54CE6E34" w14:textId="77777777" w:rsidR="00565AB1" w:rsidRPr="008A1391" w:rsidRDefault="007C4B09">
            <w:pPr>
              <w:widowControl/>
              <w:rPr>
                <w:rFonts w:ascii="Arial" w:eastAsia="ＭＳ ゴシック" w:hAnsi="Arial" w:cs="Arial"/>
                <w:color w:val="993300"/>
                <w:kern w:val="0"/>
                <w:sz w:val="20"/>
                <w:szCs w:val="20"/>
                <w14:ligatures w14:val="none"/>
              </w:rPr>
            </w:pPr>
            <w:r w:rsidRPr="008A1391">
              <w:rPr>
                <w:rFonts w:ascii="Arial" w:eastAsia="ＭＳ ゴシック" w:hAnsi="Arial" w:cs="Arial" w:hint="eastAsia"/>
                <w:color w:val="993300"/>
                <w:kern w:val="0"/>
                <w:sz w:val="20"/>
                <w:szCs w:val="20"/>
                <w14:ligatures w14:val="none"/>
              </w:rPr>
              <w:t xml:space="preserve">　</w:t>
            </w:r>
          </w:p>
        </w:tc>
        <w:tc>
          <w:tcPr>
            <w:tcW w:w="1040" w:type="dxa"/>
            <w:tcBorders>
              <w:top w:val="nil"/>
              <w:left w:val="nil"/>
              <w:bottom w:val="nil"/>
              <w:right w:val="nil"/>
            </w:tcBorders>
            <w:hideMark/>
          </w:tcPr>
          <w:p w14:paraId="0E66A55F" w14:textId="77777777" w:rsidR="00565AB1" w:rsidRPr="00EB7FE8" w:rsidRDefault="007C4B09">
            <w:pPr>
              <w:widowControl/>
              <w:jc w:val="center"/>
              <w:rPr>
                <w:rFonts w:ascii="Arial" w:eastAsia="ＭＳ ゴシック" w:hAnsi="Arial" w:cs="Arial"/>
                <w:color w:val="333399"/>
                <w:kern w:val="0"/>
                <w:sz w:val="20"/>
                <w:szCs w:val="20"/>
                <w14:ligatures w14:val="none"/>
              </w:rPr>
            </w:pPr>
            <w:r w:rsidRPr="00EB7FE8">
              <w:rPr>
                <w:rFonts w:ascii="Arial" w:eastAsia="ＭＳ ゴシック" w:hAnsi="Arial" w:cs="Arial"/>
                <w:color w:val="333399"/>
                <w:kern w:val="0"/>
                <w:sz w:val="20"/>
                <w:szCs w:val="20"/>
                <w14:ligatures w14:val="none"/>
              </w:rPr>
              <w:t>V4</w:t>
            </w:r>
          </w:p>
        </w:tc>
        <w:tc>
          <w:tcPr>
            <w:tcW w:w="1040" w:type="dxa"/>
            <w:tcBorders>
              <w:top w:val="nil"/>
              <w:left w:val="nil"/>
              <w:bottom w:val="nil"/>
              <w:right w:val="nil"/>
            </w:tcBorders>
            <w:shd w:val="clear" w:color="000000" w:fill="FFFFFF"/>
            <w:noWrap/>
            <w:hideMark/>
          </w:tcPr>
          <w:p w14:paraId="12E2F73F" w14:textId="77777777" w:rsidR="00565AB1" w:rsidRPr="00EB7FE8" w:rsidRDefault="007C4B09">
            <w:pPr>
              <w:widowControl/>
              <w:jc w:val="center"/>
              <w:rPr>
                <w:rFonts w:ascii="Arial" w:eastAsia="ＭＳ ゴシック" w:hAnsi="Arial" w:cs="Arial"/>
                <w:color w:val="993300"/>
                <w:kern w:val="0"/>
                <w:sz w:val="20"/>
                <w:szCs w:val="20"/>
                <w14:ligatures w14:val="none"/>
              </w:rPr>
            </w:pPr>
            <w:r w:rsidRPr="00EB7FE8">
              <w:rPr>
                <w:rFonts w:ascii="Arial" w:eastAsia="ＭＳ ゴシック" w:hAnsi="Arial" w:cs="Arial"/>
                <w:color w:val="993300"/>
                <w:kern w:val="0"/>
                <w:sz w:val="20"/>
                <w:szCs w:val="20"/>
                <w14:ligatures w14:val="none"/>
              </w:rPr>
              <w:t>0.804</w:t>
            </w:r>
          </w:p>
        </w:tc>
        <w:tc>
          <w:tcPr>
            <w:tcW w:w="1040" w:type="dxa"/>
            <w:tcBorders>
              <w:top w:val="nil"/>
              <w:left w:val="nil"/>
              <w:bottom w:val="nil"/>
              <w:right w:val="nil"/>
            </w:tcBorders>
            <w:shd w:val="clear" w:color="000000" w:fill="FFFFFF"/>
            <w:noWrap/>
            <w:hideMark/>
          </w:tcPr>
          <w:p w14:paraId="2833D52D" w14:textId="77777777" w:rsidR="00565AB1" w:rsidRPr="00EB7FE8" w:rsidRDefault="007C4B09">
            <w:pPr>
              <w:widowControl/>
              <w:jc w:val="center"/>
              <w:rPr>
                <w:rFonts w:ascii="Arial" w:eastAsia="ＭＳ ゴシック" w:hAnsi="Arial" w:cs="Arial"/>
                <w:color w:val="993300"/>
                <w:kern w:val="0"/>
                <w:sz w:val="20"/>
                <w:szCs w:val="20"/>
                <w14:ligatures w14:val="none"/>
              </w:rPr>
            </w:pPr>
            <w:r w:rsidRPr="00EB7FE8">
              <w:rPr>
                <w:rFonts w:ascii="Arial" w:eastAsia="ＭＳ ゴシック" w:hAnsi="Arial" w:cs="Arial"/>
                <w:color w:val="993300"/>
                <w:kern w:val="0"/>
                <w:sz w:val="20"/>
                <w:szCs w:val="20"/>
                <w14:ligatures w14:val="none"/>
              </w:rPr>
              <w:t>9</w:t>
            </w:r>
          </w:p>
        </w:tc>
        <w:tc>
          <w:tcPr>
            <w:tcW w:w="1040" w:type="dxa"/>
            <w:tcBorders>
              <w:top w:val="nil"/>
              <w:left w:val="nil"/>
              <w:bottom w:val="nil"/>
              <w:right w:val="nil"/>
            </w:tcBorders>
            <w:shd w:val="clear" w:color="000000" w:fill="FFFFFF"/>
            <w:noWrap/>
            <w:hideMark/>
          </w:tcPr>
          <w:p w14:paraId="6785D60B" w14:textId="77777777" w:rsidR="00565AB1" w:rsidRPr="00EB7FE8" w:rsidRDefault="007C4B09">
            <w:pPr>
              <w:widowControl/>
              <w:jc w:val="center"/>
              <w:rPr>
                <w:rFonts w:ascii="Arial" w:eastAsia="ＭＳ ゴシック" w:hAnsi="Arial" w:cs="Arial"/>
                <w:color w:val="993300"/>
                <w:kern w:val="0"/>
                <w:sz w:val="20"/>
                <w:szCs w:val="20"/>
                <w14:ligatures w14:val="none"/>
              </w:rPr>
            </w:pPr>
            <w:r w:rsidRPr="00EB7FE8">
              <w:rPr>
                <w:rFonts w:ascii="Arial" w:eastAsia="ＭＳ ゴシック" w:hAnsi="Arial" w:cs="Arial"/>
                <w:color w:val="993300"/>
                <w:kern w:val="0"/>
                <w:sz w:val="20"/>
                <w:szCs w:val="20"/>
                <w14:ligatures w14:val="none"/>
              </w:rPr>
              <w:t>0.023</w:t>
            </w:r>
          </w:p>
        </w:tc>
      </w:tr>
      <w:tr w:rsidR="00AD5839" w14:paraId="2C02C5A1" w14:textId="77777777" w:rsidTr="00565AB1">
        <w:trPr>
          <w:trHeight w:val="360"/>
        </w:trPr>
        <w:tc>
          <w:tcPr>
            <w:tcW w:w="1040" w:type="dxa"/>
            <w:tcBorders>
              <w:top w:val="nil"/>
              <w:left w:val="nil"/>
              <w:bottom w:val="nil"/>
              <w:right w:val="nil"/>
            </w:tcBorders>
            <w:hideMark/>
          </w:tcPr>
          <w:p w14:paraId="5ACDA4D7" w14:textId="77777777" w:rsidR="00565AB1" w:rsidRPr="00EB7FE8" w:rsidRDefault="007C4B09">
            <w:pPr>
              <w:widowControl/>
              <w:jc w:val="center"/>
              <w:rPr>
                <w:rFonts w:ascii="Arial" w:eastAsia="ＭＳ ゴシック" w:hAnsi="Arial" w:cs="Arial"/>
                <w:color w:val="333399"/>
                <w:kern w:val="0"/>
                <w:sz w:val="20"/>
                <w:szCs w:val="20"/>
                <w14:ligatures w14:val="none"/>
              </w:rPr>
            </w:pPr>
            <w:r w:rsidRPr="00EB7FE8">
              <w:rPr>
                <w:rFonts w:ascii="Arial" w:eastAsia="ＭＳ ゴシック" w:hAnsi="Arial" w:cs="Arial"/>
                <w:color w:val="333399"/>
                <w:kern w:val="0"/>
                <w:sz w:val="20"/>
                <w:szCs w:val="20"/>
                <w14:ligatures w14:val="none"/>
              </w:rPr>
              <w:t>V8</w:t>
            </w:r>
          </w:p>
        </w:tc>
        <w:tc>
          <w:tcPr>
            <w:tcW w:w="1040" w:type="dxa"/>
            <w:tcBorders>
              <w:top w:val="nil"/>
              <w:left w:val="nil"/>
              <w:bottom w:val="nil"/>
              <w:right w:val="nil"/>
            </w:tcBorders>
            <w:shd w:val="clear" w:color="000000" w:fill="FFFFFF"/>
            <w:noWrap/>
            <w:hideMark/>
          </w:tcPr>
          <w:p w14:paraId="1E39AA71" w14:textId="77777777" w:rsidR="00565AB1" w:rsidRPr="00EB7FE8" w:rsidRDefault="007C4B09">
            <w:pPr>
              <w:widowControl/>
              <w:jc w:val="center"/>
              <w:rPr>
                <w:rFonts w:ascii="Arial" w:eastAsia="ＭＳ ゴシック" w:hAnsi="Arial" w:cs="Arial"/>
                <w:color w:val="993300"/>
                <w:kern w:val="0"/>
                <w:sz w:val="20"/>
                <w:szCs w:val="20"/>
                <w14:ligatures w14:val="none"/>
              </w:rPr>
            </w:pPr>
            <w:r w:rsidRPr="00EB7FE8">
              <w:rPr>
                <w:rFonts w:ascii="Arial" w:eastAsia="ＭＳ ゴシック" w:hAnsi="Arial" w:cs="Arial"/>
                <w:color w:val="993300"/>
                <w:kern w:val="0"/>
                <w:sz w:val="20"/>
                <w:szCs w:val="20"/>
                <w14:ligatures w14:val="none"/>
              </w:rPr>
              <w:t>0.969</w:t>
            </w:r>
          </w:p>
        </w:tc>
        <w:tc>
          <w:tcPr>
            <w:tcW w:w="1040" w:type="dxa"/>
            <w:tcBorders>
              <w:top w:val="nil"/>
              <w:left w:val="nil"/>
              <w:bottom w:val="nil"/>
              <w:right w:val="nil"/>
            </w:tcBorders>
            <w:shd w:val="clear" w:color="000000" w:fill="FFFFFF"/>
            <w:noWrap/>
            <w:hideMark/>
          </w:tcPr>
          <w:p w14:paraId="254C7ED4" w14:textId="77777777" w:rsidR="00565AB1" w:rsidRPr="00EB7FE8" w:rsidRDefault="007C4B09">
            <w:pPr>
              <w:widowControl/>
              <w:jc w:val="center"/>
              <w:rPr>
                <w:rFonts w:ascii="Arial" w:eastAsia="ＭＳ ゴシック" w:hAnsi="Arial" w:cs="Arial"/>
                <w:color w:val="993300"/>
                <w:kern w:val="0"/>
                <w:sz w:val="20"/>
                <w:szCs w:val="20"/>
                <w14:ligatures w14:val="none"/>
              </w:rPr>
            </w:pPr>
            <w:r w:rsidRPr="00EB7FE8">
              <w:rPr>
                <w:rFonts w:ascii="Arial" w:eastAsia="ＭＳ ゴシック" w:hAnsi="Arial" w:cs="Arial"/>
                <w:color w:val="993300"/>
                <w:kern w:val="0"/>
                <w:sz w:val="20"/>
                <w:szCs w:val="20"/>
                <w14:ligatures w14:val="none"/>
              </w:rPr>
              <w:t>10</w:t>
            </w:r>
          </w:p>
        </w:tc>
        <w:tc>
          <w:tcPr>
            <w:tcW w:w="1040" w:type="dxa"/>
            <w:tcBorders>
              <w:top w:val="nil"/>
              <w:left w:val="nil"/>
              <w:bottom w:val="nil"/>
              <w:right w:val="nil"/>
            </w:tcBorders>
            <w:shd w:val="clear" w:color="000000" w:fill="FFFFFF"/>
            <w:noWrap/>
            <w:hideMark/>
          </w:tcPr>
          <w:p w14:paraId="02AA5353" w14:textId="77777777" w:rsidR="00565AB1" w:rsidRPr="00EB7FE8" w:rsidRDefault="007C4B09">
            <w:pPr>
              <w:widowControl/>
              <w:jc w:val="center"/>
              <w:rPr>
                <w:rFonts w:ascii="Arial" w:eastAsia="ＭＳ ゴシック" w:hAnsi="Arial" w:cs="Arial"/>
                <w:color w:val="993300"/>
                <w:kern w:val="0"/>
                <w:sz w:val="20"/>
                <w:szCs w:val="20"/>
                <w14:ligatures w14:val="none"/>
              </w:rPr>
            </w:pPr>
            <w:r w:rsidRPr="00EB7FE8">
              <w:rPr>
                <w:rFonts w:ascii="Arial" w:eastAsia="ＭＳ ゴシック" w:hAnsi="Arial" w:cs="Arial"/>
                <w:color w:val="993300"/>
                <w:kern w:val="0"/>
                <w:sz w:val="20"/>
                <w:szCs w:val="20"/>
                <w14:ligatures w14:val="none"/>
              </w:rPr>
              <w:t>0.881</w:t>
            </w:r>
          </w:p>
        </w:tc>
        <w:tc>
          <w:tcPr>
            <w:tcW w:w="1040" w:type="dxa"/>
            <w:tcBorders>
              <w:top w:val="nil"/>
              <w:left w:val="nil"/>
              <w:bottom w:val="nil"/>
              <w:right w:val="nil"/>
            </w:tcBorders>
            <w:shd w:val="clear" w:color="000000" w:fill="FFFFFF"/>
            <w:noWrap/>
            <w:hideMark/>
          </w:tcPr>
          <w:p w14:paraId="5B4B557E" w14:textId="77777777" w:rsidR="00565AB1" w:rsidRPr="008A1391" w:rsidRDefault="007C4B09">
            <w:pPr>
              <w:widowControl/>
              <w:rPr>
                <w:rFonts w:ascii="Arial" w:eastAsia="ＭＳ ゴシック" w:hAnsi="Arial" w:cs="Arial"/>
                <w:color w:val="993300"/>
                <w:kern w:val="0"/>
                <w:sz w:val="20"/>
                <w:szCs w:val="20"/>
                <w14:ligatures w14:val="none"/>
              </w:rPr>
            </w:pPr>
            <w:r w:rsidRPr="008A1391">
              <w:rPr>
                <w:rFonts w:ascii="Arial" w:eastAsia="ＭＳ ゴシック" w:hAnsi="Arial" w:cs="Arial" w:hint="eastAsia"/>
                <w:color w:val="993300"/>
                <w:kern w:val="0"/>
                <w:sz w:val="20"/>
                <w:szCs w:val="20"/>
                <w14:ligatures w14:val="none"/>
              </w:rPr>
              <w:t xml:space="preserve">　</w:t>
            </w:r>
          </w:p>
        </w:tc>
        <w:tc>
          <w:tcPr>
            <w:tcW w:w="1040" w:type="dxa"/>
            <w:tcBorders>
              <w:top w:val="nil"/>
              <w:left w:val="nil"/>
              <w:bottom w:val="nil"/>
              <w:right w:val="nil"/>
            </w:tcBorders>
            <w:hideMark/>
          </w:tcPr>
          <w:p w14:paraId="741BA168" w14:textId="77777777" w:rsidR="00565AB1" w:rsidRPr="00EB7FE8" w:rsidRDefault="007C4B09">
            <w:pPr>
              <w:widowControl/>
              <w:jc w:val="center"/>
              <w:rPr>
                <w:rFonts w:ascii="Arial" w:eastAsia="ＭＳ ゴシック" w:hAnsi="Arial" w:cs="Arial"/>
                <w:color w:val="333399"/>
                <w:kern w:val="0"/>
                <w:sz w:val="20"/>
                <w:szCs w:val="20"/>
                <w14:ligatures w14:val="none"/>
              </w:rPr>
            </w:pPr>
            <w:r w:rsidRPr="00EB7FE8">
              <w:rPr>
                <w:rFonts w:ascii="Arial" w:eastAsia="ＭＳ ゴシック" w:hAnsi="Arial" w:cs="Arial"/>
                <w:color w:val="333399"/>
                <w:kern w:val="0"/>
                <w:sz w:val="20"/>
                <w:szCs w:val="20"/>
                <w14:ligatures w14:val="none"/>
              </w:rPr>
              <w:t>V8</w:t>
            </w:r>
          </w:p>
        </w:tc>
        <w:tc>
          <w:tcPr>
            <w:tcW w:w="1040" w:type="dxa"/>
            <w:tcBorders>
              <w:top w:val="nil"/>
              <w:left w:val="nil"/>
              <w:bottom w:val="nil"/>
              <w:right w:val="nil"/>
            </w:tcBorders>
            <w:shd w:val="clear" w:color="000000" w:fill="FFFFFF"/>
            <w:noWrap/>
            <w:hideMark/>
          </w:tcPr>
          <w:p w14:paraId="630C136E" w14:textId="77777777" w:rsidR="00565AB1" w:rsidRPr="00EB7FE8" w:rsidRDefault="007C4B09">
            <w:pPr>
              <w:widowControl/>
              <w:jc w:val="center"/>
              <w:rPr>
                <w:rFonts w:ascii="Arial" w:eastAsia="ＭＳ ゴシック" w:hAnsi="Arial" w:cs="Arial"/>
                <w:color w:val="993300"/>
                <w:kern w:val="0"/>
                <w:sz w:val="20"/>
                <w:szCs w:val="20"/>
                <w14:ligatures w14:val="none"/>
              </w:rPr>
            </w:pPr>
            <w:r w:rsidRPr="00EB7FE8">
              <w:rPr>
                <w:rFonts w:ascii="Arial" w:eastAsia="ＭＳ ゴシック" w:hAnsi="Arial" w:cs="Arial"/>
                <w:color w:val="993300"/>
                <w:kern w:val="0"/>
                <w:sz w:val="20"/>
                <w:szCs w:val="20"/>
                <w14:ligatures w14:val="none"/>
              </w:rPr>
              <w:t>0.915</w:t>
            </w:r>
          </w:p>
        </w:tc>
        <w:tc>
          <w:tcPr>
            <w:tcW w:w="1040" w:type="dxa"/>
            <w:tcBorders>
              <w:top w:val="nil"/>
              <w:left w:val="nil"/>
              <w:bottom w:val="nil"/>
              <w:right w:val="nil"/>
            </w:tcBorders>
            <w:shd w:val="clear" w:color="000000" w:fill="FFFFFF"/>
            <w:noWrap/>
            <w:hideMark/>
          </w:tcPr>
          <w:p w14:paraId="61525E84" w14:textId="77777777" w:rsidR="00565AB1" w:rsidRPr="00EB7FE8" w:rsidRDefault="007C4B09">
            <w:pPr>
              <w:widowControl/>
              <w:jc w:val="center"/>
              <w:rPr>
                <w:rFonts w:ascii="Arial" w:eastAsia="ＭＳ ゴシック" w:hAnsi="Arial" w:cs="Arial"/>
                <w:color w:val="993300"/>
                <w:kern w:val="0"/>
                <w:sz w:val="20"/>
                <w:szCs w:val="20"/>
                <w14:ligatures w14:val="none"/>
              </w:rPr>
            </w:pPr>
            <w:r w:rsidRPr="00EB7FE8">
              <w:rPr>
                <w:rFonts w:ascii="Arial" w:eastAsia="ＭＳ ゴシック" w:hAnsi="Arial" w:cs="Arial"/>
                <w:color w:val="993300"/>
                <w:kern w:val="0"/>
                <w:sz w:val="20"/>
                <w:szCs w:val="20"/>
                <w14:ligatures w14:val="none"/>
              </w:rPr>
              <w:t>9</w:t>
            </w:r>
          </w:p>
        </w:tc>
        <w:tc>
          <w:tcPr>
            <w:tcW w:w="1040" w:type="dxa"/>
            <w:tcBorders>
              <w:top w:val="nil"/>
              <w:left w:val="nil"/>
              <w:bottom w:val="nil"/>
              <w:right w:val="nil"/>
            </w:tcBorders>
            <w:shd w:val="clear" w:color="000000" w:fill="FFFFFF"/>
            <w:noWrap/>
            <w:hideMark/>
          </w:tcPr>
          <w:p w14:paraId="3000DBF3" w14:textId="77777777" w:rsidR="00565AB1" w:rsidRPr="00EB7FE8" w:rsidRDefault="007C4B09">
            <w:pPr>
              <w:widowControl/>
              <w:jc w:val="center"/>
              <w:rPr>
                <w:rFonts w:ascii="Arial" w:eastAsia="ＭＳ ゴシック" w:hAnsi="Arial" w:cs="Arial"/>
                <w:color w:val="993300"/>
                <w:kern w:val="0"/>
                <w:sz w:val="20"/>
                <w:szCs w:val="20"/>
                <w14:ligatures w14:val="none"/>
              </w:rPr>
            </w:pPr>
            <w:r w:rsidRPr="00EB7FE8">
              <w:rPr>
                <w:rFonts w:ascii="Arial" w:eastAsia="ＭＳ ゴシック" w:hAnsi="Arial" w:cs="Arial"/>
                <w:color w:val="993300"/>
                <w:kern w:val="0"/>
                <w:sz w:val="20"/>
                <w:szCs w:val="20"/>
                <w14:ligatures w14:val="none"/>
              </w:rPr>
              <w:t>0.355</w:t>
            </w:r>
          </w:p>
        </w:tc>
      </w:tr>
      <w:tr w:rsidR="00AD5839" w14:paraId="7BB7CCFE" w14:textId="77777777" w:rsidTr="00565AB1">
        <w:trPr>
          <w:trHeight w:val="360"/>
        </w:trPr>
        <w:tc>
          <w:tcPr>
            <w:tcW w:w="1040" w:type="dxa"/>
            <w:tcBorders>
              <w:top w:val="nil"/>
              <w:left w:val="nil"/>
              <w:bottom w:val="nil"/>
              <w:right w:val="nil"/>
            </w:tcBorders>
            <w:hideMark/>
          </w:tcPr>
          <w:p w14:paraId="01648EDA" w14:textId="77777777" w:rsidR="00565AB1" w:rsidRPr="00EB7FE8" w:rsidRDefault="007C4B09">
            <w:pPr>
              <w:widowControl/>
              <w:jc w:val="center"/>
              <w:rPr>
                <w:rFonts w:ascii="Arial" w:eastAsia="ＭＳ ゴシック" w:hAnsi="Arial" w:cs="Arial"/>
                <w:color w:val="333399"/>
                <w:kern w:val="0"/>
                <w:sz w:val="20"/>
                <w:szCs w:val="20"/>
                <w14:ligatures w14:val="none"/>
              </w:rPr>
            </w:pPr>
            <w:r w:rsidRPr="00EB7FE8">
              <w:rPr>
                <w:rFonts w:ascii="Arial" w:eastAsia="ＭＳ ゴシック" w:hAnsi="Arial" w:cs="Arial"/>
                <w:color w:val="333399"/>
                <w:kern w:val="0"/>
                <w:sz w:val="20"/>
                <w:szCs w:val="20"/>
                <w14:ligatures w14:val="none"/>
              </w:rPr>
              <w:t>V9</w:t>
            </w:r>
          </w:p>
        </w:tc>
        <w:tc>
          <w:tcPr>
            <w:tcW w:w="1040" w:type="dxa"/>
            <w:tcBorders>
              <w:top w:val="nil"/>
              <w:left w:val="nil"/>
              <w:bottom w:val="nil"/>
              <w:right w:val="nil"/>
            </w:tcBorders>
            <w:shd w:val="clear" w:color="000000" w:fill="FFFFFF"/>
            <w:noWrap/>
            <w:hideMark/>
          </w:tcPr>
          <w:p w14:paraId="09C9011D" w14:textId="77777777" w:rsidR="00565AB1" w:rsidRPr="00EB7FE8" w:rsidRDefault="007C4B09">
            <w:pPr>
              <w:widowControl/>
              <w:jc w:val="center"/>
              <w:rPr>
                <w:rFonts w:ascii="Arial" w:eastAsia="ＭＳ ゴシック" w:hAnsi="Arial" w:cs="Arial"/>
                <w:color w:val="993300"/>
                <w:kern w:val="0"/>
                <w:sz w:val="20"/>
                <w:szCs w:val="20"/>
                <w14:ligatures w14:val="none"/>
              </w:rPr>
            </w:pPr>
            <w:r w:rsidRPr="00EB7FE8">
              <w:rPr>
                <w:rFonts w:ascii="Arial" w:eastAsia="ＭＳ ゴシック" w:hAnsi="Arial" w:cs="Arial"/>
                <w:color w:val="993300"/>
                <w:kern w:val="0"/>
                <w:sz w:val="20"/>
                <w:szCs w:val="20"/>
                <w14:ligatures w14:val="none"/>
              </w:rPr>
              <w:t>0.897</w:t>
            </w:r>
          </w:p>
        </w:tc>
        <w:tc>
          <w:tcPr>
            <w:tcW w:w="1040" w:type="dxa"/>
            <w:tcBorders>
              <w:top w:val="nil"/>
              <w:left w:val="nil"/>
              <w:bottom w:val="nil"/>
              <w:right w:val="nil"/>
            </w:tcBorders>
            <w:shd w:val="clear" w:color="000000" w:fill="FFFFFF"/>
            <w:noWrap/>
            <w:hideMark/>
          </w:tcPr>
          <w:p w14:paraId="7F3C66B0" w14:textId="77777777" w:rsidR="00565AB1" w:rsidRPr="00EB7FE8" w:rsidRDefault="007C4B09">
            <w:pPr>
              <w:widowControl/>
              <w:jc w:val="center"/>
              <w:rPr>
                <w:rFonts w:ascii="Arial" w:eastAsia="ＭＳ ゴシック" w:hAnsi="Arial" w:cs="Arial"/>
                <w:color w:val="993300"/>
                <w:kern w:val="0"/>
                <w:sz w:val="20"/>
                <w:szCs w:val="20"/>
                <w14:ligatures w14:val="none"/>
              </w:rPr>
            </w:pPr>
            <w:r w:rsidRPr="00EB7FE8">
              <w:rPr>
                <w:rFonts w:ascii="Arial" w:eastAsia="ＭＳ ゴシック" w:hAnsi="Arial" w:cs="Arial"/>
                <w:color w:val="993300"/>
                <w:kern w:val="0"/>
                <w:sz w:val="20"/>
                <w:szCs w:val="20"/>
                <w14:ligatures w14:val="none"/>
              </w:rPr>
              <w:t>10</w:t>
            </w:r>
          </w:p>
        </w:tc>
        <w:tc>
          <w:tcPr>
            <w:tcW w:w="1040" w:type="dxa"/>
            <w:tcBorders>
              <w:top w:val="nil"/>
              <w:left w:val="nil"/>
              <w:bottom w:val="nil"/>
              <w:right w:val="nil"/>
            </w:tcBorders>
            <w:shd w:val="clear" w:color="000000" w:fill="FFFFFF"/>
            <w:noWrap/>
            <w:hideMark/>
          </w:tcPr>
          <w:p w14:paraId="4B3C5946" w14:textId="77777777" w:rsidR="00565AB1" w:rsidRPr="00EB7FE8" w:rsidRDefault="007C4B09">
            <w:pPr>
              <w:widowControl/>
              <w:jc w:val="center"/>
              <w:rPr>
                <w:rFonts w:ascii="Arial" w:eastAsia="ＭＳ ゴシック" w:hAnsi="Arial" w:cs="Arial"/>
                <w:color w:val="993300"/>
                <w:kern w:val="0"/>
                <w:sz w:val="20"/>
                <w:szCs w:val="20"/>
                <w14:ligatures w14:val="none"/>
              </w:rPr>
            </w:pPr>
            <w:r w:rsidRPr="00EB7FE8">
              <w:rPr>
                <w:rFonts w:ascii="Arial" w:eastAsia="ＭＳ ゴシック" w:hAnsi="Arial" w:cs="Arial"/>
                <w:color w:val="993300"/>
                <w:kern w:val="0"/>
                <w:sz w:val="20"/>
                <w:szCs w:val="20"/>
                <w14:ligatures w14:val="none"/>
              </w:rPr>
              <w:t>0.203</w:t>
            </w:r>
          </w:p>
        </w:tc>
        <w:tc>
          <w:tcPr>
            <w:tcW w:w="1040" w:type="dxa"/>
            <w:tcBorders>
              <w:top w:val="nil"/>
              <w:left w:val="nil"/>
              <w:bottom w:val="nil"/>
              <w:right w:val="nil"/>
            </w:tcBorders>
            <w:shd w:val="clear" w:color="000000" w:fill="FFFFFF"/>
            <w:noWrap/>
            <w:hideMark/>
          </w:tcPr>
          <w:p w14:paraId="6539A0E1" w14:textId="77777777" w:rsidR="00565AB1" w:rsidRPr="008A1391" w:rsidRDefault="007C4B09">
            <w:pPr>
              <w:widowControl/>
              <w:rPr>
                <w:rFonts w:ascii="Arial" w:eastAsia="ＭＳ ゴシック" w:hAnsi="Arial" w:cs="Arial"/>
                <w:color w:val="993300"/>
                <w:kern w:val="0"/>
                <w:sz w:val="20"/>
                <w:szCs w:val="20"/>
                <w14:ligatures w14:val="none"/>
              </w:rPr>
            </w:pPr>
            <w:r w:rsidRPr="008A1391">
              <w:rPr>
                <w:rFonts w:ascii="Arial" w:eastAsia="ＭＳ ゴシック" w:hAnsi="Arial" w:cs="Arial" w:hint="eastAsia"/>
                <w:color w:val="993300"/>
                <w:kern w:val="0"/>
                <w:sz w:val="20"/>
                <w:szCs w:val="20"/>
                <w14:ligatures w14:val="none"/>
              </w:rPr>
              <w:t xml:space="preserve">　</w:t>
            </w:r>
          </w:p>
        </w:tc>
        <w:tc>
          <w:tcPr>
            <w:tcW w:w="1040" w:type="dxa"/>
            <w:tcBorders>
              <w:top w:val="nil"/>
              <w:left w:val="nil"/>
              <w:bottom w:val="nil"/>
              <w:right w:val="nil"/>
            </w:tcBorders>
            <w:hideMark/>
          </w:tcPr>
          <w:p w14:paraId="6EDDB865" w14:textId="77777777" w:rsidR="00565AB1" w:rsidRPr="00EB7FE8" w:rsidRDefault="007C4B09">
            <w:pPr>
              <w:widowControl/>
              <w:jc w:val="center"/>
              <w:rPr>
                <w:rFonts w:ascii="Arial" w:eastAsia="ＭＳ ゴシック" w:hAnsi="Arial" w:cs="Arial"/>
                <w:color w:val="333399"/>
                <w:kern w:val="0"/>
                <w:sz w:val="20"/>
                <w:szCs w:val="20"/>
                <w14:ligatures w14:val="none"/>
              </w:rPr>
            </w:pPr>
            <w:r w:rsidRPr="00EB7FE8">
              <w:rPr>
                <w:rFonts w:ascii="Arial" w:eastAsia="ＭＳ ゴシック" w:hAnsi="Arial" w:cs="Arial"/>
                <w:color w:val="333399"/>
                <w:kern w:val="0"/>
                <w:sz w:val="20"/>
                <w:szCs w:val="20"/>
                <w14:ligatures w14:val="none"/>
              </w:rPr>
              <w:t>V9</w:t>
            </w:r>
          </w:p>
        </w:tc>
        <w:tc>
          <w:tcPr>
            <w:tcW w:w="1040" w:type="dxa"/>
            <w:tcBorders>
              <w:top w:val="nil"/>
              <w:left w:val="nil"/>
              <w:bottom w:val="nil"/>
              <w:right w:val="nil"/>
            </w:tcBorders>
            <w:shd w:val="clear" w:color="000000" w:fill="FFFFFF"/>
            <w:noWrap/>
            <w:hideMark/>
          </w:tcPr>
          <w:p w14:paraId="4AF7E0AB" w14:textId="77777777" w:rsidR="00565AB1" w:rsidRPr="00EB7FE8" w:rsidRDefault="007C4B09">
            <w:pPr>
              <w:widowControl/>
              <w:jc w:val="center"/>
              <w:rPr>
                <w:rFonts w:ascii="Arial" w:eastAsia="ＭＳ ゴシック" w:hAnsi="Arial" w:cs="Arial"/>
                <w:color w:val="993300"/>
                <w:kern w:val="0"/>
                <w:sz w:val="20"/>
                <w:szCs w:val="20"/>
                <w14:ligatures w14:val="none"/>
              </w:rPr>
            </w:pPr>
            <w:r w:rsidRPr="00EB7FE8">
              <w:rPr>
                <w:rFonts w:ascii="Arial" w:eastAsia="ＭＳ ゴシック" w:hAnsi="Arial" w:cs="Arial"/>
                <w:color w:val="993300"/>
                <w:kern w:val="0"/>
                <w:sz w:val="20"/>
                <w:szCs w:val="20"/>
                <w14:ligatures w14:val="none"/>
              </w:rPr>
              <w:t>0.937</w:t>
            </w:r>
          </w:p>
        </w:tc>
        <w:tc>
          <w:tcPr>
            <w:tcW w:w="1040" w:type="dxa"/>
            <w:tcBorders>
              <w:top w:val="nil"/>
              <w:left w:val="nil"/>
              <w:bottom w:val="nil"/>
              <w:right w:val="nil"/>
            </w:tcBorders>
            <w:shd w:val="clear" w:color="000000" w:fill="FFFFFF"/>
            <w:noWrap/>
            <w:hideMark/>
          </w:tcPr>
          <w:p w14:paraId="2272E234" w14:textId="77777777" w:rsidR="00565AB1" w:rsidRPr="00EB7FE8" w:rsidRDefault="007C4B09">
            <w:pPr>
              <w:widowControl/>
              <w:jc w:val="center"/>
              <w:rPr>
                <w:rFonts w:ascii="Arial" w:eastAsia="ＭＳ ゴシック" w:hAnsi="Arial" w:cs="Arial"/>
                <w:color w:val="993300"/>
                <w:kern w:val="0"/>
                <w:sz w:val="20"/>
                <w:szCs w:val="20"/>
                <w14:ligatures w14:val="none"/>
              </w:rPr>
            </w:pPr>
            <w:r w:rsidRPr="00EB7FE8">
              <w:rPr>
                <w:rFonts w:ascii="Arial" w:eastAsia="ＭＳ ゴシック" w:hAnsi="Arial" w:cs="Arial"/>
                <w:color w:val="993300"/>
                <w:kern w:val="0"/>
                <w:sz w:val="20"/>
                <w:szCs w:val="20"/>
                <w14:ligatures w14:val="none"/>
              </w:rPr>
              <w:t>9</w:t>
            </w:r>
          </w:p>
        </w:tc>
        <w:tc>
          <w:tcPr>
            <w:tcW w:w="1040" w:type="dxa"/>
            <w:tcBorders>
              <w:top w:val="nil"/>
              <w:left w:val="nil"/>
              <w:bottom w:val="nil"/>
              <w:right w:val="nil"/>
            </w:tcBorders>
            <w:shd w:val="clear" w:color="000000" w:fill="FFFFFF"/>
            <w:noWrap/>
            <w:hideMark/>
          </w:tcPr>
          <w:p w14:paraId="2C5CB5D1" w14:textId="77777777" w:rsidR="00565AB1" w:rsidRPr="00EB7FE8" w:rsidRDefault="007C4B09">
            <w:pPr>
              <w:widowControl/>
              <w:jc w:val="center"/>
              <w:rPr>
                <w:rFonts w:ascii="Arial" w:eastAsia="ＭＳ ゴシック" w:hAnsi="Arial" w:cs="Arial"/>
                <w:color w:val="993300"/>
                <w:kern w:val="0"/>
                <w:sz w:val="20"/>
                <w:szCs w:val="20"/>
                <w14:ligatures w14:val="none"/>
              </w:rPr>
            </w:pPr>
            <w:r w:rsidRPr="00EB7FE8">
              <w:rPr>
                <w:rFonts w:ascii="Arial" w:eastAsia="ＭＳ ゴシック" w:hAnsi="Arial" w:cs="Arial"/>
                <w:color w:val="993300"/>
                <w:kern w:val="0"/>
                <w:sz w:val="20"/>
                <w:szCs w:val="20"/>
                <w14:ligatures w14:val="none"/>
              </w:rPr>
              <w:t>0.554</w:t>
            </w:r>
          </w:p>
        </w:tc>
      </w:tr>
      <w:tr w:rsidR="00AD5839" w14:paraId="24DFD439" w14:textId="77777777" w:rsidTr="00565AB1">
        <w:trPr>
          <w:trHeight w:val="360"/>
        </w:trPr>
        <w:tc>
          <w:tcPr>
            <w:tcW w:w="1040" w:type="dxa"/>
            <w:tcBorders>
              <w:top w:val="nil"/>
              <w:left w:val="nil"/>
              <w:bottom w:val="single" w:sz="4" w:space="0" w:color="000000"/>
              <w:right w:val="nil"/>
            </w:tcBorders>
            <w:hideMark/>
          </w:tcPr>
          <w:p w14:paraId="554023B5" w14:textId="77777777" w:rsidR="00565AB1" w:rsidRPr="00EB7FE8" w:rsidRDefault="007C4B09">
            <w:pPr>
              <w:widowControl/>
              <w:jc w:val="center"/>
              <w:rPr>
                <w:rFonts w:ascii="Arial" w:eastAsia="ＭＳ ゴシック" w:hAnsi="Arial" w:cs="Arial"/>
                <w:color w:val="333399"/>
                <w:kern w:val="0"/>
                <w:sz w:val="20"/>
                <w:szCs w:val="20"/>
                <w14:ligatures w14:val="none"/>
              </w:rPr>
            </w:pPr>
            <w:r w:rsidRPr="00EB7FE8">
              <w:rPr>
                <w:rFonts w:ascii="Arial" w:eastAsia="ＭＳ ゴシック" w:hAnsi="Arial" w:cs="Arial"/>
                <w:color w:val="333399"/>
                <w:kern w:val="0"/>
                <w:sz w:val="20"/>
                <w:szCs w:val="20"/>
                <w14:ligatures w14:val="none"/>
              </w:rPr>
              <w:t>V10</w:t>
            </w:r>
          </w:p>
        </w:tc>
        <w:tc>
          <w:tcPr>
            <w:tcW w:w="1040" w:type="dxa"/>
            <w:tcBorders>
              <w:top w:val="nil"/>
              <w:left w:val="nil"/>
              <w:bottom w:val="single" w:sz="4" w:space="0" w:color="000000"/>
              <w:right w:val="nil"/>
            </w:tcBorders>
            <w:shd w:val="clear" w:color="000000" w:fill="FFFFFF"/>
            <w:noWrap/>
            <w:hideMark/>
          </w:tcPr>
          <w:p w14:paraId="18A6C547" w14:textId="77777777" w:rsidR="00565AB1" w:rsidRPr="00EB7FE8" w:rsidRDefault="007C4B09">
            <w:pPr>
              <w:widowControl/>
              <w:jc w:val="center"/>
              <w:rPr>
                <w:rFonts w:ascii="Arial" w:eastAsia="ＭＳ ゴシック" w:hAnsi="Arial" w:cs="Arial"/>
                <w:color w:val="993300"/>
                <w:kern w:val="0"/>
                <w:sz w:val="20"/>
                <w:szCs w:val="20"/>
                <w14:ligatures w14:val="none"/>
              </w:rPr>
            </w:pPr>
            <w:r w:rsidRPr="00EB7FE8">
              <w:rPr>
                <w:rFonts w:ascii="Arial" w:eastAsia="ＭＳ ゴシック" w:hAnsi="Arial" w:cs="Arial"/>
                <w:color w:val="993300"/>
                <w:kern w:val="0"/>
                <w:sz w:val="20"/>
                <w:szCs w:val="20"/>
                <w14:ligatures w14:val="none"/>
              </w:rPr>
              <w:t>0.711</w:t>
            </w:r>
          </w:p>
        </w:tc>
        <w:tc>
          <w:tcPr>
            <w:tcW w:w="1040" w:type="dxa"/>
            <w:tcBorders>
              <w:top w:val="nil"/>
              <w:left w:val="nil"/>
              <w:bottom w:val="single" w:sz="4" w:space="0" w:color="000000"/>
              <w:right w:val="nil"/>
            </w:tcBorders>
            <w:shd w:val="clear" w:color="000000" w:fill="FFFFFF"/>
            <w:noWrap/>
            <w:hideMark/>
          </w:tcPr>
          <w:p w14:paraId="50EAE532" w14:textId="77777777" w:rsidR="00565AB1" w:rsidRPr="00EB7FE8" w:rsidRDefault="007C4B09">
            <w:pPr>
              <w:widowControl/>
              <w:jc w:val="center"/>
              <w:rPr>
                <w:rFonts w:ascii="Arial" w:eastAsia="ＭＳ ゴシック" w:hAnsi="Arial" w:cs="Arial"/>
                <w:color w:val="993300"/>
                <w:kern w:val="0"/>
                <w:sz w:val="20"/>
                <w:szCs w:val="20"/>
                <w14:ligatures w14:val="none"/>
              </w:rPr>
            </w:pPr>
            <w:r w:rsidRPr="00EB7FE8">
              <w:rPr>
                <w:rFonts w:ascii="Arial" w:eastAsia="ＭＳ ゴシック" w:hAnsi="Arial" w:cs="Arial"/>
                <w:color w:val="993300"/>
                <w:kern w:val="0"/>
                <w:sz w:val="20"/>
                <w:szCs w:val="20"/>
                <w14:ligatures w14:val="none"/>
              </w:rPr>
              <w:t>10</w:t>
            </w:r>
          </w:p>
        </w:tc>
        <w:tc>
          <w:tcPr>
            <w:tcW w:w="1040" w:type="dxa"/>
            <w:tcBorders>
              <w:top w:val="nil"/>
              <w:left w:val="nil"/>
              <w:bottom w:val="single" w:sz="4" w:space="0" w:color="000000"/>
              <w:right w:val="nil"/>
            </w:tcBorders>
            <w:shd w:val="clear" w:color="000000" w:fill="FFFFFF"/>
            <w:noWrap/>
            <w:hideMark/>
          </w:tcPr>
          <w:p w14:paraId="5E67960A" w14:textId="77777777" w:rsidR="00565AB1" w:rsidRPr="00EB7FE8" w:rsidRDefault="007C4B09">
            <w:pPr>
              <w:widowControl/>
              <w:jc w:val="center"/>
              <w:rPr>
                <w:rFonts w:ascii="Arial" w:eastAsia="ＭＳ ゴシック" w:hAnsi="Arial" w:cs="Arial"/>
                <w:color w:val="993300"/>
                <w:kern w:val="0"/>
                <w:sz w:val="20"/>
                <w:szCs w:val="20"/>
                <w14:ligatures w14:val="none"/>
              </w:rPr>
            </w:pPr>
            <w:r w:rsidRPr="00EB7FE8">
              <w:rPr>
                <w:rFonts w:ascii="Arial" w:eastAsia="ＭＳ ゴシック" w:hAnsi="Arial" w:cs="Arial"/>
                <w:color w:val="993300"/>
                <w:kern w:val="0"/>
                <w:sz w:val="20"/>
                <w:szCs w:val="20"/>
                <w14:ligatures w14:val="none"/>
              </w:rPr>
              <w:t>0.001</w:t>
            </w:r>
          </w:p>
        </w:tc>
        <w:tc>
          <w:tcPr>
            <w:tcW w:w="1040" w:type="dxa"/>
            <w:tcBorders>
              <w:top w:val="nil"/>
              <w:left w:val="nil"/>
              <w:bottom w:val="nil"/>
              <w:right w:val="nil"/>
            </w:tcBorders>
            <w:shd w:val="clear" w:color="000000" w:fill="FFFFFF"/>
            <w:noWrap/>
            <w:hideMark/>
          </w:tcPr>
          <w:p w14:paraId="46F3E688" w14:textId="77777777" w:rsidR="00565AB1" w:rsidRPr="008A1391" w:rsidRDefault="007C4B09">
            <w:pPr>
              <w:widowControl/>
              <w:rPr>
                <w:rFonts w:ascii="Arial" w:eastAsia="ＭＳ ゴシック" w:hAnsi="Arial" w:cs="Arial"/>
                <w:color w:val="993300"/>
                <w:kern w:val="0"/>
                <w:sz w:val="20"/>
                <w:szCs w:val="20"/>
                <w14:ligatures w14:val="none"/>
              </w:rPr>
            </w:pPr>
            <w:r w:rsidRPr="008A1391">
              <w:rPr>
                <w:rFonts w:ascii="Arial" w:eastAsia="ＭＳ ゴシック" w:hAnsi="Arial" w:cs="Arial" w:hint="eastAsia"/>
                <w:color w:val="993300"/>
                <w:kern w:val="0"/>
                <w:sz w:val="20"/>
                <w:szCs w:val="20"/>
                <w14:ligatures w14:val="none"/>
              </w:rPr>
              <w:t xml:space="preserve">　</w:t>
            </w:r>
          </w:p>
        </w:tc>
        <w:tc>
          <w:tcPr>
            <w:tcW w:w="1040" w:type="dxa"/>
            <w:tcBorders>
              <w:top w:val="nil"/>
              <w:left w:val="nil"/>
              <w:bottom w:val="single" w:sz="4" w:space="0" w:color="000000"/>
              <w:right w:val="nil"/>
            </w:tcBorders>
            <w:hideMark/>
          </w:tcPr>
          <w:p w14:paraId="15DFD4A3" w14:textId="77777777" w:rsidR="00565AB1" w:rsidRPr="00EB7FE8" w:rsidRDefault="007C4B09">
            <w:pPr>
              <w:widowControl/>
              <w:jc w:val="center"/>
              <w:rPr>
                <w:rFonts w:ascii="Arial" w:eastAsia="ＭＳ ゴシック" w:hAnsi="Arial" w:cs="Arial"/>
                <w:color w:val="333399"/>
                <w:kern w:val="0"/>
                <w:sz w:val="20"/>
                <w:szCs w:val="20"/>
                <w14:ligatures w14:val="none"/>
              </w:rPr>
            </w:pPr>
            <w:r w:rsidRPr="00EB7FE8">
              <w:rPr>
                <w:rFonts w:ascii="Arial" w:eastAsia="ＭＳ ゴシック" w:hAnsi="Arial" w:cs="Arial"/>
                <w:color w:val="333399"/>
                <w:kern w:val="0"/>
                <w:sz w:val="20"/>
                <w:szCs w:val="20"/>
                <w14:ligatures w14:val="none"/>
              </w:rPr>
              <w:t>V10</w:t>
            </w:r>
          </w:p>
        </w:tc>
        <w:tc>
          <w:tcPr>
            <w:tcW w:w="1040" w:type="dxa"/>
            <w:tcBorders>
              <w:top w:val="nil"/>
              <w:left w:val="nil"/>
              <w:bottom w:val="single" w:sz="4" w:space="0" w:color="000000"/>
              <w:right w:val="nil"/>
            </w:tcBorders>
            <w:shd w:val="clear" w:color="000000" w:fill="FFFFFF"/>
            <w:noWrap/>
            <w:hideMark/>
          </w:tcPr>
          <w:p w14:paraId="46ED33E7" w14:textId="77777777" w:rsidR="00565AB1" w:rsidRPr="00EB7FE8" w:rsidRDefault="007C4B09">
            <w:pPr>
              <w:widowControl/>
              <w:jc w:val="center"/>
              <w:rPr>
                <w:rFonts w:ascii="Arial" w:eastAsia="ＭＳ ゴシック" w:hAnsi="Arial" w:cs="Arial"/>
                <w:color w:val="993300"/>
                <w:kern w:val="0"/>
                <w:sz w:val="20"/>
                <w:szCs w:val="20"/>
                <w14:ligatures w14:val="none"/>
              </w:rPr>
            </w:pPr>
            <w:r w:rsidRPr="00EB7FE8">
              <w:rPr>
                <w:rFonts w:ascii="Arial" w:eastAsia="ＭＳ ゴシック" w:hAnsi="Arial" w:cs="Arial"/>
                <w:color w:val="993300"/>
                <w:kern w:val="0"/>
                <w:sz w:val="20"/>
                <w:szCs w:val="20"/>
                <w14:ligatures w14:val="none"/>
              </w:rPr>
              <w:t>0.790</w:t>
            </w:r>
          </w:p>
        </w:tc>
        <w:tc>
          <w:tcPr>
            <w:tcW w:w="1040" w:type="dxa"/>
            <w:tcBorders>
              <w:top w:val="nil"/>
              <w:left w:val="nil"/>
              <w:bottom w:val="single" w:sz="4" w:space="0" w:color="000000"/>
              <w:right w:val="nil"/>
            </w:tcBorders>
            <w:shd w:val="clear" w:color="000000" w:fill="FFFFFF"/>
            <w:noWrap/>
            <w:hideMark/>
          </w:tcPr>
          <w:p w14:paraId="14ECF1B9" w14:textId="77777777" w:rsidR="00565AB1" w:rsidRPr="00EB7FE8" w:rsidRDefault="007C4B09">
            <w:pPr>
              <w:widowControl/>
              <w:jc w:val="center"/>
              <w:rPr>
                <w:rFonts w:ascii="Arial" w:eastAsia="ＭＳ ゴシック" w:hAnsi="Arial" w:cs="Arial"/>
                <w:color w:val="993300"/>
                <w:kern w:val="0"/>
                <w:sz w:val="20"/>
                <w:szCs w:val="20"/>
                <w14:ligatures w14:val="none"/>
              </w:rPr>
            </w:pPr>
            <w:r w:rsidRPr="00EB7FE8">
              <w:rPr>
                <w:rFonts w:ascii="Arial" w:eastAsia="ＭＳ ゴシック" w:hAnsi="Arial" w:cs="Arial"/>
                <w:color w:val="993300"/>
                <w:kern w:val="0"/>
                <w:sz w:val="20"/>
                <w:szCs w:val="20"/>
                <w14:ligatures w14:val="none"/>
              </w:rPr>
              <w:t>9</w:t>
            </w:r>
          </w:p>
        </w:tc>
        <w:tc>
          <w:tcPr>
            <w:tcW w:w="1040" w:type="dxa"/>
            <w:tcBorders>
              <w:top w:val="nil"/>
              <w:left w:val="nil"/>
              <w:bottom w:val="single" w:sz="4" w:space="0" w:color="000000"/>
              <w:right w:val="nil"/>
            </w:tcBorders>
            <w:shd w:val="clear" w:color="000000" w:fill="FFFFFF"/>
            <w:noWrap/>
            <w:hideMark/>
          </w:tcPr>
          <w:p w14:paraId="610200A6" w14:textId="77777777" w:rsidR="00565AB1" w:rsidRPr="00EB7FE8" w:rsidRDefault="007C4B09">
            <w:pPr>
              <w:widowControl/>
              <w:jc w:val="center"/>
              <w:rPr>
                <w:rFonts w:ascii="Arial" w:eastAsia="ＭＳ ゴシック" w:hAnsi="Arial" w:cs="Arial"/>
                <w:color w:val="993300"/>
                <w:kern w:val="0"/>
                <w:sz w:val="20"/>
                <w:szCs w:val="20"/>
                <w14:ligatures w14:val="none"/>
              </w:rPr>
            </w:pPr>
            <w:r w:rsidRPr="00EB7FE8">
              <w:rPr>
                <w:rFonts w:ascii="Arial" w:eastAsia="ＭＳ ゴシック" w:hAnsi="Arial" w:cs="Arial"/>
                <w:color w:val="993300"/>
                <w:kern w:val="0"/>
                <w:sz w:val="20"/>
                <w:szCs w:val="20"/>
                <w14:ligatures w14:val="none"/>
              </w:rPr>
              <w:t>0.016</w:t>
            </w:r>
          </w:p>
        </w:tc>
      </w:tr>
    </w:tbl>
    <w:p w14:paraId="1947217E" w14:textId="766F60B7" w:rsidR="00EF4032" w:rsidRDefault="00EF4032" w:rsidP="001A7AAB">
      <w:pPr>
        <w:widowControl/>
        <w:jc w:val="left"/>
        <w:rPr>
          <w:rFonts w:ascii="Arial" w:hAnsi="Arial" w:cs="Arial"/>
          <w:sz w:val="24"/>
          <w:szCs w:val="24"/>
        </w:rPr>
      </w:pPr>
    </w:p>
    <w:p w14:paraId="3D08939C" w14:textId="77777777" w:rsidR="00153471" w:rsidRDefault="00153471" w:rsidP="001A7AAB">
      <w:pPr>
        <w:widowControl/>
        <w:jc w:val="left"/>
        <w:rPr>
          <w:rFonts w:ascii="Arial" w:hAnsi="Arial" w:cs="Arial" w:hint="eastAsia"/>
          <w:sz w:val="24"/>
          <w:szCs w:val="24"/>
        </w:rPr>
      </w:pPr>
    </w:p>
    <w:p w14:paraId="04835989" w14:textId="69A316D6" w:rsidR="002857CB" w:rsidRPr="006B6956" w:rsidRDefault="002857CB" w:rsidP="004739A4">
      <w:pPr>
        <w:widowControl/>
        <w:jc w:val="left"/>
        <w:rPr>
          <w:rFonts w:ascii="Arial" w:hAnsi="Arial" w:cs="Arial"/>
          <w:sz w:val="24"/>
          <w:szCs w:val="24"/>
        </w:rPr>
      </w:pPr>
      <w:r w:rsidRPr="00CD0963">
        <w:rPr>
          <w:rFonts w:ascii="Arial" w:hAnsi="Arial" w:cs="Arial"/>
          <w:b/>
          <w:bCs/>
          <w:sz w:val="24"/>
          <w:szCs w:val="24"/>
        </w:rPr>
        <w:t>Supplementary Table S</w:t>
      </w:r>
      <w:r>
        <w:rPr>
          <w:rFonts w:ascii="Arial" w:hAnsi="Arial" w:cs="Arial" w:hint="eastAsia"/>
          <w:b/>
          <w:bCs/>
          <w:sz w:val="24"/>
          <w:szCs w:val="24"/>
        </w:rPr>
        <w:t>2</w:t>
      </w:r>
      <w:r w:rsidRPr="00CD0963">
        <w:rPr>
          <w:rFonts w:ascii="Arial" w:hAnsi="Arial" w:cs="Arial"/>
          <w:b/>
          <w:bCs/>
          <w:sz w:val="24"/>
          <w:szCs w:val="24"/>
        </w:rPr>
        <w:t>:</w:t>
      </w:r>
      <w:r>
        <w:rPr>
          <w:rFonts w:ascii="Arial" w:hAnsi="Arial" w:cs="Arial" w:hint="eastAsia"/>
          <w:b/>
          <w:bCs/>
          <w:sz w:val="24"/>
          <w:szCs w:val="24"/>
        </w:rPr>
        <w:t xml:space="preserve"> </w:t>
      </w:r>
      <w:r w:rsidR="00EC3B48">
        <w:rPr>
          <w:rFonts w:ascii="Arial" w:hAnsi="Arial" w:cs="Arial" w:hint="eastAsia"/>
          <w:b/>
          <w:bCs/>
          <w:sz w:val="24"/>
          <w:szCs w:val="24"/>
        </w:rPr>
        <w:t>T</w:t>
      </w:r>
      <w:r w:rsidR="00EC3B48" w:rsidRPr="00EC3B48">
        <w:rPr>
          <w:rFonts w:ascii="Arial" w:hAnsi="Arial" w:cs="Arial"/>
          <w:b/>
          <w:bCs/>
          <w:sz w:val="24"/>
          <w:szCs w:val="24"/>
        </w:rPr>
        <w:t xml:space="preserve">ranscriptomic profiling of in vivo–assembled </w:t>
      </w:r>
      <w:r w:rsidR="00260A08">
        <w:rPr>
          <w:rFonts w:ascii="Arial" w:hAnsi="Arial" w:cs="Arial" w:hint="eastAsia"/>
          <w:b/>
          <w:bCs/>
          <w:sz w:val="24"/>
          <w:szCs w:val="24"/>
        </w:rPr>
        <w:t>Biococktails</w:t>
      </w:r>
    </w:p>
    <w:sectPr w:rsidR="002857CB" w:rsidRPr="006B6956">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9AA222" w14:textId="77777777" w:rsidR="00A64EE2" w:rsidRDefault="00A64EE2" w:rsidP="002C75CF">
      <w:r>
        <w:separator/>
      </w:r>
    </w:p>
  </w:endnote>
  <w:endnote w:type="continuationSeparator" w:id="0">
    <w:p w14:paraId="39AB4674" w14:textId="77777777" w:rsidR="00A64EE2" w:rsidRDefault="00A64EE2" w:rsidP="002C75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Yu Gothic">
    <w:altName w:val="游ゴシック"/>
    <w:panose1 w:val="020B04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B1C146" w14:textId="77777777" w:rsidR="00A64EE2" w:rsidRDefault="00A64EE2" w:rsidP="002C75CF">
      <w:r>
        <w:separator/>
      </w:r>
    </w:p>
  </w:footnote>
  <w:footnote w:type="continuationSeparator" w:id="0">
    <w:p w14:paraId="1409A203" w14:textId="77777777" w:rsidR="00A64EE2" w:rsidRDefault="00A64EE2" w:rsidP="002C75C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5956AF"/>
    <w:multiLevelType w:val="multilevel"/>
    <w:tmpl w:val="3D9CF0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75BD356F"/>
    <w:multiLevelType w:val="multilevel"/>
    <w:tmpl w:val="3D9CF0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770931216">
    <w:abstractNumId w:val="1"/>
  </w:num>
  <w:num w:numId="2" w16cid:durableId="7924061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4309"/>
    <w:rsid w:val="00074309"/>
    <w:rsid w:val="00080CF0"/>
    <w:rsid w:val="000A26C4"/>
    <w:rsid w:val="000B46CC"/>
    <w:rsid w:val="00103D5E"/>
    <w:rsid w:val="00106F77"/>
    <w:rsid w:val="00153471"/>
    <w:rsid w:val="001A7AAB"/>
    <w:rsid w:val="001B749A"/>
    <w:rsid w:val="001C12A0"/>
    <w:rsid w:val="001E275E"/>
    <w:rsid w:val="00212A34"/>
    <w:rsid w:val="00260A08"/>
    <w:rsid w:val="002755D8"/>
    <w:rsid w:val="002765F5"/>
    <w:rsid w:val="002857CB"/>
    <w:rsid w:val="002C496B"/>
    <w:rsid w:val="002C75CF"/>
    <w:rsid w:val="002E162D"/>
    <w:rsid w:val="00321A00"/>
    <w:rsid w:val="003517A7"/>
    <w:rsid w:val="00360B8A"/>
    <w:rsid w:val="00394A1F"/>
    <w:rsid w:val="003B35DC"/>
    <w:rsid w:val="003D1F94"/>
    <w:rsid w:val="00404289"/>
    <w:rsid w:val="00404869"/>
    <w:rsid w:val="004107BD"/>
    <w:rsid w:val="00443B87"/>
    <w:rsid w:val="004739A4"/>
    <w:rsid w:val="004A45E3"/>
    <w:rsid w:val="004C4AAC"/>
    <w:rsid w:val="004F4F6C"/>
    <w:rsid w:val="00522485"/>
    <w:rsid w:val="00531DB7"/>
    <w:rsid w:val="00565AB1"/>
    <w:rsid w:val="005718CA"/>
    <w:rsid w:val="00585477"/>
    <w:rsid w:val="006010ED"/>
    <w:rsid w:val="00626500"/>
    <w:rsid w:val="00661083"/>
    <w:rsid w:val="00665667"/>
    <w:rsid w:val="00686647"/>
    <w:rsid w:val="006A077D"/>
    <w:rsid w:val="006A423B"/>
    <w:rsid w:val="006B6956"/>
    <w:rsid w:val="00707455"/>
    <w:rsid w:val="007166AC"/>
    <w:rsid w:val="0073389C"/>
    <w:rsid w:val="007970A4"/>
    <w:rsid w:val="007C4B09"/>
    <w:rsid w:val="007E31C1"/>
    <w:rsid w:val="00857456"/>
    <w:rsid w:val="0089284B"/>
    <w:rsid w:val="008A1391"/>
    <w:rsid w:val="00910C49"/>
    <w:rsid w:val="0091508E"/>
    <w:rsid w:val="00927DE7"/>
    <w:rsid w:val="0096526F"/>
    <w:rsid w:val="0097646E"/>
    <w:rsid w:val="009816FF"/>
    <w:rsid w:val="009B58E7"/>
    <w:rsid w:val="009B6AC4"/>
    <w:rsid w:val="00A00A12"/>
    <w:rsid w:val="00A353D7"/>
    <w:rsid w:val="00A401F3"/>
    <w:rsid w:val="00A57CB3"/>
    <w:rsid w:val="00A64EE2"/>
    <w:rsid w:val="00A77497"/>
    <w:rsid w:val="00AD5839"/>
    <w:rsid w:val="00AF06CC"/>
    <w:rsid w:val="00B234B4"/>
    <w:rsid w:val="00B24E42"/>
    <w:rsid w:val="00B34902"/>
    <w:rsid w:val="00B6064D"/>
    <w:rsid w:val="00B713E9"/>
    <w:rsid w:val="00B73CD8"/>
    <w:rsid w:val="00B8297E"/>
    <w:rsid w:val="00B93E49"/>
    <w:rsid w:val="00BD54F4"/>
    <w:rsid w:val="00BE0A8D"/>
    <w:rsid w:val="00BE34D2"/>
    <w:rsid w:val="00C23EDD"/>
    <w:rsid w:val="00C25C97"/>
    <w:rsid w:val="00C36D81"/>
    <w:rsid w:val="00C40D96"/>
    <w:rsid w:val="00CA4896"/>
    <w:rsid w:val="00CC2BA6"/>
    <w:rsid w:val="00CC59C7"/>
    <w:rsid w:val="00CD0963"/>
    <w:rsid w:val="00D12982"/>
    <w:rsid w:val="00D23959"/>
    <w:rsid w:val="00D92ED0"/>
    <w:rsid w:val="00DA2C3C"/>
    <w:rsid w:val="00DC3877"/>
    <w:rsid w:val="00DC5A35"/>
    <w:rsid w:val="00DD0810"/>
    <w:rsid w:val="00DF08E9"/>
    <w:rsid w:val="00E24A21"/>
    <w:rsid w:val="00E60F3C"/>
    <w:rsid w:val="00E83852"/>
    <w:rsid w:val="00E83E95"/>
    <w:rsid w:val="00E97038"/>
    <w:rsid w:val="00EB529D"/>
    <w:rsid w:val="00EB7FE8"/>
    <w:rsid w:val="00EC3B48"/>
    <w:rsid w:val="00EE2732"/>
    <w:rsid w:val="00EE3D69"/>
    <w:rsid w:val="00EF4032"/>
    <w:rsid w:val="00F255C2"/>
    <w:rsid w:val="00FA06DB"/>
    <w:rsid w:val="00FB52C6"/>
    <w:rsid w:val="00FB6FDD"/>
    <w:rsid w:val="00FE18ED"/>
    <w:rsid w:val="00FE7D31"/>
    <w:rsid w:val="00FF281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9EFA08F"/>
  <w15:chartTrackingRefBased/>
  <w15:docId w15:val="{11F5D301-A498-4BFE-BA63-5164A56B5B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074309"/>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074309"/>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074309"/>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074309"/>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074309"/>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074309"/>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074309"/>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074309"/>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074309"/>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074309"/>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074309"/>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074309"/>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074309"/>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074309"/>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074309"/>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074309"/>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074309"/>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074309"/>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074309"/>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07430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74309"/>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07430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74309"/>
    <w:pPr>
      <w:spacing w:before="160" w:after="160"/>
      <w:jc w:val="center"/>
    </w:pPr>
    <w:rPr>
      <w:i/>
      <w:iCs/>
      <w:color w:val="404040" w:themeColor="text1" w:themeTint="BF"/>
    </w:rPr>
  </w:style>
  <w:style w:type="character" w:customStyle="1" w:styleId="a8">
    <w:name w:val="引用文 (文字)"/>
    <w:basedOn w:val="a0"/>
    <w:link w:val="a7"/>
    <w:uiPriority w:val="29"/>
    <w:rsid w:val="00074309"/>
    <w:rPr>
      <w:i/>
      <w:iCs/>
      <w:color w:val="404040" w:themeColor="text1" w:themeTint="BF"/>
    </w:rPr>
  </w:style>
  <w:style w:type="paragraph" w:styleId="a9">
    <w:name w:val="List Paragraph"/>
    <w:basedOn w:val="a"/>
    <w:uiPriority w:val="34"/>
    <w:qFormat/>
    <w:rsid w:val="00074309"/>
    <w:pPr>
      <w:ind w:left="720"/>
      <w:contextualSpacing/>
    </w:pPr>
  </w:style>
  <w:style w:type="character" w:styleId="21">
    <w:name w:val="Intense Emphasis"/>
    <w:basedOn w:val="a0"/>
    <w:uiPriority w:val="21"/>
    <w:qFormat/>
    <w:rsid w:val="00074309"/>
    <w:rPr>
      <w:i/>
      <w:iCs/>
      <w:color w:val="2F5496" w:themeColor="accent1" w:themeShade="BF"/>
    </w:rPr>
  </w:style>
  <w:style w:type="paragraph" w:styleId="22">
    <w:name w:val="Intense Quote"/>
    <w:basedOn w:val="a"/>
    <w:next w:val="a"/>
    <w:link w:val="23"/>
    <w:uiPriority w:val="30"/>
    <w:qFormat/>
    <w:rsid w:val="0007430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23">
    <w:name w:val="引用文 2 (文字)"/>
    <w:basedOn w:val="a0"/>
    <w:link w:val="22"/>
    <w:uiPriority w:val="30"/>
    <w:rsid w:val="00074309"/>
    <w:rPr>
      <w:i/>
      <w:iCs/>
      <w:color w:val="2F5496" w:themeColor="accent1" w:themeShade="BF"/>
    </w:rPr>
  </w:style>
  <w:style w:type="character" w:styleId="24">
    <w:name w:val="Intense Reference"/>
    <w:basedOn w:val="a0"/>
    <w:uiPriority w:val="32"/>
    <w:qFormat/>
    <w:rsid w:val="00074309"/>
    <w:rPr>
      <w:b/>
      <w:bCs/>
      <w:smallCaps/>
      <w:color w:val="2F5496" w:themeColor="accent1" w:themeShade="BF"/>
      <w:spacing w:val="5"/>
    </w:rPr>
  </w:style>
  <w:style w:type="character" w:styleId="aa">
    <w:name w:val="Hyperlink"/>
    <w:basedOn w:val="a0"/>
    <w:uiPriority w:val="99"/>
    <w:unhideWhenUsed/>
    <w:rsid w:val="00074309"/>
    <w:rPr>
      <w:color w:val="0563C1" w:themeColor="hyperlink"/>
      <w:u w:val="single"/>
    </w:rPr>
  </w:style>
  <w:style w:type="character" w:styleId="ab">
    <w:name w:val="Unresolved Mention"/>
    <w:basedOn w:val="a0"/>
    <w:uiPriority w:val="99"/>
    <w:semiHidden/>
    <w:unhideWhenUsed/>
    <w:rsid w:val="00074309"/>
    <w:rPr>
      <w:color w:val="605E5C"/>
      <w:shd w:val="clear" w:color="auto" w:fill="E1DFDD"/>
    </w:rPr>
  </w:style>
  <w:style w:type="paragraph" w:styleId="ac">
    <w:name w:val="header"/>
    <w:basedOn w:val="a"/>
    <w:link w:val="ad"/>
    <w:uiPriority w:val="99"/>
    <w:unhideWhenUsed/>
    <w:rsid w:val="006B6956"/>
    <w:pPr>
      <w:tabs>
        <w:tab w:val="center" w:pos="4252"/>
        <w:tab w:val="right" w:pos="8504"/>
      </w:tabs>
      <w:snapToGrid w:val="0"/>
    </w:pPr>
  </w:style>
  <w:style w:type="character" w:customStyle="1" w:styleId="ad">
    <w:name w:val="ヘッダー (文字)"/>
    <w:basedOn w:val="a0"/>
    <w:link w:val="ac"/>
    <w:uiPriority w:val="99"/>
    <w:rsid w:val="006B6956"/>
  </w:style>
  <w:style w:type="paragraph" w:styleId="ae">
    <w:name w:val="footer"/>
    <w:basedOn w:val="a"/>
    <w:link w:val="af"/>
    <w:uiPriority w:val="99"/>
    <w:unhideWhenUsed/>
    <w:rsid w:val="006B6956"/>
    <w:pPr>
      <w:tabs>
        <w:tab w:val="center" w:pos="4252"/>
        <w:tab w:val="right" w:pos="8504"/>
      </w:tabs>
      <w:snapToGrid w:val="0"/>
    </w:pPr>
  </w:style>
  <w:style w:type="character" w:customStyle="1" w:styleId="af">
    <w:name w:val="フッター (文字)"/>
    <w:basedOn w:val="a0"/>
    <w:link w:val="ae"/>
    <w:uiPriority w:val="99"/>
    <w:rsid w:val="006B6956"/>
  </w:style>
  <w:style w:type="table" w:styleId="af0">
    <w:name w:val="Table Grid"/>
    <w:basedOn w:val="a1"/>
    <w:uiPriority w:val="39"/>
    <w:rsid w:val="00565A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annotation reference"/>
    <w:basedOn w:val="a0"/>
    <w:uiPriority w:val="99"/>
    <w:semiHidden/>
    <w:unhideWhenUsed/>
    <w:rsid w:val="00FB6FDD"/>
    <w:rPr>
      <w:sz w:val="16"/>
      <w:szCs w:val="16"/>
    </w:rPr>
  </w:style>
  <w:style w:type="paragraph" w:styleId="af2">
    <w:name w:val="annotation text"/>
    <w:basedOn w:val="a"/>
    <w:link w:val="af3"/>
    <w:uiPriority w:val="99"/>
    <w:unhideWhenUsed/>
    <w:rsid w:val="00FB6FDD"/>
    <w:rPr>
      <w:sz w:val="20"/>
      <w:szCs w:val="20"/>
    </w:rPr>
  </w:style>
  <w:style w:type="character" w:customStyle="1" w:styleId="af3">
    <w:name w:val="コメント文字列 (文字)"/>
    <w:basedOn w:val="a0"/>
    <w:link w:val="af2"/>
    <w:uiPriority w:val="99"/>
    <w:rsid w:val="00FB6FDD"/>
    <w:rPr>
      <w:sz w:val="20"/>
      <w:szCs w:val="20"/>
    </w:rPr>
  </w:style>
  <w:style w:type="paragraph" w:styleId="af4">
    <w:name w:val="annotation subject"/>
    <w:basedOn w:val="af2"/>
    <w:next w:val="af2"/>
    <w:link w:val="af5"/>
    <w:uiPriority w:val="99"/>
    <w:semiHidden/>
    <w:unhideWhenUsed/>
    <w:rsid w:val="00FB6FDD"/>
    <w:rPr>
      <w:b/>
      <w:bCs/>
    </w:rPr>
  </w:style>
  <w:style w:type="character" w:customStyle="1" w:styleId="af5">
    <w:name w:val="コメント内容 (文字)"/>
    <w:basedOn w:val="af3"/>
    <w:link w:val="af4"/>
    <w:uiPriority w:val="99"/>
    <w:semiHidden/>
    <w:rsid w:val="00FB6FDD"/>
    <w:rPr>
      <w:b/>
      <w:bCs/>
      <w:sz w:val="20"/>
      <w:szCs w:val="20"/>
    </w:rPr>
  </w:style>
  <w:style w:type="paragraph" w:styleId="af6">
    <w:name w:val="Revision"/>
    <w:hidden/>
    <w:uiPriority w:val="99"/>
    <w:semiHidden/>
    <w:rsid w:val="00CA48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10</Pages>
  <Words>3297</Words>
  <Characters>18795</Characters>
  <Application>Microsoft Office Word</Application>
  <DocSecurity>0</DocSecurity>
  <Lines>156</Lines>
  <Paragraphs>44</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
  <LinksUpToDate>false</LinksUpToDate>
  <CharactersWithSpaces>22048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隆治 東田</dc:creator>
  <cp:lastModifiedBy>隆治 東田</cp:lastModifiedBy>
  <cp:revision>4</cp:revision>
  <dcterms:created xsi:type="dcterms:W3CDTF">2026-02-19T05:14:00Z</dcterms:created>
  <dcterms:modified xsi:type="dcterms:W3CDTF">2026-02-20T05:53:00Z</dcterms:modified>
</cp:coreProperties>
</file>