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figure1</w:t>
      </w:r>
    </w:p>
    <w:p w:rsidR="009C0ABE" w:rsidRDefault="009C0ABE" w:rsidP="009C0ABE">
      <w:pPr>
        <w:spacing w:line="480" w:lineRule="auto"/>
        <w:jc w:val="both"/>
        <w:rPr>
          <w:rFonts w:ascii="Times New Roman Bold" w:hAnsi="Times New Roman Bold" w:cs="Times New Roman Bold"/>
          <w:b/>
          <w:bCs/>
        </w:rPr>
      </w:pPr>
      <w:r>
        <w:rPr>
          <w:rFonts w:ascii="Times New Roman Bold" w:hAnsi="Times New Roman Bold" w:cs="Times New Roman Bold" w:hint="eastAsia"/>
          <w:b/>
          <w:bCs/>
          <w:noProof/>
        </w:rPr>
        <w:drawing>
          <wp:inline distT="0" distB="0" distL="0" distR="0" wp14:anchorId="7570FA9E" wp14:editId="0A4B7171">
            <wp:extent cx="5274310" cy="25908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ABE" w:rsidRDefault="009C0ABE" w:rsidP="009C0ABE">
      <w:pPr>
        <w:numPr>
          <w:ilvl w:val="255"/>
          <w:numId w:val="0"/>
        </w:num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 1. Aberrantly Overexpression of SLC7A11 in CRC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A-B)</w:t>
      </w:r>
      <w:r>
        <w:t xml:space="preserve"> </w:t>
      </w:r>
      <w:r>
        <w:rPr>
          <w:rFonts w:ascii="Times New Roman" w:hAnsi="Times New Roman" w:cs="Times New Roman"/>
        </w:rPr>
        <w:t>Flow cytometry analysis of SLC7A11 expression in different cells from colorectal cancer and adjacent normal tissues.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C) Western blot (WB) analysis of SLC7A11 expression levels in different colorectal cancer cell lines.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Supplemental figure2</w:t>
      </w:r>
    </w:p>
    <w:p w:rsidR="009C0ABE" w:rsidRDefault="009C0ABE" w:rsidP="009C0ABE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B4BC137" wp14:editId="74400131">
            <wp:extent cx="5181600" cy="73279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 2. SLC7A11-Ab inhibits the proliferation of colon cancer cells by targeting the transport function of SLC7A11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A-B)</w:t>
      </w:r>
      <w:r>
        <w:t xml:space="preserve"> </w:t>
      </w:r>
      <w:r>
        <w:rPr>
          <w:rFonts w:ascii="Times New Roman" w:hAnsi="Times New Roman" w:cs="Times New Roman"/>
        </w:rPr>
        <w:t>Western blot (WB) analysis of SLC7A11 expression in DLD1 cells.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(</w:t>
      </w:r>
      <w:r>
        <w:rPr>
          <w:rFonts w:ascii="Times New Roman" w:hAnsi="Times New Roman" w:cs="Times New Roman"/>
        </w:rPr>
        <w:t>C)</w:t>
      </w:r>
      <w:r>
        <w:t xml:space="preserve"> </w:t>
      </w:r>
      <w:r>
        <w:rPr>
          <w:rFonts w:ascii="Times New Roman" w:hAnsi="Times New Roman" w:cs="Times New Roman"/>
        </w:rPr>
        <w:t>Flow cytometric analysis of C11 BODIPY staining in DLD1 cells treated with SLC7A11-Ab(100ug/ml) or IKE (2uM) for 48 hours, with or without LIP1 (1uM).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D-K) CCK8 assay results </w:t>
      </w:r>
      <w:r>
        <w:rPr>
          <w:rFonts w:ascii="Times New Roman" w:hAnsi="Times New Roman" w:cs="Times New Roman" w:hint="eastAsia"/>
        </w:rPr>
        <w:t>of</w:t>
      </w:r>
      <w:r>
        <w:rPr>
          <w:rFonts w:ascii="Times New Roman" w:hAnsi="Times New Roman" w:cs="Times New Roman"/>
        </w:rPr>
        <w:t xml:space="preserve"> LOVO, CT26, PANC1, MIA PaCa-2, SPC-A1, A549, MCF7, and MDA-MB-231 after treatment 48</w:t>
      </w:r>
      <w:r>
        <w:rPr>
          <w:rFonts w:ascii="Times New Roman" w:hAnsi="Times New Roman" w:cs="Times New Roman" w:hint="eastAsia"/>
        </w:rPr>
        <w:t>h</w:t>
      </w:r>
      <w:r>
        <w:rPr>
          <w:rFonts w:ascii="Times New Roman" w:hAnsi="Times New Roman" w:cs="Times New Roman"/>
        </w:rPr>
        <w:t xml:space="preserve"> with SLC7A11-Ab.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(L-N</w:t>
      </w:r>
      <w:r>
        <w:rPr>
          <w:rFonts w:ascii="Times New Roman" w:hAnsi="Times New Roman" w:cs="Times New Roman" w:hint="eastAsia"/>
        </w:rPr>
        <w:t>)</w:t>
      </w:r>
      <w:r>
        <w:rPr>
          <w:rFonts w:ascii="Times New Roman" w:hAnsi="Times New Roman" w:cs="Times New Roman"/>
        </w:rPr>
        <w:t xml:space="preserve"> Flow cytometric analysis of C11 BODIPY staining in MIA PACA2, A549 </w:t>
      </w:r>
      <w:r>
        <w:rPr>
          <w:rFonts w:ascii="Times New Roman" w:hAnsi="Times New Roman" w:cs="Times New Roman" w:hint="eastAsia"/>
        </w:rPr>
        <w:t>and</w:t>
      </w:r>
      <w:r>
        <w:rPr>
          <w:rFonts w:ascii="Times New Roman" w:hAnsi="Times New Roman" w:cs="Times New Roman"/>
        </w:rPr>
        <w:t xml:space="preserve"> MCF7 cells treated with SLC7A11-Ab or IKE for 48 hours, with or without LIP1.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</w:rPr>
        <w:t>*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 0.05</w:t>
      </w:r>
      <w:r>
        <w:rPr>
          <w:rFonts w:ascii="Times New Roman" w:hAnsi="Times New Roman" w:cs="Times New Roman" w:hint="eastAsia"/>
        </w:rPr>
        <w:t>,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</w:rPr>
        <w:t>**</w:t>
      </w:r>
      <w:r>
        <w:rPr>
          <w:rFonts w:ascii="Times New Roman" w:hAnsi="Times New Roman" w:cs="Times New Roman"/>
        </w:rPr>
        <w:t xml:space="preserve">p &lt; 0.01, </w:t>
      </w:r>
      <w:r>
        <w:rPr>
          <w:rFonts w:ascii="Arial" w:hAnsi="Arial" w:cs="Arial"/>
        </w:rPr>
        <w:t>***</w:t>
      </w:r>
      <w:r>
        <w:rPr>
          <w:rFonts w:ascii="Times New Roman" w:hAnsi="Times New Roman" w:cs="Times New Roman"/>
        </w:rPr>
        <w:t>p &lt; 0.001.</w:t>
      </w: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 w:hint="eastAsia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Supplemental figure3</w:t>
      </w:r>
    </w:p>
    <w:p w:rsidR="009C0ABE" w:rsidRDefault="009C0ABE" w:rsidP="009C0ABE">
      <w:pPr>
        <w:tabs>
          <w:tab w:val="left" w:pos="762"/>
        </w:tabs>
        <w:rPr>
          <w:rFonts w:ascii="Times New Roman Bold" w:hAnsi="Times New Roman Bold" w:cs="Times New Roman Bold"/>
        </w:rPr>
      </w:pPr>
      <w:r>
        <w:rPr>
          <w:rFonts w:ascii="Times New Roman Bold" w:hAnsi="Times New Roman Bold" w:cs="Times New Roman Bold" w:hint="eastAsia"/>
          <w:noProof/>
        </w:rPr>
        <w:drawing>
          <wp:inline distT="0" distB="0" distL="0" distR="0" wp14:anchorId="567AA711" wp14:editId="3A68112A">
            <wp:extent cx="5274310" cy="293687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ABE" w:rsidRDefault="009C0ABE" w:rsidP="009C0ABE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 3. SLC7A11-Ab inhibits the development of tumors in vivo</w:t>
      </w:r>
    </w:p>
    <w:p w:rsidR="009C0ABE" w:rsidRDefault="009C0ABE" w:rsidP="009C0ABE">
      <w:pPr>
        <w:spacing w:line="480" w:lineRule="auto"/>
        <w:ind w:left="120" w:hangingChars="50" w:hanging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 xml:space="preserve">A and B) Biochemical analysis of mouse serum after treatment with </w:t>
      </w:r>
      <w:bookmarkStart w:id="0" w:name="OLE_LINK17"/>
      <w:r>
        <w:rPr>
          <w:rFonts w:ascii="Times New Roman" w:hAnsi="Times New Roman" w:cs="Times New Roman"/>
        </w:rPr>
        <w:t>control antibody</w:t>
      </w:r>
      <w:bookmarkEnd w:id="0"/>
      <w:r>
        <w:rPr>
          <w:rFonts w:ascii="Times New Roman" w:hAnsi="Times New Roman" w:cs="Times New Roman"/>
        </w:rPr>
        <w:t xml:space="preserve"> or SLC7A11-Ab.</w:t>
      </w:r>
    </w:p>
    <w:p w:rsidR="009C0ABE" w:rsidRDefault="009C0ABE" w:rsidP="009C0ABE">
      <w:pPr>
        <w:spacing w:line="480" w:lineRule="auto"/>
        <w:ind w:left="120" w:hangingChars="50" w:hanging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(C)Cysteine levels in tumors after treatment with control antibody or SLC7A11-Ab.</w:t>
      </w:r>
    </w:p>
    <w:p w:rsidR="009C0ABE" w:rsidRDefault="009C0ABE" w:rsidP="009C0ABE">
      <w:pPr>
        <w:spacing w:line="480" w:lineRule="auto"/>
        <w:ind w:left="120" w:hangingChars="50" w:hanging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D)GSH levels in tumors after treatment with control antibody or SLC7A11-Ab.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(E and F) Volume of CT38 tumors from C57/6J intratumorally injected with control antibody, SLC7A11-Ab, IKE, anti-VEGF, IKE with anti-VEGF, or SLC7A11-Ab with anti-VEGF (n=6</w:t>
      </w:r>
      <w:proofErr w:type="gramStart"/>
      <w:r>
        <w:rPr>
          <w:rFonts w:ascii="Times New Roman" w:hAnsi="Times New Roman" w:cs="Times New Roman"/>
        </w:rPr>
        <w:t>).</w:t>
      </w:r>
      <w:r>
        <w:rPr>
          <w:rFonts w:ascii="Arial" w:hAnsi="Arial" w:cs="Arial"/>
        </w:rPr>
        <w:t>*</w:t>
      </w:r>
      <w:proofErr w:type="gramEnd"/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 0.05, </w:t>
      </w:r>
      <w:r>
        <w:rPr>
          <w:rFonts w:ascii="Arial" w:hAnsi="Arial" w:cs="Arial"/>
        </w:rPr>
        <w:t>**</w:t>
      </w:r>
      <w:r>
        <w:rPr>
          <w:rFonts w:ascii="Times New Roman" w:hAnsi="Times New Roman" w:cs="Times New Roman"/>
          <w:i/>
          <w:iCs/>
        </w:rPr>
        <w:t xml:space="preserve">p </w:t>
      </w:r>
      <w:r>
        <w:rPr>
          <w:rFonts w:ascii="Times New Roman" w:hAnsi="Times New Roman" w:cs="Times New Roman"/>
        </w:rPr>
        <w:t xml:space="preserve">&lt; 0.01, </w:t>
      </w:r>
      <w:r>
        <w:rPr>
          <w:rFonts w:ascii="Arial" w:hAnsi="Arial" w:cs="Arial"/>
        </w:rPr>
        <w:t>***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 0.001.</w:t>
      </w: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 w:hint="eastAsia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Supplemental figure4</w:t>
      </w:r>
    </w:p>
    <w:p w:rsidR="009C0ABE" w:rsidRDefault="009C0ABE" w:rsidP="009C0ABE">
      <w:pPr>
        <w:rPr>
          <w:rFonts w:ascii="Times New Roman Bold" w:hAnsi="Times New Roman Bold" w:cs="Times New Roman Bold"/>
        </w:rPr>
      </w:pPr>
      <w:r>
        <w:rPr>
          <w:rFonts w:ascii="Times New Roman Bold" w:hAnsi="Times New Roman Bold" w:cs="Times New Roman Bold"/>
          <w:noProof/>
        </w:rPr>
        <w:drawing>
          <wp:inline distT="0" distB="0" distL="0" distR="0" wp14:anchorId="456757DE" wp14:editId="28A2B0CC">
            <wp:extent cx="5274310" cy="52965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9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ABE" w:rsidRDefault="009C0ABE" w:rsidP="009C0ABE">
      <w:pPr>
        <w:rPr>
          <w:rFonts w:ascii="Times New Roman Bold" w:hAnsi="Times New Roman Bold" w:cs="Times New Roman Bold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 4. SLC7A11-Ab inhibits the proliferation and activation of Tregs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(A) Bubble plot showing the expression of signature genes of broad cell types. 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(B) Bar plots displaying the proportion of specific broad cell types as a fraction of the total cell count across different groups. Each bar represents a biological replicate within certain group, with the height indicating the percentage of particular cell types relative to all cells in that replicate. </w:t>
      </w:r>
    </w:p>
    <w:p w:rsidR="009C0ABE" w:rsidRDefault="009C0ABE" w:rsidP="009C0ABE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(</w:t>
      </w:r>
      <w:r>
        <w:rPr>
          <w:rFonts w:ascii="Times New Roman" w:hAnsi="Times New Roman" w:cs="Times New Roman"/>
        </w:rPr>
        <w:t xml:space="preserve">C </w:t>
      </w:r>
      <w:r>
        <w:rPr>
          <w:rFonts w:ascii="Times New Roman" w:hAnsi="Times New Roman" w:cs="Times New Roman" w:hint="eastAsia"/>
        </w:rPr>
        <w:t>and</w:t>
      </w:r>
      <w:r>
        <w:rPr>
          <w:rFonts w:ascii="Times New Roman" w:hAnsi="Times New Roman" w:cs="Times New Roman"/>
        </w:rPr>
        <w:t xml:space="preserve"> D</w:t>
      </w:r>
      <w:r>
        <w:rPr>
          <w:rFonts w:ascii="Times New Roman" w:hAnsi="Times New Roman" w:cs="Times New Roman" w:hint="eastAsia"/>
        </w:rPr>
        <w:t>)</w:t>
      </w:r>
      <w:r>
        <w:t xml:space="preserve"> </w:t>
      </w:r>
      <w:r>
        <w:rPr>
          <w:rFonts w:ascii="Times New Roman" w:hAnsi="Times New Roman" w:cs="Times New Roman"/>
        </w:rPr>
        <w:t>Flow cytometric analysis of CD8+ T cell proliferation and functional changes after co-culturing with Treg cells at different ratios for 2 days.</w:t>
      </w: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Supplemental figure5</w:t>
      </w: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4655116" wp14:editId="3DE47DB4">
            <wp:extent cx="5130800" cy="33020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ABE" w:rsidRDefault="009C0ABE" w:rsidP="009C0ABE">
      <w:pPr>
        <w:ind w:firstLineChars="200" w:firstLine="480"/>
        <w:rPr>
          <w:rFonts w:ascii="Times New Roman Bold" w:hAnsi="Times New Roman Bold" w:cs="Times New Roman Bold"/>
        </w:rPr>
      </w:pPr>
    </w:p>
    <w:p w:rsidR="009C0ABE" w:rsidRDefault="009C0ABE" w:rsidP="009C0AB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Supplemental figure 5. Impact of SLC7A11-Ab on T cell function</w:t>
      </w:r>
    </w:p>
    <w:p w:rsidR="009C0ABE" w:rsidRDefault="009C0ABE" w:rsidP="009C0ABE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(A-C) Flow cytometry results for Foxp3, CD4, CD69, and Ki67 expression in CD4 T cells treated with different concentrations of SLC7A11-Ab.</w:t>
      </w:r>
    </w:p>
    <w:p w:rsidR="001A3B31" w:rsidRPr="009C0ABE" w:rsidRDefault="001A3B31"/>
    <w:sectPr w:rsidR="001A3B31" w:rsidRPr="009C0AB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Bold">
    <w:altName w:val="Times New Roman"/>
    <w:panose1 w:val="020B0604020202020204"/>
    <w:charset w:val="00"/>
    <w:family w:val="auto"/>
    <w:pitch w:val="default"/>
    <w:sig w:usb0="E0000AFF" w:usb1="00007843" w:usb2="00000001" w:usb3="00000000" w:csb0="400001BF" w:csb1="DFF7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0ABE"/>
    <w:rsid w:val="000024CF"/>
    <w:rsid w:val="00007F24"/>
    <w:rsid w:val="000257E7"/>
    <w:rsid w:val="00037E86"/>
    <w:rsid w:val="00056B6C"/>
    <w:rsid w:val="0005713F"/>
    <w:rsid w:val="00070E32"/>
    <w:rsid w:val="00090E47"/>
    <w:rsid w:val="0009471D"/>
    <w:rsid w:val="00097D54"/>
    <w:rsid w:val="000B1440"/>
    <w:rsid w:val="000B35D0"/>
    <w:rsid w:val="000C38F6"/>
    <w:rsid w:val="000D729A"/>
    <w:rsid w:val="000D7813"/>
    <w:rsid w:val="00116C2E"/>
    <w:rsid w:val="0013039F"/>
    <w:rsid w:val="00132789"/>
    <w:rsid w:val="00180F3C"/>
    <w:rsid w:val="001A3B31"/>
    <w:rsid w:val="001B1EDD"/>
    <w:rsid w:val="001B2E96"/>
    <w:rsid w:val="001C482B"/>
    <w:rsid w:val="001D7F79"/>
    <w:rsid w:val="001E58AC"/>
    <w:rsid w:val="00210779"/>
    <w:rsid w:val="00214731"/>
    <w:rsid w:val="002205B3"/>
    <w:rsid w:val="00236807"/>
    <w:rsid w:val="002459D0"/>
    <w:rsid w:val="00276AEC"/>
    <w:rsid w:val="00291008"/>
    <w:rsid w:val="002E1229"/>
    <w:rsid w:val="002E7BCB"/>
    <w:rsid w:val="002F32DE"/>
    <w:rsid w:val="00301AF1"/>
    <w:rsid w:val="00306F2C"/>
    <w:rsid w:val="00307023"/>
    <w:rsid w:val="003143E8"/>
    <w:rsid w:val="0033097F"/>
    <w:rsid w:val="00330E2A"/>
    <w:rsid w:val="00334FBD"/>
    <w:rsid w:val="003571F5"/>
    <w:rsid w:val="0036608C"/>
    <w:rsid w:val="00377A4B"/>
    <w:rsid w:val="00380DC1"/>
    <w:rsid w:val="00393B18"/>
    <w:rsid w:val="00395B0F"/>
    <w:rsid w:val="003975F8"/>
    <w:rsid w:val="003A1836"/>
    <w:rsid w:val="003B127C"/>
    <w:rsid w:val="003B4725"/>
    <w:rsid w:val="003C6CF6"/>
    <w:rsid w:val="003D235E"/>
    <w:rsid w:val="003E39B4"/>
    <w:rsid w:val="003F796D"/>
    <w:rsid w:val="0040173A"/>
    <w:rsid w:val="00413310"/>
    <w:rsid w:val="004156A6"/>
    <w:rsid w:val="00435ED0"/>
    <w:rsid w:val="00447BFF"/>
    <w:rsid w:val="00451785"/>
    <w:rsid w:val="00462826"/>
    <w:rsid w:val="00494CD1"/>
    <w:rsid w:val="00496D5E"/>
    <w:rsid w:val="00497DFC"/>
    <w:rsid w:val="004C09A1"/>
    <w:rsid w:val="004D7331"/>
    <w:rsid w:val="004E7C08"/>
    <w:rsid w:val="004F1FF6"/>
    <w:rsid w:val="00503F69"/>
    <w:rsid w:val="00505B46"/>
    <w:rsid w:val="00510FD5"/>
    <w:rsid w:val="0053461C"/>
    <w:rsid w:val="00541F32"/>
    <w:rsid w:val="00565112"/>
    <w:rsid w:val="00576D7D"/>
    <w:rsid w:val="00577414"/>
    <w:rsid w:val="00594342"/>
    <w:rsid w:val="00597E04"/>
    <w:rsid w:val="005C538A"/>
    <w:rsid w:val="005D0184"/>
    <w:rsid w:val="006047C1"/>
    <w:rsid w:val="00604ECA"/>
    <w:rsid w:val="0061473A"/>
    <w:rsid w:val="00622D5C"/>
    <w:rsid w:val="0062486A"/>
    <w:rsid w:val="0064540E"/>
    <w:rsid w:val="00655419"/>
    <w:rsid w:val="0066135B"/>
    <w:rsid w:val="006909CB"/>
    <w:rsid w:val="00697DEE"/>
    <w:rsid w:val="006B2C94"/>
    <w:rsid w:val="006E0C26"/>
    <w:rsid w:val="006F4885"/>
    <w:rsid w:val="007174D1"/>
    <w:rsid w:val="007217C6"/>
    <w:rsid w:val="00755180"/>
    <w:rsid w:val="007729CA"/>
    <w:rsid w:val="0078740D"/>
    <w:rsid w:val="007A1940"/>
    <w:rsid w:val="007A56E8"/>
    <w:rsid w:val="007E0EA4"/>
    <w:rsid w:val="007F3900"/>
    <w:rsid w:val="00804CAF"/>
    <w:rsid w:val="008131DC"/>
    <w:rsid w:val="00854872"/>
    <w:rsid w:val="008736E3"/>
    <w:rsid w:val="008849A7"/>
    <w:rsid w:val="008920EC"/>
    <w:rsid w:val="008B45B9"/>
    <w:rsid w:val="008D6299"/>
    <w:rsid w:val="008D7404"/>
    <w:rsid w:val="008E468E"/>
    <w:rsid w:val="008F30D0"/>
    <w:rsid w:val="00902CFC"/>
    <w:rsid w:val="00903C24"/>
    <w:rsid w:val="009206DB"/>
    <w:rsid w:val="0094232C"/>
    <w:rsid w:val="00942C10"/>
    <w:rsid w:val="00945382"/>
    <w:rsid w:val="00945D10"/>
    <w:rsid w:val="0097144D"/>
    <w:rsid w:val="009C0ABE"/>
    <w:rsid w:val="009C768D"/>
    <w:rsid w:val="009D39CE"/>
    <w:rsid w:val="009D5989"/>
    <w:rsid w:val="009E6F09"/>
    <w:rsid w:val="009F06EE"/>
    <w:rsid w:val="009F253C"/>
    <w:rsid w:val="00A00995"/>
    <w:rsid w:val="00A0256A"/>
    <w:rsid w:val="00A07EA2"/>
    <w:rsid w:val="00A14259"/>
    <w:rsid w:val="00A368E0"/>
    <w:rsid w:val="00A579FF"/>
    <w:rsid w:val="00A87F4E"/>
    <w:rsid w:val="00AC3849"/>
    <w:rsid w:val="00AC6AC4"/>
    <w:rsid w:val="00AC7834"/>
    <w:rsid w:val="00AD69D2"/>
    <w:rsid w:val="00B30AD6"/>
    <w:rsid w:val="00B30F38"/>
    <w:rsid w:val="00B325C5"/>
    <w:rsid w:val="00B35D80"/>
    <w:rsid w:val="00B40C1E"/>
    <w:rsid w:val="00B42439"/>
    <w:rsid w:val="00B50373"/>
    <w:rsid w:val="00B51B67"/>
    <w:rsid w:val="00B529BB"/>
    <w:rsid w:val="00B61275"/>
    <w:rsid w:val="00B62B19"/>
    <w:rsid w:val="00B6748F"/>
    <w:rsid w:val="00BB2159"/>
    <w:rsid w:val="00BC343C"/>
    <w:rsid w:val="00BC4D94"/>
    <w:rsid w:val="00C07705"/>
    <w:rsid w:val="00C13B03"/>
    <w:rsid w:val="00C222F8"/>
    <w:rsid w:val="00C362A0"/>
    <w:rsid w:val="00C43CB2"/>
    <w:rsid w:val="00C61B82"/>
    <w:rsid w:val="00C67731"/>
    <w:rsid w:val="00C92268"/>
    <w:rsid w:val="00C95C4B"/>
    <w:rsid w:val="00CB1C44"/>
    <w:rsid w:val="00CB21A6"/>
    <w:rsid w:val="00CC7F7A"/>
    <w:rsid w:val="00CD6465"/>
    <w:rsid w:val="00CE5EF2"/>
    <w:rsid w:val="00D141F7"/>
    <w:rsid w:val="00D17F60"/>
    <w:rsid w:val="00D31464"/>
    <w:rsid w:val="00D36290"/>
    <w:rsid w:val="00D47C3F"/>
    <w:rsid w:val="00D55E12"/>
    <w:rsid w:val="00D60952"/>
    <w:rsid w:val="00D65E80"/>
    <w:rsid w:val="00D710B8"/>
    <w:rsid w:val="00DC02FF"/>
    <w:rsid w:val="00DD5F5B"/>
    <w:rsid w:val="00DE2B8C"/>
    <w:rsid w:val="00E003BB"/>
    <w:rsid w:val="00E21B57"/>
    <w:rsid w:val="00E23874"/>
    <w:rsid w:val="00E30366"/>
    <w:rsid w:val="00E30A24"/>
    <w:rsid w:val="00E37F53"/>
    <w:rsid w:val="00E43316"/>
    <w:rsid w:val="00E75625"/>
    <w:rsid w:val="00E77635"/>
    <w:rsid w:val="00E91486"/>
    <w:rsid w:val="00E92A28"/>
    <w:rsid w:val="00E963C4"/>
    <w:rsid w:val="00E97402"/>
    <w:rsid w:val="00ED7A04"/>
    <w:rsid w:val="00EE6DC3"/>
    <w:rsid w:val="00EF1016"/>
    <w:rsid w:val="00EF7E06"/>
    <w:rsid w:val="00F05B52"/>
    <w:rsid w:val="00F472A9"/>
    <w:rsid w:val="00F47B05"/>
    <w:rsid w:val="00F6276A"/>
    <w:rsid w:val="00F825D6"/>
    <w:rsid w:val="00F86045"/>
    <w:rsid w:val="00F93924"/>
    <w:rsid w:val="00FB12D2"/>
    <w:rsid w:val="00FC4000"/>
    <w:rsid w:val="00FD000A"/>
    <w:rsid w:val="00FD2B26"/>
    <w:rsid w:val="00FD2E95"/>
    <w:rsid w:val="00FF7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0AB8197"/>
  <w15:chartTrackingRefBased/>
  <w15:docId w15:val="{19EEB311-C6C2-7542-B95A-D8076AC51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0ABE"/>
    <w:rPr>
      <w:rFonts w:ascii="宋体" w:eastAsia="宋体" w:hAnsi="宋体" w:cs="宋体"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1270</Words>
  <Characters>1283</Characters>
  <Application>Microsoft Office Word</Application>
  <DocSecurity>0</DocSecurity>
  <Lines>160</Lines>
  <Paragraphs>159</Paragraphs>
  <ScaleCrop>false</ScaleCrop>
  <Company/>
  <LinksUpToDate>false</LinksUpToDate>
  <CharactersWithSpaces>2394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chang</dc:creator>
  <cp:keywords/>
  <dc:description/>
  <cp:lastModifiedBy>chang</cp:lastModifiedBy>
  <cp:revision>1</cp:revision>
  <dcterms:created xsi:type="dcterms:W3CDTF">2026-02-23T10:55:00Z</dcterms:created>
  <dcterms:modified xsi:type="dcterms:W3CDTF">2026-02-23T10:56:00Z</dcterms:modified>
</cp:coreProperties>
</file>