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943CD" w14:textId="77777777" w:rsidR="00A332CF" w:rsidRDefault="0000000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SUPPLEMENTAL MATERIAL</w:t>
      </w:r>
    </w:p>
    <w:p w14:paraId="017AF5FB" w14:textId="77777777" w:rsidR="00A332CF" w:rsidRDefault="00A332CF">
      <w:pPr>
        <w:rPr>
          <w:sz w:val="24"/>
          <w:lang w:val="en-US"/>
        </w:rPr>
      </w:pPr>
    </w:p>
    <w:p w14:paraId="653B3DE0" w14:textId="77777777" w:rsidR="00A332CF" w:rsidRDefault="00000000">
      <w:pPr>
        <w:spacing w:line="480" w:lineRule="auto"/>
        <w:rPr>
          <w:sz w:val="24"/>
          <w:lang w:val="en-US"/>
        </w:rPr>
      </w:pPr>
      <w:r>
        <w:rPr>
          <w:sz w:val="24"/>
          <w:lang w:val="en-US"/>
        </w:rPr>
        <w:t>SUPPLEMENTAL TABLES</w:t>
      </w:r>
    </w:p>
    <w:p w14:paraId="2CC1B436" w14:textId="77777777" w:rsidR="00A332CF" w:rsidRDefault="00000000">
      <w:pPr>
        <w:spacing w:line="480" w:lineRule="auto"/>
        <w:rPr>
          <w:sz w:val="24"/>
          <w:lang w:val="en-US"/>
        </w:rPr>
      </w:pPr>
      <w:r>
        <w:rPr>
          <w:sz w:val="24"/>
          <w:lang w:val="en-US"/>
        </w:rPr>
        <w:t>Table S1</w:t>
      </w:r>
    </w:p>
    <w:p w14:paraId="1E2B47E6" w14:textId="77777777" w:rsidR="00A332CF" w:rsidRDefault="00000000">
      <w:pPr>
        <w:spacing w:line="276" w:lineRule="auto"/>
        <w:rPr>
          <w:sz w:val="24"/>
          <w:lang w:val="en-US"/>
        </w:rPr>
      </w:pPr>
      <w:r>
        <w:rPr>
          <w:lang w:val="en-US"/>
        </w:rPr>
        <w:t xml:space="preserve">Antibodies used for flow cytometry of immune cells in kidney tissue. Staining sets 1 and 2 were stained in parallel using identical buffers and laboratory materials for comparability. APC = Allophycocyanin, PE Cy7 = Phycoerythrin-Cyanine 7, FITC = Fluorescein isothiocyanate, BV = Brilliant </w:t>
      </w:r>
    </w:p>
    <w:tbl>
      <w:tblPr>
        <w:tblStyle w:val="Tabellenraster"/>
        <w:tblW w:w="8926" w:type="dxa"/>
        <w:tblLayout w:type="fixed"/>
        <w:tblLook w:val="04A0" w:firstRow="1" w:lastRow="0" w:firstColumn="1" w:lastColumn="0" w:noHBand="0" w:noVBand="1"/>
      </w:tblPr>
      <w:tblGrid>
        <w:gridCol w:w="2263"/>
        <w:gridCol w:w="1956"/>
        <w:gridCol w:w="1035"/>
        <w:gridCol w:w="3672"/>
      </w:tblGrid>
      <w:tr w:rsidR="00A332CF" w14:paraId="3874B042" w14:textId="77777777">
        <w:tc>
          <w:tcPr>
            <w:tcW w:w="2263" w:type="dxa"/>
          </w:tcPr>
          <w:p w14:paraId="7D71F295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Staining</w:t>
            </w:r>
            <w:r>
              <w:rPr>
                <w:b/>
                <w:bCs/>
                <w:lang w:val="en-US"/>
              </w:rPr>
              <w:t xml:space="preserve"> set</w:t>
            </w:r>
          </w:p>
        </w:tc>
        <w:tc>
          <w:tcPr>
            <w:tcW w:w="1956" w:type="dxa"/>
          </w:tcPr>
          <w:p w14:paraId="17742888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Antibody</w:t>
            </w:r>
          </w:p>
        </w:tc>
        <w:tc>
          <w:tcPr>
            <w:tcW w:w="1035" w:type="dxa"/>
          </w:tcPr>
          <w:p w14:paraId="5E439A2F" w14:textId="77777777" w:rsidR="00A332CF" w:rsidRDefault="0000000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Dilution</w:t>
            </w:r>
          </w:p>
        </w:tc>
        <w:tc>
          <w:tcPr>
            <w:tcW w:w="3672" w:type="dxa"/>
          </w:tcPr>
          <w:p w14:paraId="627EE06D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Manufacturer</w:t>
            </w:r>
            <w:r>
              <w:rPr>
                <w:b/>
                <w:bCs/>
              </w:rPr>
              <w:t>/Catalogue</w:t>
            </w:r>
            <w:r>
              <w:rPr>
                <w:b/>
                <w:bCs/>
                <w:lang w:val="en-US"/>
              </w:rPr>
              <w:t xml:space="preserve"> number</w:t>
            </w:r>
          </w:p>
        </w:tc>
      </w:tr>
      <w:tr w:rsidR="00A332CF" w14:paraId="41BD1E0A" w14:textId="77777777">
        <w:tc>
          <w:tcPr>
            <w:tcW w:w="2263" w:type="dxa"/>
            <w:vMerge w:val="restart"/>
          </w:tcPr>
          <w:p w14:paraId="6F9A94B6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1 –</w:t>
            </w:r>
            <w:r>
              <w:rPr>
                <w:b/>
                <w:bCs/>
                <w:lang w:val="en-US"/>
              </w:rPr>
              <w:t xml:space="preserve"> Macrophages</w:t>
            </w:r>
          </w:p>
          <w:p w14:paraId="184807ED" w14:textId="77777777" w:rsidR="00A332CF" w:rsidRDefault="00A332CF"/>
        </w:tc>
        <w:tc>
          <w:tcPr>
            <w:tcW w:w="1956" w:type="dxa"/>
          </w:tcPr>
          <w:p w14:paraId="1E64C1AD" w14:textId="77777777" w:rsidR="00A332CF" w:rsidRDefault="00000000">
            <w:r>
              <w:t>CD45 BV510</w:t>
            </w:r>
          </w:p>
        </w:tc>
        <w:tc>
          <w:tcPr>
            <w:tcW w:w="1035" w:type="dxa"/>
          </w:tcPr>
          <w:p w14:paraId="1A66D4A1" w14:textId="77777777" w:rsidR="00A332CF" w:rsidRDefault="00000000">
            <w:r>
              <w:t>1:500</w:t>
            </w:r>
          </w:p>
        </w:tc>
        <w:tc>
          <w:tcPr>
            <w:tcW w:w="3672" w:type="dxa"/>
          </w:tcPr>
          <w:p w14:paraId="75F7E29A" w14:textId="77777777" w:rsidR="00A332CF" w:rsidRDefault="00000000">
            <w:r>
              <w:t>Biolegend/103138</w:t>
            </w:r>
          </w:p>
        </w:tc>
      </w:tr>
      <w:tr w:rsidR="00A332CF" w14:paraId="5D55654C" w14:textId="77777777">
        <w:tc>
          <w:tcPr>
            <w:tcW w:w="2263" w:type="dxa"/>
            <w:vMerge/>
          </w:tcPr>
          <w:p w14:paraId="0F363549" w14:textId="77777777" w:rsidR="00A332CF" w:rsidRDefault="00A332CF"/>
        </w:tc>
        <w:tc>
          <w:tcPr>
            <w:tcW w:w="1956" w:type="dxa"/>
          </w:tcPr>
          <w:p w14:paraId="2DA6E838" w14:textId="77777777" w:rsidR="00A332CF" w:rsidRDefault="00000000">
            <w:r>
              <w:t>CD11b APC</w:t>
            </w:r>
          </w:p>
        </w:tc>
        <w:tc>
          <w:tcPr>
            <w:tcW w:w="1035" w:type="dxa"/>
          </w:tcPr>
          <w:p w14:paraId="772776BF" w14:textId="77777777" w:rsidR="00A332CF" w:rsidRDefault="00000000">
            <w:r>
              <w:t>1:200</w:t>
            </w:r>
          </w:p>
        </w:tc>
        <w:tc>
          <w:tcPr>
            <w:tcW w:w="3672" w:type="dxa"/>
          </w:tcPr>
          <w:p w14:paraId="40036563" w14:textId="77777777" w:rsidR="00A332CF" w:rsidRDefault="00000000">
            <w:r>
              <w:t>Biolegend/101212</w:t>
            </w:r>
          </w:p>
        </w:tc>
      </w:tr>
      <w:tr w:rsidR="00A332CF" w14:paraId="0A798A1B" w14:textId="77777777">
        <w:tc>
          <w:tcPr>
            <w:tcW w:w="2263" w:type="dxa"/>
            <w:vMerge/>
          </w:tcPr>
          <w:p w14:paraId="301C08C0" w14:textId="77777777" w:rsidR="00A332CF" w:rsidRDefault="00A332CF"/>
        </w:tc>
        <w:tc>
          <w:tcPr>
            <w:tcW w:w="1956" w:type="dxa"/>
          </w:tcPr>
          <w:p w14:paraId="3E88760E" w14:textId="77777777" w:rsidR="00A332CF" w:rsidRDefault="00000000">
            <w:r>
              <w:t>Ly6G APC Cy7</w:t>
            </w:r>
          </w:p>
        </w:tc>
        <w:tc>
          <w:tcPr>
            <w:tcW w:w="1035" w:type="dxa"/>
          </w:tcPr>
          <w:p w14:paraId="1425DBCB" w14:textId="77777777" w:rsidR="00A332CF" w:rsidRDefault="00000000">
            <w:r>
              <w:t>1:500</w:t>
            </w:r>
          </w:p>
        </w:tc>
        <w:tc>
          <w:tcPr>
            <w:tcW w:w="3672" w:type="dxa"/>
          </w:tcPr>
          <w:p w14:paraId="0B6DB305" w14:textId="77777777" w:rsidR="00A332CF" w:rsidRDefault="00000000">
            <w:r>
              <w:t>Biolegend/127623</w:t>
            </w:r>
          </w:p>
        </w:tc>
      </w:tr>
      <w:tr w:rsidR="00A332CF" w14:paraId="1BE465DA" w14:textId="77777777">
        <w:tc>
          <w:tcPr>
            <w:tcW w:w="2263" w:type="dxa"/>
            <w:vMerge/>
          </w:tcPr>
          <w:p w14:paraId="73B3E5A1" w14:textId="77777777" w:rsidR="00A332CF" w:rsidRDefault="00A332CF"/>
        </w:tc>
        <w:tc>
          <w:tcPr>
            <w:tcW w:w="1956" w:type="dxa"/>
          </w:tcPr>
          <w:p w14:paraId="577D37B0" w14:textId="77777777" w:rsidR="00A332CF" w:rsidRDefault="00000000">
            <w:r>
              <w:t xml:space="preserve">Ly6C </w:t>
            </w:r>
            <w:r w:rsidRPr="0097375A">
              <w:rPr>
                <w:lang w:val="en-US"/>
              </w:rPr>
              <w:t>FITC</w:t>
            </w:r>
          </w:p>
        </w:tc>
        <w:tc>
          <w:tcPr>
            <w:tcW w:w="1035" w:type="dxa"/>
          </w:tcPr>
          <w:p w14:paraId="79CE51D8" w14:textId="77777777" w:rsidR="00A332CF" w:rsidRDefault="00000000">
            <w:r>
              <w:t>1:500</w:t>
            </w:r>
          </w:p>
        </w:tc>
        <w:tc>
          <w:tcPr>
            <w:tcW w:w="3672" w:type="dxa"/>
          </w:tcPr>
          <w:p w14:paraId="7B26D5C8" w14:textId="77777777" w:rsidR="00A332CF" w:rsidRDefault="00000000">
            <w:r>
              <w:t>BD</w:t>
            </w:r>
            <w:r>
              <w:rPr>
                <w:lang w:val="en-US"/>
              </w:rPr>
              <w:t xml:space="preserve"> Bioscience</w:t>
            </w:r>
            <w:r>
              <w:t>/553104</w:t>
            </w:r>
          </w:p>
        </w:tc>
      </w:tr>
      <w:tr w:rsidR="00A332CF" w14:paraId="17D35E14" w14:textId="77777777">
        <w:tc>
          <w:tcPr>
            <w:tcW w:w="2263" w:type="dxa"/>
            <w:vMerge/>
          </w:tcPr>
          <w:p w14:paraId="242409FB" w14:textId="77777777" w:rsidR="00A332CF" w:rsidRDefault="00A332CF"/>
        </w:tc>
        <w:tc>
          <w:tcPr>
            <w:tcW w:w="1956" w:type="dxa"/>
          </w:tcPr>
          <w:p w14:paraId="159F94FD" w14:textId="77777777" w:rsidR="00A332CF" w:rsidRDefault="00000000">
            <w:r>
              <w:t>F4/80 PE Cy7</w:t>
            </w:r>
          </w:p>
        </w:tc>
        <w:tc>
          <w:tcPr>
            <w:tcW w:w="1035" w:type="dxa"/>
          </w:tcPr>
          <w:p w14:paraId="2623673B" w14:textId="77777777" w:rsidR="00A332CF" w:rsidRDefault="00000000">
            <w:r>
              <w:t>1:200</w:t>
            </w:r>
          </w:p>
        </w:tc>
        <w:tc>
          <w:tcPr>
            <w:tcW w:w="3672" w:type="dxa"/>
          </w:tcPr>
          <w:p w14:paraId="373C1A8D" w14:textId="77777777" w:rsidR="00A332CF" w:rsidRDefault="00000000">
            <w:r>
              <w:t>Biolegend/123114</w:t>
            </w:r>
          </w:p>
        </w:tc>
      </w:tr>
      <w:tr w:rsidR="00A332CF" w14:paraId="092F8FEC" w14:textId="77777777">
        <w:tc>
          <w:tcPr>
            <w:tcW w:w="2263" w:type="dxa"/>
            <w:vMerge w:val="restart"/>
          </w:tcPr>
          <w:p w14:paraId="22CCEA5A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2 – T</w:t>
            </w:r>
            <w:r>
              <w:rPr>
                <w:b/>
                <w:bCs/>
                <w:lang w:val="en-US"/>
              </w:rPr>
              <w:t xml:space="preserve"> cells</w:t>
            </w:r>
            <w:r>
              <w:rPr>
                <w:b/>
                <w:bCs/>
              </w:rPr>
              <w:t xml:space="preserve"> </w:t>
            </w:r>
          </w:p>
          <w:p w14:paraId="2A47444E" w14:textId="77777777" w:rsidR="00A332CF" w:rsidRDefault="00A332CF"/>
        </w:tc>
        <w:tc>
          <w:tcPr>
            <w:tcW w:w="1956" w:type="dxa"/>
          </w:tcPr>
          <w:p w14:paraId="0B14345D" w14:textId="77777777" w:rsidR="00A332CF" w:rsidRDefault="00000000">
            <w:r>
              <w:t>CD45 APC Cy7</w:t>
            </w:r>
          </w:p>
        </w:tc>
        <w:tc>
          <w:tcPr>
            <w:tcW w:w="1035" w:type="dxa"/>
          </w:tcPr>
          <w:p w14:paraId="212986F7" w14:textId="77777777" w:rsidR="00A332CF" w:rsidRDefault="00000000">
            <w:r>
              <w:t>1:500</w:t>
            </w:r>
          </w:p>
        </w:tc>
        <w:tc>
          <w:tcPr>
            <w:tcW w:w="3672" w:type="dxa"/>
          </w:tcPr>
          <w:p w14:paraId="512B6787" w14:textId="77777777" w:rsidR="00A332CF" w:rsidRDefault="00000000">
            <w:r>
              <w:t>Biolegend/103115</w:t>
            </w:r>
          </w:p>
        </w:tc>
      </w:tr>
      <w:tr w:rsidR="00A332CF" w14:paraId="15107B66" w14:textId="77777777">
        <w:tc>
          <w:tcPr>
            <w:tcW w:w="2263" w:type="dxa"/>
            <w:vMerge/>
          </w:tcPr>
          <w:p w14:paraId="00B0F71A" w14:textId="77777777" w:rsidR="00A332CF" w:rsidRDefault="00A332CF">
            <w:pPr>
              <w:rPr>
                <w:lang w:val="en-US"/>
              </w:rPr>
            </w:pPr>
          </w:p>
        </w:tc>
        <w:tc>
          <w:tcPr>
            <w:tcW w:w="1956" w:type="dxa"/>
          </w:tcPr>
          <w:p w14:paraId="200453EC" w14:textId="77777777" w:rsidR="00A332CF" w:rsidRDefault="00000000">
            <w:r>
              <w:rPr>
                <w:lang w:val="en-US"/>
              </w:rPr>
              <w:t>TCR</w:t>
            </w:r>
            <w:r>
              <w:rPr>
                <w:rFonts w:cs="Arial"/>
              </w:rPr>
              <w:t>β</w:t>
            </w:r>
            <w:r>
              <w:t xml:space="preserve"> BV510</w:t>
            </w:r>
          </w:p>
        </w:tc>
        <w:tc>
          <w:tcPr>
            <w:tcW w:w="1035" w:type="dxa"/>
          </w:tcPr>
          <w:p w14:paraId="61145668" w14:textId="77777777" w:rsidR="00A332CF" w:rsidRDefault="00000000">
            <w:r>
              <w:t>1:200</w:t>
            </w:r>
          </w:p>
        </w:tc>
        <w:tc>
          <w:tcPr>
            <w:tcW w:w="3672" w:type="dxa"/>
          </w:tcPr>
          <w:p w14:paraId="6443B8AC" w14:textId="77777777" w:rsidR="00A332CF" w:rsidRDefault="00000000">
            <w:r>
              <w:t>Biolegend/109234</w:t>
            </w:r>
          </w:p>
        </w:tc>
      </w:tr>
      <w:tr w:rsidR="00A332CF" w14:paraId="69C30502" w14:textId="77777777">
        <w:tc>
          <w:tcPr>
            <w:tcW w:w="2263" w:type="dxa"/>
            <w:vMerge/>
          </w:tcPr>
          <w:p w14:paraId="345AB486" w14:textId="77777777" w:rsidR="00A332CF" w:rsidRDefault="00A332CF"/>
        </w:tc>
        <w:tc>
          <w:tcPr>
            <w:tcW w:w="1956" w:type="dxa"/>
          </w:tcPr>
          <w:p w14:paraId="16CC4290" w14:textId="77777777" w:rsidR="00A332CF" w:rsidRDefault="00000000">
            <w:r>
              <w:t>CD4 PE-Cy7</w:t>
            </w:r>
          </w:p>
        </w:tc>
        <w:tc>
          <w:tcPr>
            <w:tcW w:w="1035" w:type="dxa"/>
          </w:tcPr>
          <w:p w14:paraId="35224589" w14:textId="77777777" w:rsidR="00A332CF" w:rsidRDefault="00000000">
            <w:r>
              <w:t>1:200</w:t>
            </w:r>
          </w:p>
        </w:tc>
        <w:tc>
          <w:tcPr>
            <w:tcW w:w="3672" w:type="dxa"/>
          </w:tcPr>
          <w:p w14:paraId="7ED26D96" w14:textId="77777777" w:rsidR="00A332CF" w:rsidRDefault="00000000">
            <w:r>
              <w:t>Biolegend/100422</w:t>
            </w:r>
          </w:p>
        </w:tc>
      </w:tr>
      <w:tr w:rsidR="00A332CF" w14:paraId="134A5A49" w14:textId="77777777">
        <w:tc>
          <w:tcPr>
            <w:tcW w:w="2263" w:type="dxa"/>
            <w:vMerge/>
          </w:tcPr>
          <w:p w14:paraId="79A3FEC1" w14:textId="77777777" w:rsidR="00A332CF" w:rsidRDefault="00A332CF"/>
        </w:tc>
        <w:tc>
          <w:tcPr>
            <w:tcW w:w="1956" w:type="dxa"/>
          </w:tcPr>
          <w:p w14:paraId="23713AEF" w14:textId="77777777" w:rsidR="00A332CF" w:rsidRDefault="00000000">
            <w:r>
              <w:t>CD8 APC</w:t>
            </w:r>
          </w:p>
        </w:tc>
        <w:tc>
          <w:tcPr>
            <w:tcW w:w="1035" w:type="dxa"/>
          </w:tcPr>
          <w:p w14:paraId="49EEB060" w14:textId="77777777" w:rsidR="00A332CF" w:rsidRDefault="00000000">
            <w:r>
              <w:t>1:200</w:t>
            </w:r>
          </w:p>
        </w:tc>
        <w:tc>
          <w:tcPr>
            <w:tcW w:w="3672" w:type="dxa"/>
          </w:tcPr>
          <w:p w14:paraId="64F12CA3" w14:textId="77777777" w:rsidR="00A332CF" w:rsidRDefault="00000000">
            <w:pPr>
              <w:keepNext/>
            </w:pPr>
            <w:r>
              <w:t>Biolegend/100712</w:t>
            </w:r>
          </w:p>
        </w:tc>
      </w:tr>
    </w:tbl>
    <w:p w14:paraId="267659AB" w14:textId="77777777" w:rsidR="00A332CF" w:rsidRDefault="00A332CF">
      <w:pPr>
        <w:spacing w:line="480" w:lineRule="auto"/>
        <w:rPr>
          <w:sz w:val="24"/>
          <w:lang w:val="en-US"/>
        </w:rPr>
      </w:pPr>
    </w:p>
    <w:p w14:paraId="255AC2F9" w14:textId="77777777" w:rsidR="00A332CF" w:rsidRDefault="00000000">
      <w:pPr>
        <w:spacing w:line="480" w:lineRule="auto"/>
        <w:rPr>
          <w:sz w:val="24"/>
          <w:lang w:val="en-US"/>
        </w:rPr>
      </w:pPr>
      <w:r>
        <w:rPr>
          <w:sz w:val="24"/>
          <w:lang w:val="en-US"/>
        </w:rPr>
        <w:t>Table S2</w:t>
      </w:r>
    </w:p>
    <w:p w14:paraId="25F699BC" w14:textId="77777777" w:rsidR="00A332CF" w:rsidRDefault="00000000">
      <w:pPr>
        <w:spacing w:line="276" w:lineRule="auto"/>
        <w:rPr>
          <w:sz w:val="24"/>
          <w:lang w:val="en-US"/>
        </w:rPr>
      </w:pPr>
      <w:r>
        <w:rPr>
          <w:sz w:val="24"/>
          <w:lang w:val="en-US"/>
        </w:rPr>
        <w:t xml:space="preserve">Antibodies used for immunofluorescent staining of endomucin (EMCN) and erythroblast transformation-specific-related gene protein (ERG). </w:t>
      </w:r>
    </w:p>
    <w:tbl>
      <w:tblPr>
        <w:tblStyle w:val="Tabellenraster"/>
        <w:tblW w:w="8926" w:type="dxa"/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1843"/>
        <w:gridCol w:w="1559"/>
        <w:gridCol w:w="1134"/>
        <w:gridCol w:w="1843"/>
      </w:tblGrid>
      <w:tr w:rsidR="00A332CF" w14:paraId="09EF98BB" w14:textId="77777777">
        <w:tc>
          <w:tcPr>
            <w:tcW w:w="1413" w:type="dxa"/>
          </w:tcPr>
          <w:p w14:paraId="00747B85" w14:textId="77777777" w:rsidR="00A332CF" w:rsidRDefault="00000000">
            <w:pPr>
              <w:rPr>
                <w:b/>
                <w:bCs/>
              </w:rPr>
            </w:pPr>
            <w:bookmarkStart w:id="0" w:name="_Hlk221625830"/>
            <w:r>
              <w:rPr>
                <w:b/>
                <w:bCs/>
              </w:rPr>
              <w:t>Primary</w:t>
            </w:r>
            <w:r>
              <w:rPr>
                <w:b/>
                <w:bCs/>
                <w:lang w:val="en-US"/>
              </w:rPr>
              <w:t xml:space="preserve"> antibody</w:t>
            </w:r>
          </w:p>
        </w:tc>
        <w:tc>
          <w:tcPr>
            <w:tcW w:w="1134" w:type="dxa"/>
          </w:tcPr>
          <w:p w14:paraId="0FB355F7" w14:textId="77777777" w:rsidR="00A332CF" w:rsidRDefault="0000000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Dilution</w:t>
            </w:r>
          </w:p>
        </w:tc>
        <w:tc>
          <w:tcPr>
            <w:tcW w:w="1843" w:type="dxa"/>
          </w:tcPr>
          <w:p w14:paraId="6DF5A47E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Manufacturer</w:t>
            </w:r>
            <w:r>
              <w:rPr>
                <w:b/>
                <w:bCs/>
              </w:rPr>
              <w:t>/</w:t>
            </w:r>
          </w:p>
          <w:p w14:paraId="03B47139" w14:textId="77777777" w:rsidR="00A332CF" w:rsidRDefault="0000000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Catalogue</w:t>
            </w:r>
            <w:r>
              <w:rPr>
                <w:b/>
                <w:bCs/>
                <w:lang w:val="en-US"/>
              </w:rPr>
              <w:t xml:space="preserve"> number</w:t>
            </w:r>
          </w:p>
        </w:tc>
        <w:tc>
          <w:tcPr>
            <w:tcW w:w="1559" w:type="dxa"/>
          </w:tcPr>
          <w:p w14:paraId="3C6841BE" w14:textId="77777777" w:rsidR="00A332CF" w:rsidRDefault="00000000">
            <w:r>
              <w:rPr>
                <w:b/>
                <w:bCs/>
                <w:lang w:val="en-US"/>
              </w:rPr>
              <w:t>Secondary antibody</w:t>
            </w:r>
          </w:p>
        </w:tc>
        <w:tc>
          <w:tcPr>
            <w:tcW w:w="1134" w:type="dxa"/>
          </w:tcPr>
          <w:p w14:paraId="06AEEC0C" w14:textId="77777777" w:rsidR="00A332CF" w:rsidRDefault="0000000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Dilution</w:t>
            </w:r>
          </w:p>
        </w:tc>
        <w:tc>
          <w:tcPr>
            <w:tcW w:w="1843" w:type="dxa"/>
          </w:tcPr>
          <w:p w14:paraId="7FA2298D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Manufacturer</w:t>
            </w:r>
            <w:r>
              <w:rPr>
                <w:b/>
                <w:bCs/>
              </w:rPr>
              <w:t>/</w:t>
            </w:r>
          </w:p>
          <w:p w14:paraId="0B20F1F9" w14:textId="77777777" w:rsidR="00A332CF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Catalogue</w:t>
            </w:r>
            <w:r>
              <w:rPr>
                <w:b/>
                <w:bCs/>
                <w:lang w:val="en-US"/>
              </w:rPr>
              <w:t xml:space="preserve"> number</w:t>
            </w:r>
          </w:p>
        </w:tc>
      </w:tr>
      <w:tr w:rsidR="00A332CF" w14:paraId="7BF612D0" w14:textId="77777777">
        <w:tc>
          <w:tcPr>
            <w:tcW w:w="1413" w:type="dxa"/>
          </w:tcPr>
          <w:p w14:paraId="47C2E50C" w14:textId="77777777" w:rsidR="00A332CF" w:rsidRDefault="00000000">
            <w:pPr>
              <w:rPr>
                <w:lang w:val="en-US"/>
              </w:rPr>
            </w:pPr>
            <w:r>
              <w:rPr>
                <w:lang w:val="en-US"/>
              </w:rPr>
              <w:t>Rat anti-EMCN (V.7C7)</w:t>
            </w:r>
          </w:p>
        </w:tc>
        <w:tc>
          <w:tcPr>
            <w:tcW w:w="1134" w:type="dxa"/>
          </w:tcPr>
          <w:p w14:paraId="1AD9D028" w14:textId="77777777" w:rsidR="00A332CF" w:rsidRDefault="00000000">
            <w:r>
              <w:t>1:25</w:t>
            </w:r>
          </w:p>
        </w:tc>
        <w:tc>
          <w:tcPr>
            <w:tcW w:w="1843" w:type="dxa"/>
          </w:tcPr>
          <w:p w14:paraId="31135D5B" w14:textId="77777777" w:rsidR="00A332CF" w:rsidRDefault="00000000">
            <w:r>
              <w:t>Santa Cruz Biotechnology/</w:t>
            </w:r>
          </w:p>
          <w:p w14:paraId="4EF14932" w14:textId="77777777" w:rsidR="00A332CF" w:rsidRDefault="00000000">
            <w:r>
              <w:t>sc-65495</w:t>
            </w:r>
          </w:p>
        </w:tc>
        <w:tc>
          <w:tcPr>
            <w:tcW w:w="1559" w:type="dxa"/>
          </w:tcPr>
          <w:p w14:paraId="1991D48A" w14:textId="77777777" w:rsidR="00A332CF" w:rsidRDefault="00000000">
            <w:pPr>
              <w:rPr>
                <w:lang w:val="en-US"/>
              </w:rPr>
            </w:pPr>
            <w:r>
              <w:rPr>
                <w:lang w:val="en-US"/>
              </w:rPr>
              <w:t>Goat anti-rat IgG, Alexa Fluor</w:t>
            </w:r>
            <w:r>
              <w:rPr>
                <w:rFonts w:cs="Arial"/>
                <w:lang w:val="en-US"/>
              </w:rPr>
              <w:t>™</w:t>
            </w:r>
            <w:r>
              <w:rPr>
                <w:lang w:val="en-US"/>
              </w:rPr>
              <w:t xml:space="preserve"> 647</w:t>
            </w:r>
          </w:p>
        </w:tc>
        <w:tc>
          <w:tcPr>
            <w:tcW w:w="1134" w:type="dxa"/>
          </w:tcPr>
          <w:p w14:paraId="0A936FA7" w14:textId="77777777" w:rsidR="00A332CF" w:rsidRDefault="00000000">
            <w:pPr>
              <w:rPr>
                <w:lang w:val="en-US"/>
              </w:rPr>
            </w:pPr>
            <w:r>
              <w:t>1:500</w:t>
            </w:r>
          </w:p>
        </w:tc>
        <w:tc>
          <w:tcPr>
            <w:tcW w:w="1843" w:type="dxa"/>
          </w:tcPr>
          <w:p w14:paraId="552F1203" w14:textId="77777777" w:rsidR="00A332CF" w:rsidRDefault="00000000">
            <w:r>
              <w:rPr>
                <w:lang w:val="en-US"/>
              </w:rPr>
              <w:t>Invitrogen</w:t>
            </w:r>
            <w:r>
              <w:t xml:space="preserve">/ </w:t>
            </w:r>
          </w:p>
          <w:p w14:paraId="09D2EDB6" w14:textId="77777777" w:rsidR="00A332CF" w:rsidRDefault="00000000">
            <w:r>
              <w:t>A-21247</w:t>
            </w:r>
          </w:p>
        </w:tc>
      </w:tr>
      <w:tr w:rsidR="00486826" w:rsidRPr="00FE32EF" w14:paraId="27387040" w14:textId="77777777">
        <w:tc>
          <w:tcPr>
            <w:tcW w:w="1413" w:type="dxa"/>
          </w:tcPr>
          <w:p w14:paraId="5D1A2B62" w14:textId="77777777" w:rsidR="00FE32EF" w:rsidRDefault="00FE32EF" w:rsidP="00FE32EF">
            <w:r>
              <w:t xml:space="preserve">Goat </w:t>
            </w:r>
          </w:p>
          <w:p w14:paraId="1B6916A1" w14:textId="4FFF35DA" w:rsidR="00486826" w:rsidRDefault="00FE32EF" w:rsidP="00FE32EF">
            <w:r>
              <w:t>anti-renin 1</w:t>
            </w:r>
          </w:p>
        </w:tc>
        <w:tc>
          <w:tcPr>
            <w:tcW w:w="1134" w:type="dxa"/>
          </w:tcPr>
          <w:p w14:paraId="2995D09E" w14:textId="1555AB60" w:rsidR="00486826" w:rsidRDefault="00FE32EF">
            <w:r>
              <w:t>1:100</w:t>
            </w:r>
          </w:p>
        </w:tc>
        <w:tc>
          <w:tcPr>
            <w:tcW w:w="1843" w:type="dxa"/>
          </w:tcPr>
          <w:p w14:paraId="737104BA" w14:textId="672790EA" w:rsidR="00486826" w:rsidRDefault="00FE32EF" w:rsidP="00FE32EF">
            <w:r>
              <w:t>R&amp;D systems/ AF4277</w:t>
            </w:r>
          </w:p>
        </w:tc>
        <w:tc>
          <w:tcPr>
            <w:tcW w:w="1559" w:type="dxa"/>
          </w:tcPr>
          <w:p w14:paraId="10D88EE6" w14:textId="77777777" w:rsidR="00FE32EF" w:rsidRPr="00FE32EF" w:rsidRDefault="00FE32EF" w:rsidP="00FE32EF">
            <w:pPr>
              <w:rPr>
                <w:lang w:val="en-US"/>
              </w:rPr>
            </w:pPr>
            <w:r w:rsidRPr="00FE32EF">
              <w:rPr>
                <w:lang w:val="en-US"/>
              </w:rPr>
              <w:t>Donkey anti-goat IgG,</w:t>
            </w:r>
          </w:p>
          <w:p w14:paraId="51CF50C6" w14:textId="5EEED33D" w:rsidR="00486826" w:rsidRDefault="00FE32EF" w:rsidP="00FE32EF">
            <w:pPr>
              <w:rPr>
                <w:lang w:val="en-US"/>
              </w:rPr>
            </w:pPr>
            <w:r w:rsidRPr="00FE32EF">
              <w:rPr>
                <w:lang w:val="en-US"/>
              </w:rPr>
              <w:t>Alexa Fluor™ 647</w:t>
            </w:r>
          </w:p>
        </w:tc>
        <w:tc>
          <w:tcPr>
            <w:tcW w:w="1134" w:type="dxa"/>
          </w:tcPr>
          <w:p w14:paraId="195AA9DA" w14:textId="0AAAEB8D" w:rsidR="00486826" w:rsidRPr="00FE32EF" w:rsidRDefault="00FE32EF">
            <w:pPr>
              <w:keepNext/>
              <w:rPr>
                <w:lang w:val="en-US"/>
              </w:rPr>
            </w:pPr>
            <w:r>
              <w:rPr>
                <w:lang w:val="en-US"/>
              </w:rPr>
              <w:t>1:500</w:t>
            </w:r>
          </w:p>
        </w:tc>
        <w:tc>
          <w:tcPr>
            <w:tcW w:w="1843" w:type="dxa"/>
          </w:tcPr>
          <w:p w14:paraId="76B0B003" w14:textId="77777777" w:rsidR="00FE32EF" w:rsidRDefault="00FE32EF" w:rsidP="00FE32EF">
            <w:pPr>
              <w:keepNext/>
            </w:pPr>
            <w:r>
              <w:t>Invitrogen/</w:t>
            </w:r>
          </w:p>
          <w:p w14:paraId="4632D594" w14:textId="0229145A" w:rsidR="00486826" w:rsidRPr="00FE32EF" w:rsidRDefault="00FE32EF" w:rsidP="00FE32EF">
            <w:pPr>
              <w:keepNext/>
              <w:rPr>
                <w:lang w:val="en-US"/>
              </w:rPr>
            </w:pPr>
            <w:r>
              <w:t>A-21447</w:t>
            </w:r>
          </w:p>
        </w:tc>
      </w:tr>
      <w:bookmarkEnd w:id="0"/>
    </w:tbl>
    <w:p w14:paraId="45B37133" w14:textId="77777777" w:rsidR="00A332CF" w:rsidRDefault="00A332CF">
      <w:pPr>
        <w:spacing w:line="480" w:lineRule="auto"/>
        <w:rPr>
          <w:sz w:val="24"/>
          <w:lang w:val="en-US"/>
        </w:rPr>
      </w:pPr>
    </w:p>
    <w:p w14:paraId="100A8AD9" w14:textId="77777777" w:rsidR="00A332CF" w:rsidRDefault="00A332CF">
      <w:pPr>
        <w:spacing w:line="480" w:lineRule="auto"/>
        <w:rPr>
          <w:sz w:val="24"/>
          <w:lang w:val="en-US"/>
        </w:rPr>
      </w:pPr>
    </w:p>
    <w:p w14:paraId="7F7D5330" w14:textId="77777777" w:rsidR="00A332CF" w:rsidRDefault="00A332CF">
      <w:pPr>
        <w:spacing w:line="480" w:lineRule="auto"/>
        <w:rPr>
          <w:sz w:val="24"/>
          <w:lang w:val="en-US"/>
        </w:rPr>
      </w:pPr>
    </w:p>
    <w:p w14:paraId="0858DC55" w14:textId="77777777" w:rsidR="008128A5" w:rsidRDefault="008128A5">
      <w:pPr>
        <w:spacing w:line="480" w:lineRule="auto"/>
        <w:rPr>
          <w:sz w:val="24"/>
          <w:lang w:val="en-US"/>
        </w:rPr>
      </w:pPr>
    </w:p>
    <w:p w14:paraId="7ABC7C5C" w14:textId="77777777" w:rsidR="00A332CF" w:rsidRDefault="00000000">
      <w:pPr>
        <w:rPr>
          <w:sz w:val="24"/>
        </w:rPr>
      </w:pPr>
      <w:r>
        <w:rPr>
          <w:sz w:val="24"/>
          <w:lang w:val="en-US"/>
        </w:rPr>
        <w:lastRenderedPageBreak/>
        <w:t>SUPPLEMENTAL FIGURES</w:t>
      </w:r>
    </w:p>
    <w:p w14:paraId="081A2A5C" w14:textId="011E2D18" w:rsidR="008128A5" w:rsidRDefault="008128A5">
      <w:pPr>
        <w:rPr>
          <w:noProof/>
          <w:sz w:val="24"/>
          <w:lang w:eastAsia="de-DE"/>
        </w:rPr>
      </w:pPr>
      <w:r>
        <w:rPr>
          <w:noProof/>
          <w:sz w:val="24"/>
          <w:lang w:eastAsia="de-DE"/>
        </w:rPr>
        <w:t>A.</w:t>
      </w:r>
    </w:p>
    <w:p w14:paraId="1709D724" w14:textId="60631A16" w:rsidR="00C4671F" w:rsidRDefault="00C4671F">
      <w:pPr>
        <w:rPr>
          <w:noProof/>
          <w:sz w:val="24"/>
          <w:lang w:eastAsia="de-DE"/>
        </w:rPr>
      </w:pPr>
      <w:r>
        <w:rPr>
          <w:noProof/>
          <w:sz w:val="24"/>
          <w:lang w:eastAsia="de-DE"/>
        </w:rPr>
        <w:drawing>
          <wp:inline distT="0" distB="0" distL="0" distR="0" wp14:anchorId="78968DF4" wp14:editId="3BCAA5F1">
            <wp:extent cx="5743575" cy="3384550"/>
            <wp:effectExtent l="0" t="0" r="9525" b="635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" t="1671" r="5361" b="5832"/>
                    <a:stretch/>
                  </pic:blipFill>
                  <pic:spPr bwMode="auto">
                    <a:xfrm>
                      <a:off x="0" y="0"/>
                      <a:ext cx="5763744" cy="339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80C0B" w14:textId="61110B1A" w:rsidR="008128A5" w:rsidRDefault="008128A5" w:rsidP="00450074">
      <w:pPr>
        <w:spacing w:after="0"/>
        <w:rPr>
          <w:noProof/>
          <w:sz w:val="24"/>
          <w:lang w:eastAsia="de-DE"/>
        </w:rPr>
      </w:pPr>
      <w:r>
        <w:rPr>
          <w:noProof/>
          <w:sz w:val="24"/>
          <w:lang w:eastAsia="de-DE"/>
        </w:rPr>
        <w:t>B.</w:t>
      </w:r>
    </w:p>
    <w:p w14:paraId="69BB4D91" w14:textId="0D28D8E9" w:rsidR="00682217" w:rsidRDefault="00450074">
      <w:pPr>
        <w:rPr>
          <w:noProof/>
          <w:sz w:val="24"/>
          <w:lang w:eastAsia="de-DE"/>
        </w:rPr>
      </w:pPr>
      <w:r>
        <w:object w:dxaOrig="6646" w:dyaOrig="4719" w14:anchorId="679CDA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5.6pt;height:188.85pt" o:ole="">
            <v:imagedata r:id="rId8" o:title=""/>
          </v:shape>
          <o:OLEObject Type="Embed" ProgID="Prism10.Document" ShapeID="_x0000_i1025" DrawAspect="Content" ObjectID="_1833351884" r:id="rId9"/>
        </w:object>
      </w:r>
    </w:p>
    <w:p w14:paraId="40CA6E3F" w14:textId="54D81804" w:rsidR="00A332CF" w:rsidRDefault="0000000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Figure S1. </w:t>
      </w:r>
      <w:r w:rsidR="00C4671F" w:rsidRPr="00C4671F">
        <w:rPr>
          <w:b/>
          <w:sz w:val="24"/>
          <w:lang w:val="en-US"/>
        </w:rPr>
        <w:t xml:space="preserve">Angiotensin-converting-enzyme inhibitor (ACEi) </w:t>
      </w:r>
      <w:r w:rsidR="00C4671F">
        <w:rPr>
          <w:b/>
          <w:sz w:val="24"/>
          <w:lang w:val="en-US"/>
        </w:rPr>
        <w:t xml:space="preserve">enalapril increases, while high-salt diet decreases renin </w:t>
      </w:r>
      <w:r w:rsidR="008128A5">
        <w:rPr>
          <w:b/>
          <w:sz w:val="24"/>
          <w:lang w:val="en-US"/>
        </w:rPr>
        <w:t>production</w:t>
      </w:r>
      <w:r w:rsidR="008128A5" w:rsidRPr="008128A5">
        <w:rPr>
          <w:b/>
          <w:sz w:val="24"/>
          <w:lang w:val="en-US"/>
        </w:rPr>
        <w:t xml:space="preserve"> in wild type and Gsα-deficient mice </w:t>
      </w:r>
      <w:r w:rsidR="008128A5">
        <w:rPr>
          <w:b/>
          <w:sz w:val="24"/>
          <w:lang w:val="en-US"/>
        </w:rPr>
        <w:t>(</w:t>
      </w:r>
      <w:r w:rsidR="008128A5" w:rsidRPr="008128A5">
        <w:rPr>
          <w:b/>
          <w:sz w:val="24"/>
          <w:lang w:val="en-US"/>
        </w:rPr>
        <w:t>RPC-GsKO</w:t>
      </w:r>
      <w:r w:rsidR="008128A5">
        <w:rPr>
          <w:b/>
          <w:sz w:val="24"/>
          <w:lang w:val="en-US"/>
        </w:rPr>
        <w:t>)</w:t>
      </w:r>
    </w:p>
    <w:p w14:paraId="265A8788" w14:textId="767E46E5" w:rsidR="00450074" w:rsidRDefault="008128A5" w:rsidP="008128A5">
      <w:pPr>
        <w:rPr>
          <w:sz w:val="24"/>
          <w:lang w:val="en-US"/>
        </w:rPr>
      </w:pPr>
      <w:r w:rsidRPr="008128A5">
        <w:rPr>
          <w:sz w:val="24"/>
          <w:lang w:val="en-US"/>
        </w:rPr>
        <w:t>A.</w:t>
      </w:r>
      <w:r>
        <w:rPr>
          <w:sz w:val="24"/>
          <w:lang w:val="en-US"/>
        </w:rPr>
        <w:t xml:space="preserve"> </w:t>
      </w:r>
      <w:r w:rsidRPr="008128A5">
        <w:rPr>
          <w:sz w:val="24"/>
          <w:lang w:val="en-US"/>
        </w:rPr>
        <w:t>Automatic quantification of immunofluorescent renin staining in cortical regions of whole kidney sections from wild type (upper panels) and RPC-GsKO</w:t>
      </w:r>
      <w:r>
        <w:rPr>
          <w:sz w:val="24"/>
          <w:lang w:val="en-US"/>
        </w:rPr>
        <w:t xml:space="preserve"> mice</w:t>
      </w:r>
      <w:r w:rsidRPr="008128A5">
        <w:rPr>
          <w:sz w:val="24"/>
          <w:lang w:val="en-US"/>
        </w:rPr>
        <w:t xml:space="preserve"> </w:t>
      </w:r>
      <w:r>
        <w:rPr>
          <w:sz w:val="24"/>
          <w:lang w:val="en-US"/>
        </w:rPr>
        <w:t>(</w:t>
      </w:r>
      <w:r w:rsidRPr="008128A5">
        <w:rPr>
          <w:sz w:val="24"/>
          <w:lang w:val="en-US"/>
        </w:rPr>
        <w:t xml:space="preserve">lower panels) </w:t>
      </w:r>
      <w:r>
        <w:rPr>
          <w:sz w:val="24"/>
          <w:lang w:val="en-US"/>
        </w:rPr>
        <w:t>for</w:t>
      </w:r>
      <w:r w:rsidRPr="008128A5">
        <w:rPr>
          <w:sz w:val="24"/>
          <w:lang w:val="en-US"/>
        </w:rPr>
        <w:t xml:space="preserve"> the time points and treatments shown. </w:t>
      </w:r>
      <w:r w:rsidR="00450074" w:rsidRPr="00450074">
        <w:rPr>
          <w:sz w:val="24"/>
          <w:lang w:val="en-US"/>
        </w:rPr>
        <w:t>Data are single values and mean±SD</w:t>
      </w:r>
      <w:r w:rsidR="00450074">
        <w:rPr>
          <w:sz w:val="24"/>
          <w:lang w:val="en-US"/>
        </w:rPr>
        <w:t xml:space="preserve">. </w:t>
      </w:r>
      <w:r w:rsidR="00450074" w:rsidRPr="008128A5">
        <w:rPr>
          <w:sz w:val="24"/>
          <w:lang w:val="en-US"/>
        </w:rPr>
        <w:t>n=9-14 animals/</w:t>
      </w:r>
      <w:r w:rsidR="00450074">
        <w:rPr>
          <w:sz w:val="24"/>
          <w:lang w:val="en-US"/>
        </w:rPr>
        <w:t xml:space="preserve"> </w:t>
      </w:r>
      <w:r w:rsidR="00450074" w:rsidRPr="008128A5">
        <w:rPr>
          <w:sz w:val="24"/>
          <w:lang w:val="en-US"/>
        </w:rPr>
        <w:t>group</w:t>
      </w:r>
      <w:r w:rsidR="00450074">
        <w:rPr>
          <w:sz w:val="24"/>
          <w:lang w:val="en-US"/>
        </w:rPr>
        <w:t>.</w:t>
      </w:r>
      <w:r w:rsidR="00450074" w:rsidRPr="008128A5">
        <w:rPr>
          <w:sz w:val="24"/>
          <w:lang w:val="en-US"/>
        </w:rPr>
        <w:t xml:space="preserve"> </w:t>
      </w:r>
      <w:r w:rsidRPr="008128A5">
        <w:rPr>
          <w:sz w:val="24"/>
          <w:lang w:val="en-US"/>
        </w:rPr>
        <w:t>*p&lt;0.05 with pairwise t-test</w:t>
      </w:r>
      <w:r w:rsidR="00450074">
        <w:rPr>
          <w:sz w:val="24"/>
          <w:lang w:val="en-US"/>
        </w:rPr>
        <w:t xml:space="preserve">. </w:t>
      </w:r>
    </w:p>
    <w:p w14:paraId="30F433FD" w14:textId="549B4A61" w:rsidR="00A332CF" w:rsidRPr="008128A5" w:rsidRDefault="00450074" w:rsidP="008128A5">
      <w:pPr>
        <w:rPr>
          <w:noProof/>
          <w:sz w:val="24"/>
          <w:lang w:val="en-US" w:eastAsia="de-DE"/>
        </w:rPr>
      </w:pPr>
      <w:r>
        <w:rPr>
          <w:sz w:val="24"/>
          <w:lang w:val="en-US"/>
        </w:rPr>
        <w:t>B.</w:t>
      </w:r>
      <w:r w:rsidR="008128A5" w:rsidRPr="008128A5">
        <w:rPr>
          <w:sz w:val="24"/>
          <w:lang w:val="en-US"/>
        </w:rPr>
        <w:t xml:space="preserve"> </w:t>
      </w:r>
      <w:r w:rsidR="00682217" w:rsidRPr="008128A5">
        <w:rPr>
          <w:sz w:val="24"/>
          <w:lang w:val="en-US"/>
        </w:rPr>
        <w:t xml:space="preserve">Plasma renin activity </w:t>
      </w:r>
      <w:r w:rsidR="008128A5">
        <w:rPr>
          <w:sz w:val="24"/>
          <w:lang w:val="en-US"/>
        </w:rPr>
        <w:t>(PRA) in</w:t>
      </w:r>
      <w:r w:rsidR="00682217" w:rsidRPr="008128A5">
        <w:rPr>
          <w:sz w:val="24"/>
          <w:lang w:val="en-US"/>
        </w:rPr>
        <w:t xml:space="preserve"> wild type and </w:t>
      </w:r>
      <w:r w:rsidRPr="008128A5">
        <w:rPr>
          <w:sz w:val="24"/>
          <w:lang w:val="en-US"/>
        </w:rPr>
        <w:t xml:space="preserve">RPC-GsKO </w:t>
      </w:r>
      <w:r w:rsidR="00682217" w:rsidRPr="008128A5">
        <w:rPr>
          <w:sz w:val="24"/>
          <w:lang w:val="en-US"/>
        </w:rPr>
        <w:t xml:space="preserve">mice after three months of treatment </w:t>
      </w:r>
      <w:r w:rsidR="00923115">
        <w:rPr>
          <w:sz w:val="24"/>
          <w:lang w:val="en-US"/>
        </w:rPr>
        <w:t xml:space="preserve">(end time point) </w:t>
      </w:r>
      <w:r w:rsidR="00682217" w:rsidRPr="008128A5">
        <w:rPr>
          <w:sz w:val="24"/>
          <w:lang w:val="en-US"/>
        </w:rPr>
        <w:t xml:space="preserve">with enalapril, high-salt diet, or without treatment (control). </w:t>
      </w:r>
      <w:r w:rsidRPr="008128A5">
        <w:rPr>
          <w:sz w:val="24"/>
          <w:lang w:val="en-US"/>
        </w:rPr>
        <w:t>Bar plot with means ± SD and overlaid scatter dot plot</w:t>
      </w:r>
      <w:r>
        <w:rPr>
          <w:sz w:val="24"/>
          <w:lang w:val="en-US"/>
        </w:rPr>
        <w:t xml:space="preserve">. </w:t>
      </w:r>
      <w:r w:rsidRPr="008128A5">
        <w:rPr>
          <w:sz w:val="24"/>
          <w:lang w:val="en-US"/>
        </w:rPr>
        <w:t>n=9-12 animals/group. *p&lt;0.05 compared to the untreated control group of the same genotype</w:t>
      </w:r>
      <w:r>
        <w:rPr>
          <w:sz w:val="24"/>
          <w:lang w:val="en-US"/>
        </w:rPr>
        <w:t>.</w:t>
      </w:r>
    </w:p>
    <w:p w14:paraId="4B685F80" w14:textId="77777777" w:rsidR="00A332CF" w:rsidRDefault="00000000">
      <w:pPr>
        <w:rPr>
          <w:noProof/>
          <w:sz w:val="24"/>
          <w:lang w:eastAsia="de-DE"/>
        </w:rPr>
      </w:pPr>
      <w:r>
        <w:rPr>
          <w:noProof/>
          <w:sz w:val="24"/>
          <w:lang w:eastAsia="de-DE"/>
        </w:rPr>
        <w:lastRenderedPageBreak/>
        <w:t>A.</w:t>
      </w:r>
    </w:p>
    <w:p w14:paraId="63A03DD3" w14:textId="2B3070E7" w:rsidR="008E73C0" w:rsidRDefault="008E73C0">
      <w:pPr>
        <w:rPr>
          <w:noProof/>
          <w:sz w:val="24"/>
          <w:lang w:eastAsia="de-DE"/>
        </w:rPr>
      </w:pPr>
      <w:r w:rsidRPr="008E73C0">
        <w:rPr>
          <w:noProof/>
          <w:sz w:val="24"/>
          <w:lang w:eastAsia="de-DE"/>
        </w:rPr>
        <w:object w:dxaOrig="4558" w:dyaOrig="4344" w14:anchorId="5F554042">
          <v:shape id="_x0000_i1026" type="#_x0000_t75" style="width:194.95pt;height:186.1pt" o:ole="">
            <v:imagedata r:id="rId10" o:title=""/>
          </v:shape>
          <o:OLEObject Type="Embed" ProgID="Prism10.Document" ShapeID="_x0000_i1026" DrawAspect="Content" ObjectID="_1833351885" r:id="rId11"/>
        </w:object>
      </w:r>
    </w:p>
    <w:p w14:paraId="33880B2E" w14:textId="18CEC02D" w:rsidR="00A332CF" w:rsidRDefault="00000000">
      <w:pPr>
        <w:rPr>
          <w:noProof/>
          <w:sz w:val="24"/>
          <w:lang w:eastAsia="de-DE"/>
        </w:rPr>
      </w:pPr>
      <w:r>
        <w:rPr>
          <w:noProof/>
          <w:sz w:val="24"/>
          <w:lang w:eastAsia="de-DE"/>
        </w:rPr>
        <w:t>B.</w:t>
      </w:r>
    </w:p>
    <w:p w14:paraId="1EFB58E9" w14:textId="449B423C" w:rsidR="008E73C0" w:rsidRDefault="008E73C0">
      <w:pPr>
        <w:rPr>
          <w:noProof/>
          <w:sz w:val="24"/>
          <w:lang w:eastAsia="de-DE"/>
        </w:rPr>
      </w:pPr>
      <w:r w:rsidRPr="008E73C0">
        <w:rPr>
          <w:noProof/>
          <w:sz w:val="24"/>
          <w:lang w:eastAsia="de-DE"/>
        </w:rPr>
        <w:object w:dxaOrig="4558" w:dyaOrig="4344" w14:anchorId="42911A6D">
          <v:shape id="_x0000_i1027" type="#_x0000_t75" style="width:194.95pt;height:186.1pt" o:ole="">
            <v:imagedata r:id="rId12" o:title=""/>
          </v:shape>
          <o:OLEObject Type="Embed" ProgID="Prism10.Document" ShapeID="_x0000_i1027" DrawAspect="Content" ObjectID="_1833351886" r:id="rId13"/>
        </w:object>
      </w:r>
    </w:p>
    <w:p w14:paraId="27918FA1" w14:textId="77777777" w:rsidR="008E73C0" w:rsidRDefault="008E73C0">
      <w:pPr>
        <w:rPr>
          <w:noProof/>
          <w:sz w:val="24"/>
          <w:lang w:eastAsia="de-DE"/>
        </w:rPr>
      </w:pPr>
    </w:p>
    <w:p w14:paraId="0521C007" w14:textId="2B2A5DDA" w:rsidR="00A332CF" w:rsidRDefault="0000000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Figure S2. </w:t>
      </w:r>
      <w:bookmarkStart w:id="1" w:name="_Hlk222302605"/>
      <w:r w:rsidR="00C4671F">
        <w:rPr>
          <w:b/>
          <w:sz w:val="24"/>
          <w:lang w:val="en-US"/>
        </w:rPr>
        <w:t>A</w:t>
      </w:r>
      <w:r w:rsidR="00C4671F" w:rsidRPr="00FD45E4">
        <w:rPr>
          <w:b/>
          <w:sz w:val="24"/>
          <w:lang w:val="en-US"/>
        </w:rPr>
        <w:t xml:space="preserve">ngiotensin-converting-enzyme inhibitor (ACEi) </w:t>
      </w:r>
      <w:bookmarkEnd w:id="1"/>
      <w:r w:rsidR="00C4671F">
        <w:rPr>
          <w:b/>
          <w:sz w:val="24"/>
          <w:lang w:val="en-US"/>
        </w:rPr>
        <w:t>lowers arterial blood</w:t>
      </w:r>
      <w:r w:rsidR="00FD45E4" w:rsidRPr="00FD45E4">
        <w:rPr>
          <w:b/>
          <w:sz w:val="24"/>
          <w:lang w:val="en-US"/>
        </w:rPr>
        <w:t xml:space="preserve"> pressure in wild type</w:t>
      </w:r>
      <w:r w:rsidR="00FD45E4">
        <w:rPr>
          <w:b/>
          <w:sz w:val="24"/>
          <w:lang w:val="en-US"/>
        </w:rPr>
        <w:t xml:space="preserve"> </w:t>
      </w:r>
      <w:r w:rsidR="00FD45E4" w:rsidRPr="00FD45E4">
        <w:rPr>
          <w:b/>
          <w:sz w:val="24"/>
          <w:lang w:val="en-US"/>
        </w:rPr>
        <w:t xml:space="preserve">and RPC-specific Gsα-deficient (RPC-GsKO) mice </w:t>
      </w:r>
    </w:p>
    <w:p w14:paraId="2A8A1FF9" w14:textId="5D9D38AE" w:rsidR="00A332CF" w:rsidRDefault="00FD45E4">
      <w:pPr>
        <w:rPr>
          <w:sz w:val="24"/>
          <w:lang w:val="en-US"/>
        </w:rPr>
      </w:pPr>
      <w:r w:rsidRPr="00FD45E4">
        <w:rPr>
          <w:sz w:val="24"/>
          <w:lang w:val="en-US"/>
        </w:rPr>
        <w:t>Systolic arterial pressure (SAP) of wild type (A) and RPC-GsKO mice (B) measured under light inhalation narcosis before start (0</w:t>
      </w:r>
      <w:r>
        <w:rPr>
          <w:sz w:val="24"/>
          <w:lang w:val="en-US"/>
        </w:rPr>
        <w:t xml:space="preserve"> months</w:t>
      </w:r>
      <w:r w:rsidRPr="00FD45E4">
        <w:rPr>
          <w:sz w:val="24"/>
          <w:lang w:val="en-US"/>
        </w:rPr>
        <w:t>, baseline), after one (1), and three months (3) of enalapril treatment. Bar plot with means ± SD and overlaid scatter dot plot. n=8-14 animals/group. *p&lt;0.05 compared to corresponding baseline (0</w:t>
      </w:r>
      <w:r>
        <w:rPr>
          <w:sz w:val="24"/>
          <w:lang w:val="en-US"/>
        </w:rPr>
        <w:t xml:space="preserve"> months</w:t>
      </w:r>
      <w:r w:rsidRPr="00FD45E4">
        <w:rPr>
          <w:sz w:val="24"/>
          <w:lang w:val="en-US"/>
        </w:rPr>
        <w:t>).</w:t>
      </w:r>
    </w:p>
    <w:p w14:paraId="0FF96E33" w14:textId="77777777" w:rsidR="00A332CF" w:rsidRDefault="00A332CF">
      <w:pPr>
        <w:rPr>
          <w:sz w:val="24"/>
          <w:lang w:val="en-US"/>
        </w:rPr>
      </w:pPr>
    </w:p>
    <w:p w14:paraId="6D039BD9" w14:textId="77777777" w:rsidR="008E73C0" w:rsidRDefault="008E73C0">
      <w:pPr>
        <w:rPr>
          <w:sz w:val="24"/>
          <w:lang w:val="en-US"/>
        </w:rPr>
      </w:pPr>
    </w:p>
    <w:p w14:paraId="20B08501" w14:textId="77777777" w:rsidR="008E73C0" w:rsidRDefault="008E73C0">
      <w:pPr>
        <w:rPr>
          <w:sz w:val="24"/>
          <w:lang w:val="en-US"/>
        </w:rPr>
      </w:pPr>
    </w:p>
    <w:p w14:paraId="11528F33" w14:textId="77777777" w:rsidR="008E73C0" w:rsidRDefault="008E73C0">
      <w:pPr>
        <w:rPr>
          <w:sz w:val="24"/>
          <w:lang w:val="en-US"/>
        </w:rPr>
      </w:pPr>
    </w:p>
    <w:p w14:paraId="043680CB" w14:textId="77777777" w:rsidR="008E73C0" w:rsidRDefault="008E73C0">
      <w:pPr>
        <w:rPr>
          <w:sz w:val="24"/>
          <w:lang w:val="en-US"/>
        </w:rPr>
      </w:pPr>
    </w:p>
    <w:p w14:paraId="3653469D" w14:textId="77777777" w:rsidR="008E73C0" w:rsidRDefault="008E73C0">
      <w:pPr>
        <w:rPr>
          <w:sz w:val="24"/>
          <w:lang w:val="en-US"/>
        </w:rPr>
      </w:pPr>
    </w:p>
    <w:p w14:paraId="6F054CBA" w14:textId="77777777" w:rsidR="00A332CF" w:rsidRDefault="00000000">
      <w:pPr>
        <w:rPr>
          <w:sz w:val="24"/>
          <w:lang w:val="en-US"/>
        </w:rPr>
      </w:pPr>
      <w:r>
        <w:rPr>
          <w:sz w:val="24"/>
          <w:lang w:val="en-US"/>
        </w:rPr>
        <w:lastRenderedPageBreak/>
        <w:t>A.</w:t>
      </w:r>
    </w:p>
    <w:p w14:paraId="395D703C" w14:textId="1A25237E" w:rsidR="00A332CF" w:rsidRDefault="008E73C0">
      <w:pPr>
        <w:rPr>
          <w:sz w:val="24"/>
          <w:lang w:val="en-US"/>
        </w:rPr>
      </w:pPr>
      <w:r w:rsidRPr="008E73C0">
        <w:rPr>
          <w:noProof/>
        </w:rPr>
        <w:drawing>
          <wp:inline distT="0" distB="0" distL="0" distR="0" wp14:anchorId="11F3BF3D" wp14:editId="3E616F21">
            <wp:extent cx="2276475" cy="2399273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043" cy="2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78098" w14:textId="77777777" w:rsidR="00A332CF" w:rsidRDefault="00000000">
      <w:pPr>
        <w:rPr>
          <w:sz w:val="24"/>
          <w:lang w:val="en-US"/>
        </w:rPr>
      </w:pPr>
      <w:r>
        <w:rPr>
          <w:sz w:val="24"/>
          <w:lang w:val="en-US"/>
        </w:rPr>
        <w:t xml:space="preserve">B. </w:t>
      </w:r>
    </w:p>
    <w:p w14:paraId="44FD160B" w14:textId="3405F606" w:rsidR="00A332CF" w:rsidRDefault="008E73C0">
      <w:pPr>
        <w:rPr>
          <w:sz w:val="24"/>
          <w:lang w:val="en-US"/>
        </w:rPr>
      </w:pPr>
      <w:r w:rsidRPr="008E73C0">
        <w:rPr>
          <w:sz w:val="24"/>
        </w:rPr>
        <w:object w:dxaOrig="4154" w:dyaOrig="4402" w14:anchorId="6F39F1C5">
          <v:shape id="_x0000_i1028" type="#_x0000_t75" style="width:176.6pt;height:186.8pt" o:ole="">
            <v:imagedata r:id="rId15" o:title=""/>
          </v:shape>
          <o:OLEObject Type="Embed" ProgID="Prism10.Document" ShapeID="_x0000_i1028" DrawAspect="Content" ObjectID="_1833351887" r:id="rId16"/>
        </w:object>
      </w:r>
    </w:p>
    <w:p w14:paraId="5AE347D7" w14:textId="77777777" w:rsidR="008E73C0" w:rsidRDefault="008E73C0" w:rsidP="008E73C0">
      <w:pPr>
        <w:rPr>
          <w:b/>
          <w:sz w:val="24"/>
          <w:lang w:val="en-US"/>
        </w:rPr>
      </w:pPr>
    </w:p>
    <w:p w14:paraId="76B44EE2" w14:textId="50CE282D" w:rsidR="008E73C0" w:rsidRDefault="00000000" w:rsidP="008E73C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Figure S3. </w:t>
      </w:r>
      <w:r w:rsidR="008E73C0" w:rsidRPr="008E73C0">
        <w:rPr>
          <w:b/>
          <w:sz w:val="24"/>
          <w:lang w:val="en-US"/>
        </w:rPr>
        <w:t xml:space="preserve">Urinary sodium excretion </w:t>
      </w:r>
      <w:r w:rsidR="00C4671F">
        <w:rPr>
          <w:b/>
          <w:sz w:val="24"/>
          <w:lang w:val="en-US"/>
        </w:rPr>
        <w:t xml:space="preserve">increases </w:t>
      </w:r>
      <w:r w:rsidR="008E73C0" w:rsidRPr="00FD45E4">
        <w:rPr>
          <w:b/>
          <w:sz w:val="24"/>
          <w:lang w:val="en-US"/>
        </w:rPr>
        <w:t>in wild type</w:t>
      </w:r>
      <w:r w:rsidR="008E73C0">
        <w:rPr>
          <w:b/>
          <w:sz w:val="24"/>
          <w:lang w:val="en-US"/>
        </w:rPr>
        <w:t xml:space="preserve"> </w:t>
      </w:r>
      <w:r w:rsidR="008E73C0" w:rsidRPr="00FD45E4">
        <w:rPr>
          <w:b/>
          <w:sz w:val="24"/>
          <w:lang w:val="en-US"/>
        </w:rPr>
        <w:t xml:space="preserve">and RPC-specific Gsα-deficient (RPC-GsKO) mice </w:t>
      </w:r>
      <w:r w:rsidR="008E73C0" w:rsidRPr="008E73C0">
        <w:rPr>
          <w:b/>
          <w:sz w:val="24"/>
          <w:lang w:val="en-US"/>
        </w:rPr>
        <w:t>on high-salt diet</w:t>
      </w:r>
    </w:p>
    <w:p w14:paraId="7E432457" w14:textId="3BECE003" w:rsidR="008E73C0" w:rsidRDefault="008E73C0" w:rsidP="008E73C0">
      <w:pPr>
        <w:rPr>
          <w:sz w:val="24"/>
          <w:lang w:val="en-US"/>
        </w:rPr>
      </w:pPr>
      <w:r w:rsidRPr="008E73C0">
        <w:rPr>
          <w:sz w:val="24"/>
          <w:lang w:val="en-US"/>
        </w:rPr>
        <w:t xml:space="preserve">Urinary sodium excretion </w:t>
      </w:r>
      <w:r w:rsidRPr="00FD45E4">
        <w:rPr>
          <w:sz w:val="24"/>
          <w:lang w:val="en-US"/>
        </w:rPr>
        <w:t>of wild type (A) and RPC-GsKO mice (B) before start (0</w:t>
      </w:r>
      <w:r>
        <w:rPr>
          <w:sz w:val="24"/>
          <w:lang w:val="en-US"/>
        </w:rPr>
        <w:t xml:space="preserve"> months</w:t>
      </w:r>
      <w:r w:rsidRPr="00FD45E4">
        <w:rPr>
          <w:sz w:val="24"/>
          <w:lang w:val="en-US"/>
        </w:rPr>
        <w:t xml:space="preserve">, baseline), after one (1), and three months (3) of </w:t>
      </w:r>
      <w:r w:rsidR="00BB1C52">
        <w:rPr>
          <w:sz w:val="24"/>
          <w:lang w:val="en-US"/>
        </w:rPr>
        <w:t>high-salt diet</w:t>
      </w:r>
      <w:r w:rsidRPr="00FD45E4">
        <w:rPr>
          <w:sz w:val="24"/>
          <w:lang w:val="en-US"/>
        </w:rPr>
        <w:t>. Bar plot with means ± SD and overlaid scatter dot plot. n=</w:t>
      </w:r>
      <w:r>
        <w:rPr>
          <w:sz w:val="24"/>
          <w:lang w:val="en-US"/>
        </w:rPr>
        <w:t>9</w:t>
      </w:r>
      <w:r w:rsidRPr="00FD45E4">
        <w:rPr>
          <w:sz w:val="24"/>
          <w:lang w:val="en-US"/>
        </w:rPr>
        <w:t>-14 animals/group. *p&lt;0.05 compared to corresponding baseline (0</w:t>
      </w:r>
      <w:r>
        <w:rPr>
          <w:sz w:val="24"/>
          <w:lang w:val="en-US"/>
        </w:rPr>
        <w:t xml:space="preserve"> months</w:t>
      </w:r>
      <w:r w:rsidRPr="00FD45E4">
        <w:rPr>
          <w:sz w:val="24"/>
          <w:lang w:val="en-US"/>
        </w:rPr>
        <w:t>).</w:t>
      </w:r>
    </w:p>
    <w:p w14:paraId="7F7D8B15" w14:textId="70D621B4" w:rsidR="00A332CF" w:rsidRDefault="00A332CF" w:rsidP="008E73C0">
      <w:pPr>
        <w:rPr>
          <w:sz w:val="24"/>
          <w:lang w:val="en-US"/>
        </w:rPr>
      </w:pPr>
    </w:p>
    <w:p w14:paraId="0E4DA9B4" w14:textId="77777777" w:rsidR="00A332CF" w:rsidRDefault="00A332CF">
      <w:pPr>
        <w:rPr>
          <w:sz w:val="24"/>
          <w:lang w:val="en-US"/>
        </w:rPr>
      </w:pPr>
    </w:p>
    <w:p w14:paraId="696AF8FC" w14:textId="77777777" w:rsidR="008E73C0" w:rsidRDefault="008E73C0">
      <w:pPr>
        <w:rPr>
          <w:sz w:val="24"/>
          <w:lang w:val="en-US"/>
        </w:rPr>
      </w:pPr>
    </w:p>
    <w:p w14:paraId="475CD791" w14:textId="77777777" w:rsidR="008E73C0" w:rsidRDefault="008E73C0">
      <w:pPr>
        <w:rPr>
          <w:sz w:val="24"/>
          <w:lang w:val="en-US"/>
        </w:rPr>
      </w:pPr>
    </w:p>
    <w:p w14:paraId="132E794D" w14:textId="77777777" w:rsidR="008E73C0" w:rsidRDefault="008E73C0">
      <w:pPr>
        <w:rPr>
          <w:sz w:val="24"/>
          <w:lang w:val="en-US"/>
        </w:rPr>
      </w:pPr>
    </w:p>
    <w:p w14:paraId="4C333EBE" w14:textId="77777777" w:rsidR="008E73C0" w:rsidRDefault="008E73C0">
      <w:pPr>
        <w:rPr>
          <w:sz w:val="24"/>
          <w:lang w:val="en-US"/>
        </w:rPr>
      </w:pPr>
    </w:p>
    <w:p w14:paraId="547428A5" w14:textId="3339F55E" w:rsidR="00A332CF" w:rsidRDefault="00000000" w:rsidP="00901964">
      <w:pPr>
        <w:spacing w:after="0"/>
        <w:rPr>
          <w:sz w:val="24"/>
          <w:lang w:val="en-US"/>
        </w:rPr>
      </w:pPr>
      <w:r>
        <w:rPr>
          <w:sz w:val="24"/>
          <w:lang w:val="en-US"/>
        </w:rPr>
        <w:lastRenderedPageBreak/>
        <w:t>A.</w:t>
      </w:r>
    </w:p>
    <w:p w14:paraId="07481C02" w14:textId="31A705AA" w:rsidR="00A332CF" w:rsidRDefault="00901964">
      <w:pPr>
        <w:rPr>
          <w:sz w:val="24"/>
          <w:lang w:val="en-US"/>
        </w:rPr>
      </w:pPr>
      <w:r>
        <w:object w:dxaOrig="7740" w:dyaOrig="4008" w14:anchorId="39CDD72B">
          <v:shape id="_x0000_i1029" type="#_x0000_t75" style="width:309.75pt;height:160.3pt" o:ole="">
            <v:imagedata r:id="rId17" o:title=""/>
          </v:shape>
          <o:OLEObject Type="Embed" ProgID="Prism10.Document" ShapeID="_x0000_i1029" DrawAspect="Content" ObjectID="_1833351888" r:id="rId18"/>
        </w:object>
      </w:r>
    </w:p>
    <w:p w14:paraId="0168691A" w14:textId="77777777" w:rsidR="00901964" w:rsidRPr="00901964" w:rsidRDefault="00901964" w:rsidP="00901964">
      <w:pPr>
        <w:spacing w:after="0"/>
        <w:rPr>
          <w:szCs w:val="20"/>
          <w:lang w:val="en-US"/>
        </w:rPr>
      </w:pPr>
    </w:p>
    <w:p w14:paraId="746738F0" w14:textId="0BDEE79F" w:rsidR="00A332CF" w:rsidRDefault="00000000" w:rsidP="00901964">
      <w:pPr>
        <w:spacing w:after="0"/>
        <w:rPr>
          <w:sz w:val="24"/>
          <w:lang w:val="en-US"/>
        </w:rPr>
      </w:pPr>
      <w:r>
        <w:rPr>
          <w:sz w:val="24"/>
          <w:lang w:val="en-US"/>
        </w:rPr>
        <w:t>B.</w:t>
      </w:r>
    </w:p>
    <w:p w14:paraId="37004294" w14:textId="1FE68F0C" w:rsidR="00A332CF" w:rsidRDefault="00901964">
      <w:pPr>
        <w:rPr>
          <w:sz w:val="24"/>
          <w:lang w:val="en-US"/>
        </w:rPr>
      </w:pPr>
      <w:r>
        <w:object w:dxaOrig="7860" w:dyaOrig="4152" w14:anchorId="7DF240CB">
          <v:shape id="_x0000_i1030" type="#_x0000_t75" style="width:309.75pt;height:163.7pt" o:ole="">
            <v:imagedata r:id="rId19" o:title=""/>
          </v:shape>
          <o:OLEObject Type="Embed" ProgID="Prism10.Document" ShapeID="_x0000_i1030" DrawAspect="Content" ObjectID="_1833351889" r:id="rId20"/>
        </w:object>
      </w:r>
    </w:p>
    <w:p w14:paraId="32AFF6EA" w14:textId="77777777" w:rsidR="00901964" w:rsidRPr="00901964" w:rsidRDefault="00901964" w:rsidP="00901964">
      <w:pPr>
        <w:spacing w:after="0"/>
        <w:rPr>
          <w:szCs w:val="20"/>
          <w:lang w:val="en-US"/>
        </w:rPr>
      </w:pPr>
    </w:p>
    <w:p w14:paraId="01EE8F85" w14:textId="1C3B86D2" w:rsidR="00DC6AD9" w:rsidRDefault="00DC6AD9" w:rsidP="00901964">
      <w:pPr>
        <w:spacing w:after="0"/>
        <w:rPr>
          <w:sz w:val="24"/>
          <w:lang w:val="en-US"/>
        </w:rPr>
      </w:pPr>
      <w:r>
        <w:rPr>
          <w:sz w:val="24"/>
          <w:lang w:val="en-US"/>
        </w:rPr>
        <w:t>C.</w:t>
      </w:r>
    </w:p>
    <w:p w14:paraId="2006F71E" w14:textId="6496E978" w:rsidR="00A332CF" w:rsidRDefault="00244110">
      <w:pPr>
        <w:rPr>
          <w:sz w:val="24"/>
          <w:lang w:val="en-US"/>
        </w:rPr>
      </w:pPr>
      <w:r>
        <w:object w:dxaOrig="7860" w:dyaOrig="4284" w14:anchorId="62E86C99">
          <v:shape id="_x0000_i1031" type="#_x0000_t75" style="width:309.75pt;height:167.75pt" o:ole="">
            <v:imagedata r:id="rId21" o:title=""/>
          </v:shape>
          <o:OLEObject Type="Embed" ProgID="Prism10.Document" ShapeID="_x0000_i1031" DrawAspect="Content" ObjectID="_1833351890" r:id="rId22"/>
        </w:object>
      </w:r>
    </w:p>
    <w:p w14:paraId="4642FB16" w14:textId="416402E4" w:rsidR="00A332CF" w:rsidRDefault="0000000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Figure S4. </w:t>
      </w:r>
      <w:r w:rsidR="00901964" w:rsidRPr="00901964">
        <w:rPr>
          <w:b/>
          <w:sz w:val="24"/>
          <w:lang w:val="en-US"/>
        </w:rPr>
        <w:t>Renal immune cell infiltration in wild type and RPC-specific Gsα-deficient mice (RPC-GsKO) at end time point</w:t>
      </w:r>
    </w:p>
    <w:p w14:paraId="12A755E2" w14:textId="0F4DA673" w:rsidR="00A332CF" w:rsidRDefault="00000000">
      <w:pPr>
        <w:rPr>
          <w:sz w:val="24"/>
          <w:lang w:val="en-US"/>
        </w:rPr>
      </w:pPr>
      <w:r>
        <w:rPr>
          <w:sz w:val="24"/>
          <w:lang w:val="en-US"/>
        </w:rPr>
        <w:t>Flow cytometry of total T-lymphocytes (A)</w:t>
      </w:r>
      <w:r w:rsidR="00AD2904">
        <w:rPr>
          <w:sz w:val="24"/>
          <w:lang w:val="en-US"/>
        </w:rPr>
        <w:t xml:space="preserve">, </w:t>
      </w:r>
      <w:r>
        <w:rPr>
          <w:sz w:val="24"/>
          <w:lang w:val="en-US"/>
        </w:rPr>
        <w:t>regulatory CD4+ T-lymphocytes (B)</w:t>
      </w:r>
      <w:r w:rsidR="00AD2904">
        <w:rPr>
          <w:sz w:val="24"/>
          <w:lang w:val="en-US"/>
        </w:rPr>
        <w:t>, and macrophages (C)</w:t>
      </w:r>
      <w:r>
        <w:rPr>
          <w:sz w:val="24"/>
          <w:lang w:val="en-US"/>
        </w:rPr>
        <w:t xml:space="preserve"> in the kidneys </w:t>
      </w:r>
      <w:r w:rsidR="00901964" w:rsidRPr="00901964">
        <w:rPr>
          <w:sz w:val="24"/>
          <w:lang w:val="en-US"/>
        </w:rPr>
        <w:t>of wild type and RPC-GsKO mice</w:t>
      </w:r>
      <w:r>
        <w:rPr>
          <w:sz w:val="24"/>
          <w:lang w:val="en-US"/>
        </w:rPr>
        <w:t xml:space="preserve"> after three months of treatment with enalapril, high-salt diet, or without treatment (control). Bar plot with means ± SD and overlaid scatter dot plot. n=9-15 animals/group. </w:t>
      </w:r>
      <w:r w:rsidR="00AD2904">
        <w:rPr>
          <w:sz w:val="24"/>
          <w:lang w:val="en-US"/>
        </w:rPr>
        <w:t>#p&lt;0.05 compared to the untreated control group of the same genotype.</w:t>
      </w:r>
    </w:p>
    <w:sectPr w:rsidR="00A332CF">
      <w:headerReference w:type="default" r:id="rId2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87419" w14:textId="77777777" w:rsidR="009E6CDE" w:rsidRDefault="009E6CDE">
      <w:pPr>
        <w:spacing w:after="0" w:line="240" w:lineRule="auto"/>
      </w:pPr>
      <w:r>
        <w:separator/>
      </w:r>
    </w:p>
  </w:endnote>
  <w:endnote w:type="continuationSeparator" w:id="0">
    <w:p w14:paraId="6AB683AE" w14:textId="77777777" w:rsidR="009E6CDE" w:rsidRDefault="009E6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FB736" w14:textId="77777777" w:rsidR="009E6CDE" w:rsidRDefault="009E6CDE">
      <w:pPr>
        <w:spacing w:after="0" w:line="240" w:lineRule="auto"/>
      </w:pPr>
      <w:r>
        <w:separator/>
      </w:r>
    </w:p>
  </w:footnote>
  <w:footnote w:type="continuationSeparator" w:id="0">
    <w:p w14:paraId="283E1EF9" w14:textId="77777777" w:rsidR="009E6CDE" w:rsidRDefault="009E6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0873819"/>
      <w:docPartObj>
        <w:docPartGallery w:val="Page Numbers (Top of Page)"/>
        <w:docPartUnique/>
      </w:docPartObj>
    </w:sdtPr>
    <w:sdtContent>
      <w:p w14:paraId="3F2FBFC1" w14:textId="77777777" w:rsidR="00A332CF" w:rsidRDefault="00000000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25DC2788" w14:textId="77777777" w:rsidR="00A332CF" w:rsidRDefault="00A332C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95132"/>
    <w:multiLevelType w:val="hybridMultilevel"/>
    <w:tmpl w:val="B672B1E4"/>
    <w:lvl w:ilvl="0" w:tplc="57B2E48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12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2CF"/>
    <w:rsid w:val="000E364D"/>
    <w:rsid w:val="00102703"/>
    <w:rsid w:val="001337C2"/>
    <w:rsid w:val="001905BB"/>
    <w:rsid w:val="001B6A3D"/>
    <w:rsid w:val="002219A2"/>
    <w:rsid w:val="00244110"/>
    <w:rsid w:val="00450074"/>
    <w:rsid w:val="0046482D"/>
    <w:rsid w:val="00486826"/>
    <w:rsid w:val="004B7EA9"/>
    <w:rsid w:val="00550393"/>
    <w:rsid w:val="00577F8E"/>
    <w:rsid w:val="00682217"/>
    <w:rsid w:val="006E6596"/>
    <w:rsid w:val="006E70B2"/>
    <w:rsid w:val="007C56F2"/>
    <w:rsid w:val="008128A5"/>
    <w:rsid w:val="00820C94"/>
    <w:rsid w:val="008E73C0"/>
    <w:rsid w:val="008F7BA9"/>
    <w:rsid w:val="00901964"/>
    <w:rsid w:val="00923115"/>
    <w:rsid w:val="0097375A"/>
    <w:rsid w:val="009A7B63"/>
    <w:rsid w:val="009E6CDE"/>
    <w:rsid w:val="00A113B6"/>
    <w:rsid w:val="00A330FE"/>
    <w:rsid w:val="00A332CF"/>
    <w:rsid w:val="00AD2904"/>
    <w:rsid w:val="00AD6092"/>
    <w:rsid w:val="00B00A8B"/>
    <w:rsid w:val="00BB1C52"/>
    <w:rsid w:val="00C4671F"/>
    <w:rsid w:val="00C80C76"/>
    <w:rsid w:val="00D51831"/>
    <w:rsid w:val="00DC6AD9"/>
    <w:rsid w:val="00E55BE4"/>
    <w:rsid w:val="00ED6963"/>
    <w:rsid w:val="00F8068C"/>
    <w:rsid w:val="00FD45E4"/>
    <w:rsid w:val="00FE32EF"/>
    <w:rsid w:val="00FE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01C25"/>
  <w15:chartTrackingRefBased/>
  <w15:docId w15:val="{10A82AEB-88FE-4CC7-8554-FFEA5895F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812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image" Target="media/image7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header" Target="header1.xml"/><Relationship Id="rId10" Type="http://schemas.openxmlformats.org/officeDocument/2006/relationships/image" Target="media/image3.emf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513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Todorov, Vladimir</dc:creator>
  <cp:keywords/>
  <dc:description/>
  <cp:lastModifiedBy>Todorov, Vladimir</cp:lastModifiedBy>
  <cp:revision>14</cp:revision>
  <cp:lastPrinted>2025-08-05T07:33:00Z</cp:lastPrinted>
  <dcterms:created xsi:type="dcterms:W3CDTF">2026-02-18T08:10:00Z</dcterms:created>
  <dcterms:modified xsi:type="dcterms:W3CDTF">2026-02-23T10:38:00Z</dcterms:modified>
</cp:coreProperties>
</file>