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0778B" w14:textId="45716243" w:rsidR="00FE77BB" w:rsidRPr="00FE77BB" w:rsidRDefault="00FE77BB" w:rsidP="00FE77BB">
      <w:pPr>
        <w:spacing w:after="0"/>
        <w:jc w:val="both"/>
        <w:rPr>
          <w:rFonts w:ascii="Times New Roman" w:hAnsi="Times New Roman" w:cs="Times New Roman"/>
          <w:b/>
          <w:bCs/>
          <w:sz w:val="20"/>
          <w:szCs w:val="20"/>
        </w:rPr>
      </w:pPr>
      <w:r w:rsidRPr="00FE77BB">
        <w:rPr>
          <w:rFonts w:ascii="Times New Roman" w:hAnsi="Times New Roman" w:cs="Times New Roman"/>
          <w:b/>
          <w:bCs/>
          <w:sz w:val="20"/>
          <w:szCs w:val="20"/>
        </w:rPr>
        <w:t>Study Variables</w:t>
      </w:r>
    </w:p>
    <w:p w14:paraId="335CE836" w14:textId="77777777" w:rsidR="00FE77BB" w:rsidRDefault="00FE77BB" w:rsidP="00FE77BB">
      <w:pPr>
        <w:spacing w:after="0"/>
        <w:jc w:val="both"/>
        <w:rPr>
          <w:rFonts w:ascii="Times New Roman" w:hAnsi="Times New Roman" w:cs="Times New Roman"/>
          <w:sz w:val="20"/>
          <w:szCs w:val="20"/>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547"/>
        <w:gridCol w:w="6469"/>
      </w:tblGrid>
      <w:tr w:rsidR="00FE77BB" w:rsidRPr="00A240E7" w14:paraId="5062FC5D" w14:textId="77777777" w:rsidTr="00046C18">
        <w:trPr>
          <w:tblHeader/>
        </w:trPr>
        <w:tc>
          <w:tcPr>
            <w:tcW w:w="2547" w:type="dxa"/>
          </w:tcPr>
          <w:p w14:paraId="0B2EAE40" w14:textId="77777777" w:rsidR="00FE77BB" w:rsidRPr="00A240E7" w:rsidRDefault="00FE77BB" w:rsidP="00046C18">
            <w:pPr>
              <w:jc w:val="both"/>
              <w:rPr>
                <w:rFonts w:ascii="Times New Roman" w:hAnsi="Times New Roman" w:cs="Times New Roman"/>
                <w:b/>
                <w:bCs/>
                <w:sz w:val="20"/>
                <w:szCs w:val="20"/>
              </w:rPr>
            </w:pPr>
            <w:r w:rsidRPr="00A240E7">
              <w:rPr>
                <w:rFonts w:ascii="Times New Roman" w:hAnsi="Times New Roman" w:cs="Times New Roman"/>
                <w:b/>
                <w:bCs/>
                <w:sz w:val="20"/>
                <w:szCs w:val="20"/>
              </w:rPr>
              <w:t>Variable</w:t>
            </w:r>
          </w:p>
        </w:tc>
        <w:tc>
          <w:tcPr>
            <w:tcW w:w="6469" w:type="dxa"/>
          </w:tcPr>
          <w:p w14:paraId="18DF7A49" w14:textId="77777777" w:rsidR="00FE77BB" w:rsidRPr="00A240E7" w:rsidRDefault="00FE77BB" w:rsidP="00046C18">
            <w:pPr>
              <w:jc w:val="both"/>
              <w:rPr>
                <w:rFonts w:ascii="Times New Roman" w:hAnsi="Times New Roman" w:cs="Times New Roman"/>
                <w:b/>
                <w:bCs/>
                <w:sz w:val="20"/>
                <w:szCs w:val="20"/>
              </w:rPr>
            </w:pPr>
            <w:r w:rsidRPr="00A240E7">
              <w:rPr>
                <w:rFonts w:ascii="Times New Roman" w:hAnsi="Times New Roman" w:cs="Times New Roman"/>
                <w:b/>
                <w:bCs/>
                <w:sz w:val="20"/>
                <w:szCs w:val="20"/>
              </w:rPr>
              <w:t>Description</w:t>
            </w:r>
          </w:p>
        </w:tc>
      </w:tr>
      <w:tr w:rsidR="00FE77BB" w14:paraId="73A06946" w14:textId="77777777" w:rsidTr="00046C18">
        <w:tc>
          <w:tcPr>
            <w:tcW w:w="2547" w:type="dxa"/>
          </w:tcPr>
          <w:p w14:paraId="00785E52"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Age</w:t>
            </w:r>
          </w:p>
          <w:p w14:paraId="24C71DCC" w14:textId="77777777" w:rsidR="00FE77BB" w:rsidRDefault="00FE77BB" w:rsidP="00046C18">
            <w:pPr>
              <w:rPr>
                <w:rFonts w:ascii="Times New Roman" w:hAnsi="Times New Roman" w:cs="Times New Roman"/>
                <w:sz w:val="20"/>
                <w:szCs w:val="20"/>
              </w:rPr>
            </w:pPr>
          </w:p>
        </w:tc>
        <w:tc>
          <w:tcPr>
            <w:tcW w:w="6469" w:type="dxa"/>
          </w:tcPr>
          <w:p w14:paraId="05CEE2D2" w14:textId="1BCFC40F"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This refers to the age as stated by the respondent to reflect their self-identified age at the time of data collection.</w:t>
            </w:r>
            <w:r w:rsidR="00DD3DA4">
              <w:rPr>
                <w:rFonts w:ascii="Times New Roman" w:hAnsi="Times New Roman" w:cs="Times New Roman"/>
                <w:sz w:val="20"/>
                <w:szCs w:val="20"/>
              </w:rPr>
              <w:t xml:space="preserve"> </w:t>
            </w:r>
            <w:r w:rsidR="00702F86" w:rsidRPr="00702F86">
              <w:rPr>
                <w:rFonts w:ascii="Times New Roman" w:hAnsi="Times New Roman" w:cs="Times New Roman"/>
                <w:sz w:val="20"/>
                <w:szCs w:val="20"/>
              </w:rPr>
              <w:t>For analysis, respondents’ ages were categorized into three groups: 18–24 years, 25–49 years, and 50 years or older.</w:t>
            </w:r>
          </w:p>
          <w:p w14:paraId="6CE04ABF" w14:textId="77777777" w:rsidR="00FE77BB" w:rsidRDefault="00FE77BB" w:rsidP="00046C18">
            <w:pPr>
              <w:jc w:val="both"/>
              <w:rPr>
                <w:rFonts w:ascii="Times New Roman" w:hAnsi="Times New Roman" w:cs="Times New Roman"/>
                <w:sz w:val="20"/>
                <w:szCs w:val="20"/>
              </w:rPr>
            </w:pPr>
          </w:p>
        </w:tc>
      </w:tr>
      <w:tr w:rsidR="00FE77BB" w14:paraId="69A7DFAC" w14:textId="77777777" w:rsidTr="00046C18">
        <w:tc>
          <w:tcPr>
            <w:tcW w:w="2547" w:type="dxa"/>
          </w:tcPr>
          <w:p w14:paraId="6BF3899B"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Gender</w:t>
            </w:r>
          </w:p>
          <w:p w14:paraId="78F2DDCA" w14:textId="77777777" w:rsidR="00FE77BB" w:rsidRDefault="00FE77BB" w:rsidP="00046C18">
            <w:pPr>
              <w:rPr>
                <w:rFonts w:ascii="Times New Roman" w:hAnsi="Times New Roman" w:cs="Times New Roman"/>
                <w:sz w:val="20"/>
                <w:szCs w:val="20"/>
              </w:rPr>
            </w:pPr>
          </w:p>
        </w:tc>
        <w:tc>
          <w:tcPr>
            <w:tcW w:w="6469" w:type="dxa"/>
          </w:tcPr>
          <w:p w14:paraId="18339089"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This refers to the gender as stated by the respondent, reflecting their identity at the time the data were collected.</w:t>
            </w:r>
          </w:p>
          <w:p w14:paraId="0D3C9EE1" w14:textId="77777777" w:rsidR="00FE77BB" w:rsidRDefault="00FE77BB" w:rsidP="00046C18">
            <w:pPr>
              <w:jc w:val="both"/>
              <w:rPr>
                <w:rFonts w:ascii="Times New Roman" w:hAnsi="Times New Roman" w:cs="Times New Roman"/>
                <w:sz w:val="20"/>
                <w:szCs w:val="20"/>
              </w:rPr>
            </w:pPr>
          </w:p>
        </w:tc>
      </w:tr>
      <w:tr w:rsidR="00FE77BB" w14:paraId="2ADA59BE" w14:textId="77777777" w:rsidTr="00046C18">
        <w:tc>
          <w:tcPr>
            <w:tcW w:w="2547" w:type="dxa"/>
          </w:tcPr>
          <w:p w14:paraId="683CC3B1"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Level education</w:t>
            </w:r>
          </w:p>
          <w:p w14:paraId="7E2C40F4" w14:textId="77777777" w:rsidR="00FE77BB" w:rsidRDefault="00FE77BB" w:rsidP="00046C18">
            <w:pPr>
              <w:rPr>
                <w:rFonts w:ascii="Times New Roman" w:hAnsi="Times New Roman" w:cs="Times New Roman"/>
                <w:sz w:val="20"/>
                <w:szCs w:val="20"/>
              </w:rPr>
            </w:pPr>
          </w:p>
        </w:tc>
        <w:tc>
          <w:tcPr>
            <w:tcW w:w="6469" w:type="dxa"/>
          </w:tcPr>
          <w:p w14:paraId="02C4C0D0"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The highest level of education completed as stated by the respondent. This educational level was categorized into three groups: low (incomplete elementary school, elementary school or equivalent, junior high school), moderate (high school), and high (diploma, bachelor's degree, and postgraduate degree).</w:t>
            </w:r>
          </w:p>
          <w:p w14:paraId="51259BE4" w14:textId="77777777" w:rsidR="00FE77BB" w:rsidRDefault="00FE77BB" w:rsidP="00046C18">
            <w:pPr>
              <w:jc w:val="both"/>
              <w:rPr>
                <w:rFonts w:ascii="Times New Roman" w:hAnsi="Times New Roman" w:cs="Times New Roman"/>
                <w:sz w:val="20"/>
                <w:szCs w:val="20"/>
              </w:rPr>
            </w:pPr>
          </w:p>
        </w:tc>
      </w:tr>
      <w:tr w:rsidR="00FE77BB" w14:paraId="03647006" w14:textId="77777777" w:rsidTr="00046C18">
        <w:tc>
          <w:tcPr>
            <w:tcW w:w="2547" w:type="dxa"/>
          </w:tcPr>
          <w:p w14:paraId="15B18553"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Minority group identity</w:t>
            </w:r>
          </w:p>
          <w:p w14:paraId="56547693" w14:textId="77777777" w:rsidR="00FE77BB" w:rsidRDefault="00FE77BB" w:rsidP="00046C18">
            <w:pPr>
              <w:rPr>
                <w:rFonts w:ascii="Times New Roman" w:hAnsi="Times New Roman" w:cs="Times New Roman"/>
                <w:sz w:val="20"/>
                <w:szCs w:val="20"/>
              </w:rPr>
            </w:pPr>
          </w:p>
        </w:tc>
        <w:tc>
          <w:tcPr>
            <w:tcW w:w="6469" w:type="dxa"/>
          </w:tcPr>
          <w:p w14:paraId="0155D2CD"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Minority group belonging status (religion/belief, ethnicity, nationality, or other) in the respondent’s area of residence, as perceived and reported by the respondent.</w:t>
            </w:r>
          </w:p>
          <w:p w14:paraId="5484BD71" w14:textId="77777777" w:rsidR="00FE77BB" w:rsidRDefault="00FE77BB" w:rsidP="00046C18">
            <w:pPr>
              <w:jc w:val="both"/>
              <w:rPr>
                <w:rFonts w:ascii="Times New Roman" w:hAnsi="Times New Roman" w:cs="Times New Roman"/>
                <w:sz w:val="20"/>
                <w:szCs w:val="20"/>
              </w:rPr>
            </w:pPr>
          </w:p>
        </w:tc>
      </w:tr>
      <w:tr w:rsidR="00FE77BB" w14:paraId="761903E0" w14:textId="77777777" w:rsidTr="00046C18">
        <w:tc>
          <w:tcPr>
            <w:tcW w:w="2547" w:type="dxa"/>
          </w:tcPr>
          <w:p w14:paraId="3F2A3833"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Key population group identity</w:t>
            </w:r>
          </w:p>
          <w:p w14:paraId="51BAC1D6" w14:textId="77777777" w:rsidR="00FE77BB" w:rsidRDefault="00FE77BB" w:rsidP="00046C18">
            <w:pPr>
              <w:rPr>
                <w:rFonts w:ascii="Times New Roman" w:hAnsi="Times New Roman" w:cs="Times New Roman"/>
                <w:sz w:val="20"/>
                <w:szCs w:val="20"/>
              </w:rPr>
            </w:pPr>
          </w:p>
        </w:tc>
        <w:tc>
          <w:tcPr>
            <w:tcW w:w="6469" w:type="dxa"/>
          </w:tcPr>
          <w:p w14:paraId="04AB0942"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Key population status was based on respondents' self-identification as homosexual, transgender, or sex workers. Homosexual status was determined by a 'yes' response to having had same-sex intercourse in the past six months and further classified into MSM or lesbian based on gender. Sex workers were identified by a 'yes' response to having exchanged sex for money or gifts, while transgender status was based on respondents’ current gender identity. People who inject drugs (PWID) were not included, as the study focused on sexual transmission of HIV and related stigma. Furthermore, this variable was extended into a multiple key population variable, in which respondents were categorized as non-key population, belonging to a single key population group, or belonging to more than one key population group.</w:t>
            </w:r>
          </w:p>
          <w:p w14:paraId="308EECA3" w14:textId="77777777" w:rsidR="00FE77BB" w:rsidRDefault="00FE77BB" w:rsidP="00046C18">
            <w:pPr>
              <w:jc w:val="both"/>
              <w:rPr>
                <w:rFonts w:ascii="Times New Roman" w:hAnsi="Times New Roman" w:cs="Times New Roman"/>
                <w:sz w:val="20"/>
                <w:szCs w:val="20"/>
              </w:rPr>
            </w:pPr>
          </w:p>
        </w:tc>
      </w:tr>
      <w:tr w:rsidR="00FE77BB" w:rsidRPr="00773B11" w14:paraId="51F74137" w14:textId="77777777" w:rsidTr="00046C18">
        <w:tc>
          <w:tcPr>
            <w:tcW w:w="2547" w:type="dxa"/>
          </w:tcPr>
          <w:p w14:paraId="38B6A056"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History of voluntary status disclosure</w:t>
            </w:r>
          </w:p>
          <w:p w14:paraId="5131D5BD" w14:textId="77777777" w:rsidR="00FE77BB" w:rsidRPr="00773B11" w:rsidRDefault="00FE77BB" w:rsidP="00046C18">
            <w:pPr>
              <w:rPr>
                <w:rFonts w:ascii="Times New Roman" w:hAnsi="Times New Roman" w:cs="Times New Roman"/>
                <w:sz w:val="20"/>
                <w:szCs w:val="20"/>
              </w:rPr>
            </w:pPr>
          </w:p>
        </w:tc>
        <w:tc>
          <w:tcPr>
            <w:tcW w:w="6469" w:type="dxa"/>
          </w:tcPr>
          <w:p w14:paraId="7FE18CF9"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 xml:space="preserve">This variable is identified by the respondent's report on whether their HIV status has ever been disclosed to others with their awareness or consent. </w:t>
            </w:r>
          </w:p>
          <w:p w14:paraId="0AEA1A15" w14:textId="77777777" w:rsidR="00FE77BB" w:rsidRPr="00773B11" w:rsidRDefault="00FE77BB" w:rsidP="00046C18">
            <w:pPr>
              <w:jc w:val="both"/>
              <w:rPr>
                <w:rFonts w:ascii="Times New Roman" w:hAnsi="Times New Roman" w:cs="Times New Roman"/>
                <w:sz w:val="20"/>
                <w:szCs w:val="20"/>
              </w:rPr>
            </w:pPr>
          </w:p>
        </w:tc>
      </w:tr>
      <w:tr w:rsidR="00FE77BB" w:rsidRPr="00773B11" w14:paraId="6D13D159" w14:textId="77777777" w:rsidTr="00046C18">
        <w:tc>
          <w:tcPr>
            <w:tcW w:w="2547" w:type="dxa"/>
          </w:tcPr>
          <w:p w14:paraId="158DAD8E"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 xml:space="preserve">History of involuntary status disclosure </w:t>
            </w:r>
          </w:p>
          <w:p w14:paraId="7747DA81" w14:textId="77777777" w:rsidR="00FE77BB" w:rsidRPr="00773B11" w:rsidRDefault="00FE77BB" w:rsidP="00046C18">
            <w:pPr>
              <w:rPr>
                <w:rFonts w:ascii="Times New Roman" w:hAnsi="Times New Roman" w:cs="Times New Roman"/>
                <w:sz w:val="20"/>
                <w:szCs w:val="20"/>
              </w:rPr>
            </w:pPr>
          </w:p>
        </w:tc>
        <w:tc>
          <w:tcPr>
            <w:tcW w:w="6469" w:type="dxa"/>
          </w:tcPr>
          <w:p w14:paraId="1A96705D"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This variable is identified by the respondent's report on whether their HIV status has ever been disclosed to others without their consent.</w:t>
            </w:r>
          </w:p>
          <w:p w14:paraId="18617009" w14:textId="77777777" w:rsidR="00FE77BB" w:rsidRPr="00773B11" w:rsidRDefault="00FE77BB" w:rsidP="00046C18">
            <w:pPr>
              <w:jc w:val="both"/>
              <w:rPr>
                <w:rFonts w:ascii="Times New Roman" w:hAnsi="Times New Roman" w:cs="Times New Roman"/>
                <w:sz w:val="20"/>
                <w:szCs w:val="20"/>
              </w:rPr>
            </w:pPr>
          </w:p>
        </w:tc>
      </w:tr>
      <w:tr w:rsidR="00FE77BB" w:rsidRPr="00773B11" w14:paraId="69362560" w14:textId="77777777" w:rsidTr="00046C18">
        <w:tc>
          <w:tcPr>
            <w:tcW w:w="2547" w:type="dxa"/>
          </w:tcPr>
          <w:p w14:paraId="2C53397F"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External support</w:t>
            </w:r>
          </w:p>
          <w:p w14:paraId="0FD181D9" w14:textId="77777777" w:rsidR="00FE77BB" w:rsidRPr="00773B11" w:rsidRDefault="00FE77BB" w:rsidP="00046C18">
            <w:pPr>
              <w:rPr>
                <w:rFonts w:ascii="Times New Roman" w:hAnsi="Times New Roman" w:cs="Times New Roman"/>
                <w:sz w:val="20"/>
                <w:szCs w:val="20"/>
              </w:rPr>
            </w:pPr>
          </w:p>
        </w:tc>
        <w:tc>
          <w:tcPr>
            <w:tcW w:w="6469" w:type="dxa"/>
          </w:tcPr>
          <w:p w14:paraId="736F2AF6"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 xml:space="preserve">External support refers to the perceived support received by PLHIV from various sources such as family, friends, strangers, healthcare providers, or other institutions in relation to their HIV status. Respondents were considered to have received external support from relevant parties if they provided responses ranging from 'strongly supported' to 'neutral' to the question posed. Furthermore, this variable was categorized into three levels: low (no external support or only one source of support), moderate (two to three sources of support), and high (more than three sources of support). </w:t>
            </w:r>
          </w:p>
          <w:p w14:paraId="0AD00400" w14:textId="77777777" w:rsidR="00FE77BB" w:rsidRPr="00773B11" w:rsidRDefault="00FE77BB" w:rsidP="00046C18">
            <w:pPr>
              <w:jc w:val="both"/>
              <w:rPr>
                <w:rFonts w:ascii="Times New Roman" w:hAnsi="Times New Roman" w:cs="Times New Roman"/>
                <w:sz w:val="20"/>
                <w:szCs w:val="20"/>
              </w:rPr>
            </w:pPr>
          </w:p>
        </w:tc>
      </w:tr>
      <w:tr w:rsidR="00FE77BB" w:rsidRPr="00773B11" w14:paraId="6D38C791" w14:textId="77777777" w:rsidTr="00046C18">
        <w:tc>
          <w:tcPr>
            <w:tcW w:w="2547" w:type="dxa"/>
          </w:tcPr>
          <w:p w14:paraId="5D44C89D"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t>Enacted Stigma</w:t>
            </w:r>
          </w:p>
          <w:p w14:paraId="32D108BA" w14:textId="77777777" w:rsidR="00FE77BB" w:rsidRPr="00773B11" w:rsidRDefault="00FE77BB" w:rsidP="00046C18">
            <w:pPr>
              <w:rPr>
                <w:rFonts w:ascii="Times New Roman" w:hAnsi="Times New Roman" w:cs="Times New Roman"/>
                <w:sz w:val="20"/>
                <w:szCs w:val="20"/>
              </w:rPr>
            </w:pPr>
          </w:p>
        </w:tc>
        <w:tc>
          <w:tcPr>
            <w:tcW w:w="6469" w:type="dxa"/>
          </w:tcPr>
          <w:p w14:paraId="18488B4F" w14:textId="77777777" w:rsidR="00FE77BB" w:rsidRPr="00A240E7" w:rsidRDefault="00FE77BB" w:rsidP="00046C18">
            <w:pPr>
              <w:jc w:val="both"/>
              <w:rPr>
                <w:rFonts w:ascii="Times New Roman" w:hAnsi="Times New Roman" w:cs="Times New Roman"/>
                <w:sz w:val="20"/>
                <w:szCs w:val="20"/>
              </w:rPr>
            </w:pPr>
            <w:r w:rsidRPr="00A240E7">
              <w:rPr>
                <w:rFonts w:ascii="Times New Roman" w:hAnsi="Times New Roman" w:cs="Times New Roman"/>
                <w:sz w:val="20"/>
                <w:szCs w:val="20"/>
              </w:rPr>
              <w:t>Enacted stigma refers to direct discriminatory experiences encountered by PLHIV within the past 12 months. It was measured based on self-reported experiences such as negative labelling, gossip, verbal or physical harassment, differential treatment, denial of employment or promotion, extortion, exclusion from religious activities, denial of healthcare services, eviction, offensive advice, and social avoidance due to HIV status. A respondent was considered to have experienced enacted stigma if they reported at least one of these experiences. The percentage of enacted stigma was calculated by dividing the number of PLHIV who experienced at least one form of stigma by the total number of respondents. This variable served as the dependent variable in this study.</w:t>
            </w:r>
          </w:p>
          <w:p w14:paraId="321510F8" w14:textId="77777777" w:rsidR="00FE77BB" w:rsidRPr="00773B11" w:rsidRDefault="00FE77BB" w:rsidP="00046C18">
            <w:pPr>
              <w:jc w:val="both"/>
              <w:rPr>
                <w:rFonts w:ascii="Times New Roman" w:hAnsi="Times New Roman" w:cs="Times New Roman"/>
                <w:sz w:val="20"/>
                <w:szCs w:val="20"/>
              </w:rPr>
            </w:pPr>
          </w:p>
        </w:tc>
      </w:tr>
      <w:tr w:rsidR="00FE77BB" w:rsidRPr="00773B11" w14:paraId="2EFA17D4" w14:textId="77777777" w:rsidTr="00046C18">
        <w:tc>
          <w:tcPr>
            <w:tcW w:w="2547" w:type="dxa"/>
          </w:tcPr>
          <w:p w14:paraId="364CFED6" w14:textId="77777777" w:rsidR="00FE77BB" w:rsidRPr="00A240E7" w:rsidRDefault="00FE77BB" w:rsidP="00046C18">
            <w:pPr>
              <w:rPr>
                <w:rFonts w:ascii="Times New Roman" w:hAnsi="Times New Roman" w:cs="Times New Roman"/>
                <w:sz w:val="20"/>
                <w:szCs w:val="20"/>
              </w:rPr>
            </w:pPr>
            <w:r w:rsidRPr="00A240E7">
              <w:rPr>
                <w:rFonts w:ascii="Times New Roman" w:hAnsi="Times New Roman" w:cs="Times New Roman"/>
                <w:sz w:val="20"/>
                <w:szCs w:val="20"/>
              </w:rPr>
              <w:lastRenderedPageBreak/>
              <w:t>Internalized Stigma</w:t>
            </w:r>
          </w:p>
          <w:p w14:paraId="42D926A4" w14:textId="77777777" w:rsidR="00FE77BB" w:rsidRPr="00773B11" w:rsidRDefault="00FE77BB" w:rsidP="00046C18">
            <w:pPr>
              <w:rPr>
                <w:rFonts w:ascii="Times New Roman" w:hAnsi="Times New Roman" w:cs="Times New Roman"/>
                <w:sz w:val="20"/>
                <w:szCs w:val="20"/>
              </w:rPr>
            </w:pPr>
          </w:p>
        </w:tc>
        <w:tc>
          <w:tcPr>
            <w:tcW w:w="6469" w:type="dxa"/>
          </w:tcPr>
          <w:p w14:paraId="1FAC45AF" w14:textId="77777777" w:rsidR="00FE77BB" w:rsidRPr="00773B11" w:rsidRDefault="00FE77BB" w:rsidP="00046C18">
            <w:pPr>
              <w:jc w:val="both"/>
            </w:pPr>
            <w:r w:rsidRPr="00A240E7">
              <w:rPr>
                <w:rFonts w:ascii="Times New Roman" w:hAnsi="Times New Roman" w:cs="Times New Roman"/>
                <w:sz w:val="20"/>
                <w:szCs w:val="20"/>
              </w:rPr>
              <w:t>Internalized stigma refers to the negative perceptions and behaviors that PLHIV internalize toward themselves because of their HIV status. This variable was measured through two aspects: perceptions, assessed through statements such as: “I hide my HIV status from others”, “It is difficult to tell people that I am living with HIV”, “I feel guilty about my HIV status”, “I feel ashamed of my HIV status”, “Sometimes I feel I am not a valuable person because I am living with HIV”, and “Being HIV positive makes me feel dirty”. The second aspect was behaviors, which included actions such as: avoiding seeking social support, abstaining from sexual activity, withdrawing from social activities, not applying for jobs, not accessing healthcare services, isolating oneself from family or friends, or other forms of withdrawal due to HIV status. A respondent was considered to have experienced internalized stigma if they reported at least one negative perception or engaged in at least one behavior reflecting stigma internalization. The percentage of internalized stigma was calculated based on the number of respondents who met these criteria divided by the total number of respondents.</w:t>
            </w:r>
          </w:p>
        </w:tc>
      </w:tr>
    </w:tbl>
    <w:p w14:paraId="15DF6611" w14:textId="77777777" w:rsidR="00E63335" w:rsidRDefault="00E63335"/>
    <w:sectPr w:rsidR="00E633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7BB"/>
    <w:rsid w:val="000D0DB2"/>
    <w:rsid w:val="000F5125"/>
    <w:rsid w:val="00187616"/>
    <w:rsid w:val="00303BB6"/>
    <w:rsid w:val="004640ED"/>
    <w:rsid w:val="00702F86"/>
    <w:rsid w:val="0072100B"/>
    <w:rsid w:val="009C6E2F"/>
    <w:rsid w:val="00B17EF3"/>
    <w:rsid w:val="00C50FEB"/>
    <w:rsid w:val="00CB19FB"/>
    <w:rsid w:val="00DD3DA4"/>
    <w:rsid w:val="00E63335"/>
    <w:rsid w:val="00F57094"/>
    <w:rsid w:val="00FE77B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BA131"/>
  <w15:chartTrackingRefBased/>
  <w15:docId w15:val="{1D06F4FB-9122-4C37-8ABA-ABC4E21D4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7BB"/>
  </w:style>
  <w:style w:type="paragraph" w:styleId="Heading1">
    <w:name w:val="heading 1"/>
    <w:basedOn w:val="Normal"/>
    <w:next w:val="Normal"/>
    <w:link w:val="Heading1Char"/>
    <w:uiPriority w:val="9"/>
    <w:qFormat/>
    <w:rsid w:val="00FE77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77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77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77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77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77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77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77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77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7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77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77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77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77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77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77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77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77BB"/>
    <w:rPr>
      <w:rFonts w:eastAsiaTheme="majorEastAsia" w:cstheme="majorBidi"/>
      <w:color w:val="272727" w:themeColor="text1" w:themeTint="D8"/>
    </w:rPr>
  </w:style>
  <w:style w:type="paragraph" w:styleId="Title">
    <w:name w:val="Title"/>
    <w:basedOn w:val="Normal"/>
    <w:next w:val="Normal"/>
    <w:link w:val="TitleChar"/>
    <w:uiPriority w:val="10"/>
    <w:qFormat/>
    <w:rsid w:val="00FE77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77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77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77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77BB"/>
    <w:pPr>
      <w:spacing w:before="160"/>
      <w:jc w:val="center"/>
    </w:pPr>
    <w:rPr>
      <w:i/>
      <w:iCs/>
      <w:color w:val="404040" w:themeColor="text1" w:themeTint="BF"/>
    </w:rPr>
  </w:style>
  <w:style w:type="character" w:customStyle="1" w:styleId="QuoteChar">
    <w:name w:val="Quote Char"/>
    <w:basedOn w:val="DefaultParagraphFont"/>
    <w:link w:val="Quote"/>
    <w:uiPriority w:val="29"/>
    <w:rsid w:val="00FE77BB"/>
    <w:rPr>
      <w:i/>
      <w:iCs/>
      <w:color w:val="404040" w:themeColor="text1" w:themeTint="BF"/>
    </w:rPr>
  </w:style>
  <w:style w:type="paragraph" w:styleId="ListParagraph">
    <w:name w:val="List Paragraph"/>
    <w:basedOn w:val="Normal"/>
    <w:uiPriority w:val="34"/>
    <w:qFormat/>
    <w:rsid w:val="00FE77BB"/>
    <w:pPr>
      <w:ind w:left="720"/>
      <w:contextualSpacing/>
    </w:pPr>
  </w:style>
  <w:style w:type="character" w:styleId="IntenseEmphasis">
    <w:name w:val="Intense Emphasis"/>
    <w:basedOn w:val="DefaultParagraphFont"/>
    <w:uiPriority w:val="21"/>
    <w:qFormat/>
    <w:rsid w:val="00FE77BB"/>
    <w:rPr>
      <w:i/>
      <w:iCs/>
      <w:color w:val="0F4761" w:themeColor="accent1" w:themeShade="BF"/>
    </w:rPr>
  </w:style>
  <w:style w:type="paragraph" w:styleId="IntenseQuote">
    <w:name w:val="Intense Quote"/>
    <w:basedOn w:val="Normal"/>
    <w:next w:val="Normal"/>
    <w:link w:val="IntenseQuoteChar"/>
    <w:uiPriority w:val="30"/>
    <w:qFormat/>
    <w:rsid w:val="00FE77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77BB"/>
    <w:rPr>
      <w:i/>
      <w:iCs/>
      <w:color w:val="0F4761" w:themeColor="accent1" w:themeShade="BF"/>
    </w:rPr>
  </w:style>
  <w:style w:type="character" w:styleId="IntenseReference">
    <w:name w:val="Intense Reference"/>
    <w:basedOn w:val="DefaultParagraphFont"/>
    <w:uiPriority w:val="32"/>
    <w:qFormat/>
    <w:rsid w:val="00FE77BB"/>
    <w:rPr>
      <w:b/>
      <w:bCs/>
      <w:smallCaps/>
      <w:color w:val="0F4761" w:themeColor="accent1" w:themeShade="BF"/>
      <w:spacing w:val="5"/>
    </w:rPr>
  </w:style>
  <w:style w:type="table" w:styleId="TableGrid">
    <w:name w:val="Table Grid"/>
    <w:basedOn w:val="TableNormal"/>
    <w:uiPriority w:val="39"/>
    <w:rsid w:val="00FE77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695</Words>
  <Characters>4064</Characters>
  <Application>Microsoft Office Word</Application>
  <DocSecurity>0</DocSecurity>
  <Lines>119</Lines>
  <Paragraphs>73</Paragraphs>
  <ScaleCrop>false</ScaleCrop>
  <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 Kadek Sudastri</dc:creator>
  <cp:keywords/>
  <dc:description/>
  <cp:lastModifiedBy>Ni Kadek Sudastri</cp:lastModifiedBy>
  <cp:revision>4</cp:revision>
  <dcterms:created xsi:type="dcterms:W3CDTF">2025-10-21T01:30:00Z</dcterms:created>
  <dcterms:modified xsi:type="dcterms:W3CDTF">2025-10-21T06:45:00Z</dcterms:modified>
</cp:coreProperties>
</file>