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09A6D" w14:textId="56A6A63F" w:rsidR="00E4511D" w:rsidRDefault="00DD6E75">
      <w:pPr>
        <w:rPr>
          <w:rFonts w:hint="eastAsia"/>
        </w:rPr>
      </w:pPr>
      <w:r>
        <w:rPr>
          <w:noProof/>
        </w:rPr>
        <w:drawing>
          <wp:inline distT="0" distB="0" distL="0" distR="0" wp14:anchorId="3255B8DA" wp14:editId="1A0BC305">
            <wp:extent cx="5274310" cy="5523398"/>
            <wp:effectExtent l="0" t="0" r="2540" b="1270"/>
            <wp:docPr id="2107211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9B8D8" w14:textId="5D71AC93" w:rsidR="00DD6E75" w:rsidRPr="002F151D" w:rsidRDefault="00DD6E75">
      <w:pPr>
        <w:rPr>
          <w:rFonts w:ascii="Calibri" w:hAnsi="Calibri" w:cs="Calibri" w:hint="eastAsia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>Figure S1. Pedigree chart of included families</w:t>
      </w:r>
    </w:p>
    <w:p w14:paraId="6CF66854" w14:textId="77777777" w:rsidR="00DD6E75" w:rsidRDefault="00DD6E7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CC0D9D6" w14:textId="1CA21DA0" w:rsidR="00DD6E75" w:rsidRDefault="00DD6E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4C59C9" wp14:editId="6B4A3CCF">
            <wp:extent cx="5274310" cy="3721027"/>
            <wp:effectExtent l="0" t="0" r="2540" b="0"/>
            <wp:docPr id="13797708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B4001" w14:textId="77777777" w:rsidR="00DD6E75" w:rsidRPr="002F151D" w:rsidRDefault="00DD6E75" w:rsidP="00DD6E75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>Figure S2. Samples of verifying the high-risk SVs via IGV</w:t>
      </w:r>
    </w:p>
    <w:p w14:paraId="15431FB0" w14:textId="77777777" w:rsidR="00DD6E75" w:rsidRPr="002F151D" w:rsidRDefault="00DD6E75" w:rsidP="00DD6E75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a. Deletion from chr1:129099763 to chr1:129806803, co-segregated in family X20</w:t>
      </w:r>
    </w:p>
    <w:p w14:paraId="4B2354B1" w14:textId="77777777" w:rsidR="00DD6E75" w:rsidRPr="002F151D" w:rsidRDefault="00DD6E75" w:rsidP="00DD6E75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b. </w:t>
      </w:r>
      <w:proofErr w:type="spellStart"/>
      <w:r w:rsidRPr="002F151D">
        <w:rPr>
          <w:rFonts w:ascii="Calibri" w:hAnsi="Calibri" w:cs="Calibri"/>
          <w:sz w:val="24"/>
          <w:szCs w:val="28"/>
        </w:rPr>
        <w:t>Inversation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from chr12:124450102 to chr12:124450163, co-segregated in family X21</w:t>
      </w:r>
    </w:p>
    <w:p w14:paraId="2574D528" w14:textId="77777777" w:rsidR="00DD6E75" w:rsidRPr="002F151D" w:rsidRDefault="00DD6E75" w:rsidP="00DD6E75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c. Intra-translocation from chr16:10858372 to chr16:10858596, co-segregated in family X07</w:t>
      </w:r>
    </w:p>
    <w:p w14:paraId="3F4C93ED" w14:textId="5DECB681" w:rsidR="00DD6E75" w:rsidRPr="002F151D" w:rsidRDefault="00DD6E75" w:rsidP="00DD6E75">
      <w:pPr>
        <w:rPr>
          <w:rFonts w:ascii="Calibri" w:hAnsi="Calibri" w:cs="Calibri" w:hint="eastAsia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d. Inter-translocation from chr21:34033056 to 34033371, co-segregated in family X08</w:t>
      </w:r>
    </w:p>
    <w:p w14:paraId="5D2253BE" w14:textId="77777777" w:rsidR="00DD6E75" w:rsidRDefault="00DD6E7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368FE33" w14:textId="44AE0493" w:rsidR="00DD6E75" w:rsidRDefault="004C5A17" w:rsidP="00DD6E75">
      <w:r>
        <w:rPr>
          <w:noProof/>
        </w:rPr>
        <w:lastRenderedPageBreak/>
        <w:drawing>
          <wp:inline distT="0" distB="0" distL="0" distR="0" wp14:anchorId="7F93AB61" wp14:editId="5DEF016A">
            <wp:extent cx="5274310" cy="3372180"/>
            <wp:effectExtent l="0" t="0" r="2540" b="0"/>
            <wp:docPr id="13842097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A8576" w14:textId="77777777" w:rsidR="004C5A17" w:rsidRPr="002F151D" w:rsidRDefault="004C5A17" w:rsidP="00DD6E75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 xml:space="preserve">Figure S3. Samples of verifying of high-risk SNVs via IGV </w:t>
      </w:r>
    </w:p>
    <w:p w14:paraId="5051AC8F" w14:textId="77777777" w:rsidR="004C5A17" w:rsidRPr="002F151D" w:rsidRDefault="004C5A17" w:rsidP="00DD6E75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a. Variant chr12:78571428:</w:t>
      </w:r>
      <w:proofErr w:type="gramStart"/>
      <w:r w:rsidRPr="002F151D">
        <w:rPr>
          <w:rFonts w:ascii="Calibri" w:hAnsi="Calibri" w:cs="Calibri"/>
          <w:sz w:val="24"/>
          <w:szCs w:val="28"/>
        </w:rPr>
        <w:t>C:T</w:t>
      </w:r>
      <w:proofErr w:type="gramEnd"/>
      <w:r w:rsidRPr="002F151D">
        <w:rPr>
          <w:rFonts w:ascii="Calibri" w:hAnsi="Calibri" w:cs="Calibri"/>
          <w:sz w:val="24"/>
          <w:szCs w:val="28"/>
        </w:rPr>
        <w:t xml:space="preserve"> , co-segregated in family X03 </w:t>
      </w:r>
    </w:p>
    <w:p w14:paraId="402A8CB0" w14:textId="77777777" w:rsidR="004C5A17" w:rsidRPr="002F151D" w:rsidRDefault="004C5A17" w:rsidP="00DD6E75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b. Variant chr</w:t>
      </w:r>
      <w:proofErr w:type="gramStart"/>
      <w:r w:rsidRPr="002F151D">
        <w:rPr>
          <w:rFonts w:ascii="Calibri" w:hAnsi="Calibri" w:cs="Calibri"/>
          <w:sz w:val="24"/>
          <w:szCs w:val="28"/>
        </w:rPr>
        <w:t>16:58750617:G</w:t>
      </w:r>
      <w:proofErr w:type="gramEnd"/>
      <w:r w:rsidRPr="002F151D">
        <w:rPr>
          <w:rFonts w:ascii="Calibri" w:hAnsi="Calibri" w:cs="Calibri"/>
          <w:sz w:val="24"/>
          <w:szCs w:val="28"/>
        </w:rPr>
        <w:t xml:space="preserve">:T, co-segregated in family X20 </w:t>
      </w:r>
    </w:p>
    <w:p w14:paraId="0B36B2DD" w14:textId="77777777" w:rsidR="004C5A17" w:rsidRPr="002F151D" w:rsidRDefault="004C5A17" w:rsidP="00DD6E75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c. Variant chr17:42427647:</w:t>
      </w:r>
      <w:proofErr w:type="gramStart"/>
      <w:r w:rsidRPr="002F151D">
        <w:rPr>
          <w:rFonts w:ascii="Calibri" w:hAnsi="Calibri" w:cs="Calibri"/>
          <w:sz w:val="24"/>
          <w:szCs w:val="28"/>
        </w:rPr>
        <w:t>C:T</w:t>
      </w:r>
      <w:proofErr w:type="gramEnd"/>
      <w:r w:rsidRPr="002F151D">
        <w:rPr>
          <w:rFonts w:ascii="Calibri" w:hAnsi="Calibri" w:cs="Calibri"/>
          <w:sz w:val="24"/>
          <w:szCs w:val="28"/>
        </w:rPr>
        <w:t>, co-</w:t>
      </w:r>
      <w:proofErr w:type="spellStart"/>
      <w:r w:rsidRPr="002F151D">
        <w:rPr>
          <w:rFonts w:ascii="Calibri" w:hAnsi="Calibri" w:cs="Calibri"/>
          <w:sz w:val="24"/>
          <w:szCs w:val="28"/>
        </w:rPr>
        <w:t>segragated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in family X08 </w:t>
      </w:r>
    </w:p>
    <w:p w14:paraId="12B41FD6" w14:textId="4622EED2" w:rsidR="004C5A17" w:rsidRPr="002F151D" w:rsidRDefault="004C5A17" w:rsidP="00DD6E75">
      <w:pPr>
        <w:rPr>
          <w:rFonts w:ascii="Calibri" w:hAnsi="Calibri" w:cs="Calibri" w:hint="eastAsia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d. Variant chr19:35510353:</w:t>
      </w:r>
      <w:proofErr w:type="gramStart"/>
      <w:r w:rsidRPr="002F151D">
        <w:rPr>
          <w:rFonts w:ascii="Calibri" w:hAnsi="Calibri" w:cs="Calibri"/>
          <w:sz w:val="24"/>
          <w:szCs w:val="28"/>
        </w:rPr>
        <w:t>C:T</w:t>
      </w:r>
      <w:proofErr w:type="gramEnd"/>
      <w:r w:rsidRPr="002F151D">
        <w:rPr>
          <w:rFonts w:ascii="Calibri" w:hAnsi="Calibri" w:cs="Calibri"/>
          <w:sz w:val="24"/>
          <w:szCs w:val="28"/>
        </w:rPr>
        <w:t>, co-</w:t>
      </w:r>
      <w:proofErr w:type="spellStart"/>
      <w:r w:rsidRPr="002F151D">
        <w:rPr>
          <w:rFonts w:ascii="Calibri" w:hAnsi="Calibri" w:cs="Calibri"/>
          <w:sz w:val="24"/>
          <w:szCs w:val="28"/>
        </w:rPr>
        <w:t>segragated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in family X14</w:t>
      </w:r>
    </w:p>
    <w:p w14:paraId="4530D923" w14:textId="77777777" w:rsidR="004C5A17" w:rsidRDefault="004C5A1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4E5FCE0" w14:textId="7A308E1A" w:rsidR="004C5A17" w:rsidRDefault="004C5A17" w:rsidP="00DD6E75">
      <w:r>
        <w:rPr>
          <w:noProof/>
        </w:rPr>
        <w:lastRenderedPageBreak/>
        <w:drawing>
          <wp:inline distT="0" distB="0" distL="0" distR="0" wp14:anchorId="4AEBF17A" wp14:editId="273601C7">
            <wp:extent cx="5274310" cy="4719996"/>
            <wp:effectExtent l="0" t="0" r="2540" b="4445"/>
            <wp:docPr id="7788822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9CEC3" w14:textId="77777777" w:rsidR="004C5A17" w:rsidRPr="002F151D" w:rsidRDefault="004C5A17" w:rsidP="004C5A17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>Figure S4, OCD/SCZ-GWAS-derived virtual panel</w:t>
      </w:r>
    </w:p>
    <w:p w14:paraId="37CDF80A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a. Work flow of OCD/SCZ-GWAS-derived virtual panel</w:t>
      </w:r>
    </w:p>
    <w:p w14:paraId="73B1725E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b. </w:t>
      </w:r>
      <w:proofErr w:type="spellStart"/>
      <w:r w:rsidRPr="002F151D">
        <w:rPr>
          <w:rFonts w:ascii="Calibri" w:hAnsi="Calibri" w:cs="Calibri"/>
          <w:sz w:val="24"/>
          <w:szCs w:val="28"/>
        </w:rPr>
        <w:t>Overepresentation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analysis on OCD/SCZ-GWAS-derived genes</w:t>
      </w:r>
    </w:p>
    <w:p w14:paraId="797D7F13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c. KEGG enrichment analysis on OCD/SCZ-GWAS-derived genes</w:t>
      </w:r>
    </w:p>
    <w:p w14:paraId="0321E4F2" w14:textId="72D48647" w:rsidR="004C5A17" w:rsidRPr="002F151D" w:rsidRDefault="004C5A17" w:rsidP="004C5A17">
      <w:pPr>
        <w:rPr>
          <w:rFonts w:ascii="Calibri" w:hAnsi="Calibri" w:cs="Calibri" w:hint="eastAsia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d. GO enrichment analysis on OCD/SCZ-GWAS-derived genes</w:t>
      </w:r>
    </w:p>
    <w:p w14:paraId="5E30555E" w14:textId="77777777" w:rsidR="004C5A17" w:rsidRDefault="004C5A1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B8184E8" w14:textId="277E8322" w:rsidR="004C5A17" w:rsidRDefault="004C5A17" w:rsidP="004C5A17">
      <w:r>
        <w:rPr>
          <w:noProof/>
        </w:rPr>
        <w:lastRenderedPageBreak/>
        <w:drawing>
          <wp:inline distT="0" distB="0" distL="0" distR="0" wp14:anchorId="3B79825F" wp14:editId="25BF1DFF">
            <wp:extent cx="5274310" cy="6078382"/>
            <wp:effectExtent l="0" t="0" r="0" b="0"/>
            <wp:docPr id="96831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1680" name=""/>
                    <pic:cNvPicPr/>
                  </pic:nvPicPr>
                  <pic:blipFill rotWithShape="1">
                    <a:blip r:embed="rId10"/>
                    <a:srcRect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1C28" w14:textId="77777777" w:rsidR="002F151D" w:rsidRDefault="004C5A17" w:rsidP="004C5A17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 xml:space="preserve">Figure S5 Burden test of regulatory functions in non-coding regions. </w:t>
      </w:r>
    </w:p>
    <w:p w14:paraId="54E8BCE8" w14:textId="476D73D9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The top-left, bottom-left and right panel in each panel showed the results with </w:t>
      </w:r>
      <w:proofErr w:type="spellStart"/>
      <w:r w:rsidRPr="002F151D">
        <w:rPr>
          <w:rFonts w:ascii="Calibri" w:hAnsi="Calibri" w:cs="Calibri"/>
          <w:sz w:val="24"/>
          <w:szCs w:val="28"/>
        </w:rPr>
        <w:t>Refseq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annotation, </w:t>
      </w:r>
      <w:proofErr w:type="spellStart"/>
      <w:r w:rsidRPr="002F151D">
        <w:rPr>
          <w:rFonts w:ascii="Calibri" w:hAnsi="Calibri" w:cs="Calibri"/>
          <w:sz w:val="24"/>
          <w:szCs w:val="28"/>
        </w:rPr>
        <w:t>Psychencode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atlas and Sei annotation. </w:t>
      </w:r>
    </w:p>
    <w:p w14:paraId="513F1791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a. Enrichment in whole genome. </w:t>
      </w:r>
    </w:p>
    <w:p w14:paraId="21BEDA86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b. Enrichment within the </w:t>
      </w:r>
      <w:proofErr w:type="spellStart"/>
      <w:r w:rsidRPr="002F151D">
        <w:rPr>
          <w:rFonts w:ascii="Calibri" w:hAnsi="Calibri" w:cs="Calibri"/>
          <w:sz w:val="24"/>
          <w:szCs w:val="28"/>
        </w:rPr>
        <w:t>CS_ncs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Pr="002F151D">
        <w:rPr>
          <w:rFonts w:ascii="Calibri" w:hAnsi="Calibri" w:cs="Calibri"/>
          <w:sz w:val="24"/>
          <w:szCs w:val="28"/>
        </w:rPr>
        <w:t>geneset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regions. </w:t>
      </w:r>
    </w:p>
    <w:p w14:paraId="5F31A54E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c. Enrichment within the </w:t>
      </w:r>
      <w:proofErr w:type="spellStart"/>
      <w:r w:rsidRPr="002F151D">
        <w:rPr>
          <w:rFonts w:ascii="Calibri" w:hAnsi="Calibri" w:cs="Calibri"/>
          <w:sz w:val="24"/>
          <w:szCs w:val="28"/>
        </w:rPr>
        <w:t>OS_ncs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Pr="002F151D">
        <w:rPr>
          <w:rFonts w:ascii="Calibri" w:hAnsi="Calibri" w:cs="Calibri"/>
          <w:sz w:val="24"/>
          <w:szCs w:val="28"/>
        </w:rPr>
        <w:t>geneset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regions. </w:t>
      </w:r>
    </w:p>
    <w:p w14:paraId="70B89D34" w14:textId="31D1F85C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d. Enrichment within the </w:t>
      </w:r>
      <w:proofErr w:type="spellStart"/>
      <w:r w:rsidRPr="002F151D">
        <w:rPr>
          <w:rFonts w:ascii="Calibri" w:hAnsi="Calibri" w:cs="Calibri"/>
          <w:sz w:val="24"/>
          <w:szCs w:val="28"/>
        </w:rPr>
        <w:t>SS_ncs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Pr="002F151D">
        <w:rPr>
          <w:rFonts w:ascii="Calibri" w:hAnsi="Calibri" w:cs="Calibri"/>
          <w:sz w:val="24"/>
          <w:szCs w:val="28"/>
        </w:rPr>
        <w:t>geneset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regions.</w:t>
      </w:r>
    </w:p>
    <w:p w14:paraId="4CD18DE4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† O, obsessive-compulsive disorder; S, schizophrenia; N, healthy control. </w:t>
      </w:r>
    </w:p>
    <w:p w14:paraId="6E82DA80" w14:textId="42537080" w:rsidR="004C5A17" w:rsidRPr="002F151D" w:rsidRDefault="004C5A17" w:rsidP="004C5A17">
      <w:pPr>
        <w:rPr>
          <w:rFonts w:ascii="Calibri" w:hAnsi="Calibri" w:cs="Calibri" w:hint="eastAsia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†</w:t>
      </w:r>
      <w:proofErr w:type="gramStart"/>
      <w:r w:rsidRPr="002F151D">
        <w:rPr>
          <w:rFonts w:ascii="Calibri" w:hAnsi="Calibri" w:cs="Calibri"/>
          <w:sz w:val="24"/>
          <w:szCs w:val="28"/>
        </w:rPr>
        <w:t>†“*”indicated</w:t>
      </w:r>
      <w:proofErr w:type="gramEnd"/>
      <w:r w:rsidRPr="002F151D">
        <w:rPr>
          <w:rFonts w:ascii="Calibri" w:hAnsi="Calibri" w:cs="Calibri"/>
          <w:sz w:val="24"/>
          <w:szCs w:val="28"/>
        </w:rPr>
        <w:t xml:space="preserve"> p&lt;</w:t>
      </w:r>
      <w:proofErr w:type="gramStart"/>
      <w:r w:rsidRPr="002F151D">
        <w:rPr>
          <w:rFonts w:ascii="Calibri" w:hAnsi="Calibri" w:cs="Calibri"/>
          <w:sz w:val="24"/>
          <w:szCs w:val="28"/>
        </w:rPr>
        <w:t>0.05,“</w:t>
      </w:r>
      <w:proofErr w:type="gramEnd"/>
      <w:r w:rsidRPr="002F151D">
        <w:rPr>
          <w:rFonts w:ascii="Calibri" w:hAnsi="Calibri" w:cs="Calibri"/>
          <w:sz w:val="24"/>
          <w:szCs w:val="28"/>
        </w:rPr>
        <w:t>*</w:t>
      </w:r>
      <w:proofErr w:type="gramStart"/>
      <w:r w:rsidRPr="002F151D">
        <w:rPr>
          <w:rFonts w:ascii="Calibri" w:hAnsi="Calibri" w:cs="Calibri"/>
          <w:sz w:val="24"/>
          <w:szCs w:val="28"/>
        </w:rPr>
        <w:t>*”indicated</w:t>
      </w:r>
      <w:proofErr w:type="gramEnd"/>
      <w:r w:rsidRPr="002F151D">
        <w:rPr>
          <w:rFonts w:ascii="Calibri" w:hAnsi="Calibri" w:cs="Calibri"/>
          <w:sz w:val="24"/>
          <w:szCs w:val="28"/>
        </w:rPr>
        <w:t xml:space="preserve"> p&lt;</w:t>
      </w:r>
      <w:proofErr w:type="gramStart"/>
      <w:r w:rsidRPr="002F151D">
        <w:rPr>
          <w:rFonts w:ascii="Calibri" w:hAnsi="Calibri" w:cs="Calibri"/>
          <w:sz w:val="24"/>
          <w:szCs w:val="28"/>
        </w:rPr>
        <w:t>0.005,“</w:t>
      </w:r>
      <w:proofErr w:type="gramEnd"/>
      <w:r w:rsidRPr="002F151D">
        <w:rPr>
          <w:rFonts w:ascii="Calibri" w:hAnsi="Calibri" w:cs="Calibri"/>
          <w:sz w:val="24"/>
          <w:szCs w:val="28"/>
        </w:rPr>
        <w:t>**</w:t>
      </w:r>
      <w:proofErr w:type="gramStart"/>
      <w:r w:rsidRPr="002F151D">
        <w:rPr>
          <w:rFonts w:ascii="Calibri" w:hAnsi="Calibri" w:cs="Calibri"/>
          <w:sz w:val="24"/>
          <w:szCs w:val="28"/>
        </w:rPr>
        <w:t>*”indicated</w:t>
      </w:r>
      <w:proofErr w:type="gramEnd"/>
      <w:r w:rsidRPr="002F151D">
        <w:rPr>
          <w:rFonts w:ascii="Calibri" w:hAnsi="Calibri" w:cs="Calibri"/>
          <w:sz w:val="24"/>
          <w:szCs w:val="28"/>
        </w:rPr>
        <w:t xml:space="preserve"> p&lt;0.001</w:t>
      </w:r>
    </w:p>
    <w:p w14:paraId="160FA649" w14:textId="77777777" w:rsidR="004C5A17" w:rsidRDefault="004C5A1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A86D985" w14:textId="3AE38CC6" w:rsidR="004C5A17" w:rsidRDefault="004C5A17" w:rsidP="004C5A17">
      <w:r>
        <w:rPr>
          <w:noProof/>
        </w:rPr>
        <w:lastRenderedPageBreak/>
        <w:drawing>
          <wp:inline distT="0" distB="0" distL="0" distR="0" wp14:anchorId="174A0ECD" wp14:editId="67C90E49">
            <wp:extent cx="5274310" cy="4122729"/>
            <wp:effectExtent l="0" t="0" r="2540" b="0"/>
            <wp:docPr id="1314594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5C5F7" w14:textId="77777777" w:rsidR="004C5A17" w:rsidRPr="002F151D" w:rsidRDefault="004C5A17" w:rsidP="004C5A17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>Figure S6. Distribution of the count of the functional element</w:t>
      </w:r>
    </w:p>
    <w:p w14:paraId="294222D5" w14:textId="693F1134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Matrix combining patients in the cohort and counts of functional elements detected on every patient. </w:t>
      </w:r>
    </w:p>
    <w:p w14:paraId="3325EB58" w14:textId="77777777" w:rsidR="0053483B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Rows are panel functional elements detected in the patients, and columns are the patients. </w:t>
      </w:r>
    </w:p>
    <w:p w14:paraId="477FB2F7" w14:textId="46512C86" w:rsidR="004C5A17" w:rsidRPr="002F151D" w:rsidRDefault="004C5A17" w:rsidP="004C5A17">
      <w:pPr>
        <w:rPr>
          <w:rFonts w:ascii="Calibri" w:hAnsi="Calibri" w:cs="Calibri" w:hint="eastAsia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The upper panels show patient diagnoses. Counts of the functional elements were showed as z-score.</w:t>
      </w:r>
    </w:p>
    <w:p w14:paraId="63908959" w14:textId="77777777" w:rsidR="004C5A17" w:rsidRDefault="004C5A1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16291E0" w14:textId="256EE6EE" w:rsidR="004C5A17" w:rsidRDefault="004C5A17" w:rsidP="004C5A17">
      <w:r>
        <w:rPr>
          <w:noProof/>
        </w:rPr>
        <w:lastRenderedPageBreak/>
        <w:drawing>
          <wp:inline distT="0" distB="0" distL="0" distR="0" wp14:anchorId="4F92EE79" wp14:editId="3383F133">
            <wp:extent cx="5274310" cy="2537064"/>
            <wp:effectExtent l="0" t="0" r="2540" b="0"/>
            <wp:docPr id="8614974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D6836" w14:textId="77777777" w:rsidR="004C5A17" w:rsidRPr="002F151D" w:rsidRDefault="004C5A17" w:rsidP="004C5A17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 xml:space="preserve">Figure S7 Gene-based association test in non-coding co-segregated regions </w:t>
      </w:r>
    </w:p>
    <w:p w14:paraId="4EB030C6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Several risk genes from rare variants association test in non-coding region were in the PPI interaction with the coding variants in the same protein-protein interaction (PPI) network. </w:t>
      </w:r>
    </w:p>
    <w:p w14:paraId="73501D16" w14:textId="77777777" w:rsidR="004C5A17" w:rsidRPr="002F151D" w:rsidRDefault="004C5A17" w:rsidP="004C5A17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The construction of original network was shown in Figure 3. </w:t>
      </w:r>
    </w:p>
    <w:p w14:paraId="29C1B2C4" w14:textId="21092A6E" w:rsidR="0053483B" w:rsidRPr="002F151D" w:rsidRDefault="004C5A17" w:rsidP="004C5A17">
      <w:pPr>
        <w:rPr>
          <w:rFonts w:ascii="Calibri" w:hAnsi="Calibri" w:cs="Calibri" w:hint="eastAsia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The involved genes derived from non-coding variants were colored yellow.</w:t>
      </w:r>
    </w:p>
    <w:p w14:paraId="77AD8956" w14:textId="77777777" w:rsidR="0053483B" w:rsidRDefault="0053483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BFF6D19" w14:textId="178B2C1A" w:rsidR="004C5A17" w:rsidRDefault="002F151D" w:rsidP="004C5A17">
      <w:r>
        <w:rPr>
          <w:noProof/>
        </w:rPr>
        <w:lastRenderedPageBreak/>
        <w:drawing>
          <wp:inline distT="0" distB="0" distL="0" distR="0" wp14:anchorId="3229626B" wp14:editId="6FE2805C">
            <wp:extent cx="5274310" cy="5755963"/>
            <wp:effectExtent l="0" t="0" r="2540" b="0"/>
            <wp:docPr id="4386181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308C" w14:textId="77777777" w:rsidR="002F151D" w:rsidRPr="002F151D" w:rsidRDefault="002F151D" w:rsidP="002F151D">
      <w:pPr>
        <w:rPr>
          <w:rFonts w:ascii="Calibri" w:hAnsi="Calibri" w:cs="Calibri"/>
          <w:b/>
          <w:bCs/>
          <w:sz w:val="24"/>
          <w:szCs w:val="28"/>
        </w:rPr>
      </w:pPr>
      <w:r w:rsidRPr="002F151D">
        <w:rPr>
          <w:rFonts w:ascii="Calibri" w:hAnsi="Calibri" w:cs="Calibri"/>
          <w:b/>
          <w:bCs/>
          <w:sz w:val="24"/>
          <w:szCs w:val="28"/>
        </w:rPr>
        <w:t xml:space="preserve">Figure S8. </w:t>
      </w:r>
      <w:proofErr w:type="spellStart"/>
      <w:r w:rsidRPr="002F151D">
        <w:rPr>
          <w:rFonts w:ascii="Calibri" w:hAnsi="Calibri" w:cs="Calibri"/>
          <w:b/>
          <w:bCs/>
          <w:sz w:val="24"/>
          <w:szCs w:val="28"/>
        </w:rPr>
        <w:t>Overepresentation</w:t>
      </w:r>
      <w:proofErr w:type="spellEnd"/>
      <w:r w:rsidRPr="002F151D">
        <w:rPr>
          <w:rFonts w:ascii="Calibri" w:hAnsi="Calibri" w:cs="Calibri"/>
          <w:b/>
          <w:bCs/>
          <w:sz w:val="24"/>
          <w:szCs w:val="28"/>
        </w:rPr>
        <w:t xml:space="preserve"> analyses of </w:t>
      </w:r>
      <w:proofErr w:type="spellStart"/>
      <w:r w:rsidRPr="002F151D">
        <w:rPr>
          <w:rFonts w:ascii="Calibri" w:hAnsi="Calibri" w:cs="Calibri"/>
          <w:b/>
          <w:bCs/>
          <w:sz w:val="24"/>
          <w:szCs w:val="28"/>
        </w:rPr>
        <w:t>genesets</w:t>
      </w:r>
      <w:proofErr w:type="spellEnd"/>
    </w:p>
    <w:p w14:paraId="07AC4E25" w14:textId="77777777" w:rsidR="002F151D" w:rsidRPr="002F151D" w:rsidRDefault="002F151D" w:rsidP="002F151D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 xml:space="preserve">a. Overrepresentation analysis of green module in OCD and </w:t>
      </w:r>
      <w:proofErr w:type="spellStart"/>
      <w:r w:rsidRPr="002F151D">
        <w:rPr>
          <w:rFonts w:ascii="Calibri" w:hAnsi="Calibri" w:cs="Calibri"/>
          <w:sz w:val="24"/>
          <w:szCs w:val="28"/>
        </w:rPr>
        <w:t>greenyellow</w:t>
      </w:r>
      <w:proofErr w:type="spellEnd"/>
      <w:r w:rsidRPr="002F151D">
        <w:rPr>
          <w:rFonts w:ascii="Calibri" w:hAnsi="Calibri" w:cs="Calibri"/>
          <w:sz w:val="24"/>
          <w:szCs w:val="28"/>
        </w:rPr>
        <w:t xml:space="preserve"> module in SCZ</w:t>
      </w:r>
    </w:p>
    <w:p w14:paraId="783E8867" w14:textId="77777777" w:rsidR="002F151D" w:rsidRPr="002F151D" w:rsidRDefault="002F151D" w:rsidP="002F151D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b. Overrepresentation analysis of brown modules in SCZ and OCD</w:t>
      </w:r>
    </w:p>
    <w:p w14:paraId="1203C2A5" w14:textId="77777777" w:rsidR="002F151D" w:rsidRPr="002F151D" w:rsidRDefault="002F151D" w:rsidP="002F151D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c. Overrepresentation analysis of black module in SCZ</w:t>
      </w:r>
    </w:p>
    <w:p w14:paraId="354EE4B9" w14:textId="77777777" w:rsidR="002F151D" w:rsidRPr="002F151D" w:rsidRDefault="002F151D" w:rsidP="002F151D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d. Overrepresentation analysis of early-pregnancy modules</w:t>
      </w:r>
    </w:p>
    <w:p w14:paraId="1DC10E11" w14:textId="2EA94A33" w:rsidR="002F151D" w:rsidRPr="002F151D" w:rsidRDefault="002F151D" w:rsidP="002F151D">
      <w:pPr>
        <w:rPr>
          <w:rFonts w:ascii="Calibri" w:hAnsi="Calibri" w:cs="Calibri"/>
          <w:sz w:val="24"/>
          <w:szCs w:val="28"/>
        </w:rPr>
      </w:pPr>
      <w:r w:rsidRPr="002F151D">
        <w:rPr>
          <w:rFonts w:ascii="Calibri" w:hAnsi="Calibri" w:cs="Calibri"/>
          <w:sz w:val="24"/>
          <w:szCs w:val="28"/>
        </w:rPr>
        <w:t>e. Overrepresentation analysis of mid-pregnancy modules</w:t>
      </w:r>
    </w:p>
    <w:sectPr w:rsidR="002F151D" w:rsidRPr="002F15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D8BD0" w14:textId="77777777" w:rsidR="00C66816" w:rsidRDefault="00C66816" w:rsidP="00DD6E75">
      <w:pPr>
        <w:rPr>
          <w:rFonts w:hint="eastAsia"/>
        </w:rPr>
      </w:pPr>
      <w:r>
        <w:separator/>
      </w:r>
    </w:p>
  </w:endnote>
  <w:endnote w:type="continuationSeparator" w:id="0">
    <w:p w14:paraId="1E9CF8EA" w14:textId="77777777" w:rsidR="00C66816" w:rsidRDefault="00C66816" w:rsidP="00DD6E7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95606" w14:textId="77777777" w:rsidR="00C66816" w:rsidRDefault="00C66816" w:rsidP="00DD6E75">
      <w:pPr>
        <w:rPr>
          <w:rFonts w:hint="eastAsia"/>
        </w:rPr>
      </w:pPr>
      <w:r>
        <w:separator/>
      </w:r>
    </w:p>
  </w:footnote>
  <w:footnote w:type="continuationSeparator" w:id="0">
    <w:p w14:paraId="42845517" w14:textId="77777777" w:rsidR="00C66816" w:rsidRDefault="00C66816" w:rsidP="00DD6E7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704"/>
    <w:rsid w:val="000011AF"/>
    <w:rsid w:val="000C25F9"/>
    <w:rsid w:val="00117AE1"/>
    <w:rsid w:val="002F151D"/>
    <w:rsid w:val="00487A76"/>
    <w:rsid w:val="004C5A17"/>
    <w:rsid w:val="0053483B"/>
    <w:rsid w:val="00C66816"/>
    <w:rsid w:val="00DD6E75"/>
    <w:rsid w:val="00E4511D"/>
    <w:rsid w:val="00F0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A43CCE"/>
  <w15:chartTrackingRefBased/>
  <w15:docId w15:val="{64AAF266-2435-4FF8-B285-35BDDD0F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370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7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7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70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370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370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370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370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370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370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037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037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0370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0370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0370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0370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0370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0370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037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037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37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037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37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037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370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370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37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0370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0370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D6E7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D6E7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D6E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D6E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477</Words>
  <Characters>2211</Characters>
  <Application>Microsoft Office Word</Application>
  <DocSecurity>0</DocSecurity>
  <Lines>315</Lines>
  <Paragraphs>298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 Deng</dc:creator>
  <cp:keywords/>
  <dc:description/>
  <cp:lastModifiedBy>MH Deng</cp:lastModifiedBy>
  <cp:revision>10</cp:revision>
  <dcterms:created xsi:type="dcterms:W3CDTF">2026-01-27T10:41:00Z</dcterms:created>
  <dcterms:modified xsi:type="dcterms:W3CDTF">2026-01-27T10:53:00Z</dcterms:modified>
</cp:coreProperties>
</file>